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62059144">
                <wp:simplePos x="0" y="0"/>
                <wp:positionH relativeFrom="column">
                  <wp:posOffset>285750</wp:posOffset>
                </wp:positionH>
                <wp:positionV relativeFrom="paragraph">
                  <wp:posOffset>85090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EC6D57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10CA8">
                              <w:rPr>
                                <w:rFonts w:ascii="Verdana" w:hAnsi="Verdana"/>
                                <w:b/>
                                <w:sz w:val="22"/>
                                <w:szCs w:val="22"/>
                              </w:rPr>
                              <w:t>26-D-010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E4B67">
                              <w:rPr>
                                <w:rFonts w:ascii="Verdana" w:hAnsi="Verdana"/>
                                <w:b/>
                                <w:noProof/>
                                <w:sz w:val="22"/>
                                <w:szCs w:val="22"/>
                              </w:rPr>
                              <w:t>23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6.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" filled="f" stroked="f">
                <v:textbox>
                  <w:txbxContent>
                    <w:p w14:paraId="6B840BE9" w14:textId="2EC6D57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10CA8">
                        <w:rPr>
                          <w:rFonts w:ascii="Verdana" w:hAnsi="Verdana"/>
                          <w:b/>
                          <w:sz w:val="22"/>
                          <w:szCs w:val="22"/>
                        </w:rPr>
                        <w:t>26-D-010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E4B67">
                        <w:rPr>
                          <w:rFonts w:ascii="Verdana" w:hAnsi="Verdana"/>
                          <w:b/>
                          <w:noProof/>
                          <w:sz w:val="22"/>
                          <w:szCs w:val="22"/>
                        </w:rPr>
                        <w:t>23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6CF54615"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188E84D9" w:rsidR="00DC0D5A" w:rsidRDefault="00A115C7" w:rsidP="00DC0D5A">
      <w:pPr>
        <w:spacing w:before="280"/>
        <w:rPr>
          <w:rFonts w:ascii="Verdana" w:hAnsi="Verdana"/>
          <w:b/>
          <w:sz w:val="22"/>
        </w:rPr>
      </w:pPr>
      <w:r>
        <w:rPr>
          <w:rFonts w:ascii="Verdana" w:hAnsi="Verdana"/>
          <w:b/>
          <w:sz w:val="22"/>
        </w:rPr>
        <w:t>Request and response:</w:t>
      </w:r>
    </w:p>
    <w:p w14:paraId="3D86379C" w14:textId="77777777" w:rsidR="00510CA8" w:rsidRDefault="00510CA8" w:rsidP="00510CA8">
      <w:pPr>
        <w:rPr>
          <w:rFonts w:ascii="Verdana" w:hAnsi="Verdana"/>
          <w:b/>
          <w:bCs/>
          <w:noProof/>
          <w:sz w:val="22"/>
          <w:szCs w:val="22"/>
        </w:rPr>
      </w:pPr>
    </w:p>
    <w:p w14:paraId="2F3011F5" w14:textId="68D1390B" w:rsidR="00510CA8" w:rsidRPr="00510CA8" w:rsidRDefault="00510CA8" w:rsidP="00510CA8">
      <w:pPr>
        <w:rPr>
          <w:rFonts w:ascii="Verdana" w:hAnsi="Verdana"/>
          <w:b/>
          <w:bCs/>
          <w:noProof/>
          <w:sz w:val="22"/>
          <w:szCs w:val="22"/>
        </w:rPr>
      </w:pPr>
      <w:r w:rsidRPr="00510CA8">
        <w:rPr>
          <w:rFonts w:ascii="Verdana" w:hAnsi="Verdana"/>
          <w:b/>
          <w:bCs/>
          <w:noProof/>
          <w:sz w:val="22"/>
          <w:szCs w:val="22"/>
        </w:rPr>
        <w:t>Please provide me with the following information;</w:t>
      </w:r>
    </w:p>
    <w:p w14:paraId="0B6C4C19" w14:textId="77777777" w:rsidR="00510CA8" w:rsidRPr="00510CA8" w:rsidRDefault="00510CA8" w:rsidP="00510CA8">
      <w:pPr>
        <w:numPr>
          <w:ilvl w:val="0"/>
          <w:numId w:val="19"/>
        </w:numPr>
        <w:rPr>
          <w:rFonts w:ascii="Verdana" w:hAnsi="Verdana"/>
          <w:b/>
          <w:bCs/>
          <w:noProof/>
          <w:sz w:val="22"/>
          <w:szCs w:val="22"/>
        </w:rPr>
      </w:pPr>
      <w:r w:rsidRPr="00510CA8">
        <w:rPr>
          <w:rFonts w:ascii="Verdana" w:hAnsi="Verdana"/>
          <w:b/>
          <w:bCs/>
          <w:noProof/>
          <w:sz w:val="22"/>
          <w:szCs w:val="22"/>
        </w:rPr>
        <w:t>The number of emergency:</w:t>
      </w:r>
    </w:p>
    <w:p w14:paraId="54B01A8C" w14:textId="77777777" w:rsidR="00510CA8" w:rsidRPr="00510CA8" w:rsidRDefault="00510CA8" w:rsidP="00510CA8">
      <w:pPr>
        <w:pStyle w:val="ListParagraph"/>
        <w:numPr>
          <w:ilvl w:val="1"/>
          <w:numId w:val="19"/>
        </w:numPr>
        <w:rPr>
          <w:rFonts w:ascii="Verdana" w:hAnsi="Verdana"/>
          <w:b/>
          <w:bCs/>
          <w:noProof/>
          <w:sz w:val="22"/>
          <w:szCs w:val="22"/>
        </w:rPr>
      </w:pPr>
      <w:r w:rsidRPr="00510CA8">
        <w:rPr>
          <w:rFonts w:ascii="Verdana" w:hAnsi="Verdana"/>
          <w:b/>
          <w:bCs/>
          <w:noProof/>
          <w:sz w:val="22"/>
          <w:szCs w:val="22"/>
        </w:rPr>
        <w:t>CT Angio Aorta</w:t>
      </w:r>
    </w:p>
    <w:p w14:paraId="02F740EF" w14:textId="77777777" w:rsidR="00510CA8" w:rsidRPr="00510CA8" w:rsidRDefault="00510CA8" w:rsidP="00510CA8">
      <w:pPr>
        <w:pStyle w:val="ListParagraph"/>
        <w:numPr>
          <w:ilvl w:val="1"/>
          <w:numId w:val="19"/>
        </w:numPr>
        <w:rPr>
          <w:rFonts w:ascii="Verdana" w:hAnsi="Verdana"/>
          <w:b/>
          <w:bCs/>
          <w:noProof/>
          <w:sz w:val="22"/>
          <w:szCs w:val="22"/>
        </w:rPr>
      </w:pPr>
      <w:r w:rsidRPr="00510CA8">
        <w:rPr>
          <w:rFonts w:ascii="Verdana" w:hAnsi="Verdana"/>
          <w:b/>
          <w:bCs/>
          <w:noProof/>
          <w:sz w:val="22"/>
          <w:szCs w:val="22"/>
        </w:rPr>
        <w:t>CT Angio Aortic Arch and Carotids</w:t>
      </w:r>
    </w:p>
    <w:p w14:paraId="6282BCA8" w14:textId="77777777" w:rsidR="00510CA8" w:rsidRPr="00510CA8" w:rsidRDefault="00510CA8" w:rsidP="00510CA8">
      <w:pPr>
        <w:pStyle w:val="ListParagraph"/>
        <w:numPr>
          <w:ilvl w:val="1"/>
          <w:numId w:val="19"/>
        </w:numPr>
        <w:rPr>
          <w:rFonts w:ascii="Verdana" w:hAnsi="Verdana"/>
          <w:b/>
          <w:bCs/>
          <w:noProof/>
          <w:sz w:val="22"/>
          <w:szCs w:val="22"/>
        </w:rPr>
      </w:pPr>
      <w:r w:rsidRPr="00510CA8">
        <w:rPr>
          <w:rFonts w:ascii="Verdana" w:hAnsi="Verdana"/>
          <w:b/>
          <w:bCs/>
          <w:noProof/>
          <w:sz w:val="22"/>
          <w:szCs w:val="22"/>
        </w:rPr>
        <w:t>CT Aorta Thoracic</w:t>
      </w:r>
    </w:p>
    <w:p w14:paraId="4C8C5CD6" w14:textId="77777777" w:rsidR="00510CA8" w:rsidRPr="00510CA8" w:rsidRDefault="00510CA8" w:rsidP="00510CA8">
      <w:pPr>
        <w:pStyle w:val="ListParagraph"/>
        <w:numPr>
          <w:ilvl w:val="1"/>
          <w:numId w:val="19"/>
        </w:numPr>
        <w:rPr>
          <w:rFonts w:ascii="Verdana" w:hAnsi="Verdana"/>
          <w:b/>
          <w:bCs/>
          <w:noProof/>
          <w:sz w:val="22"/>
          <w:szCs w:val="22"/>
        </w:rPr>
      </w:pPr>
      <w:r w:rsidRPr="00510CA8">
        <w:rPr>
          <w:rFonts w:ascii="Verdana" w:hAnsi="Verdana"/>
          <w:b/>
          <w:bCs/>
          <w:noProof/>
          <w:sz w:val="22"/>
          <w:szCs w:val="22"/>
        </w:rPr>
        <w:t>CT Aorta Thoracic with contrast</w:t>
      </w:r>
    </w:p>
    <w:p w14:paraId="3FD26C7D" w14:textId="77777777" w:rsidR="00510CA8" w:rsidRPr="00510CA8" w:rsidRDefault="00510CA8" w:rsidP="00510CA8">
      <w:pPr>
        <w:pStyle w:val="ListParagraph"/>
        <w:numPr>
          <w:ilvl w:val="1"/>
          <w:numId w:val="19"/>
        </w:numPr>
        <w:rPr>
          <w:rFonts w:ascii="Verdana" w:hAnsi="Verdana"/>
          <w:b/>
          <w:bCs/>
          <w:noProof/>
          <w:sz w:val="22"/>
          <w:szCs w:val="22"/>
        </w:rPr>
      </w:pPr>
      <w:r w:rsidRPr="00510CA8">
        <w:rPr>
          <w:rFonts w:ascii="Verdana" w:hAnsi="Verdana"/>
          <w:b/>
          <w:bCs/>
          <w:noProof/>
          <w:sz w:val="22"/>
          <w:szCs w:val="22"/>
        </w:rPr>
        <w:t>CT Aorta Whole</w:t>
      </w:r>
    </w:p>
    <w:p w14:paraId="0698BCB9" w14:textId="77777777" w:rsidR="00510CA8" w:rsidRPr="00510CA8" w:rsidRDefault="00510CA8" w:rsidP="00510CA8">
      <w:pPr>
        <w:pStyle w:val="ListParagraph"/>
        <w:numPr>
          <w:ilvl w:val="1"/>
          <w:numId w:val="19"/>
        </w:numPr>
        <w:rPr>
          <w:rFonts w:ascii="Verdana" w:hAnsi="Verdana"/>
          <w:b/>
          <w:bCs/>
          <w:noProof/>
          <w:sz w:val="22"/>
          <w:szCs w:val="22"/>
        </w:rPr>
      </w:pPr>
      <w:r w:rsidRPr="00510CA8">
        <w:rPr>
          <w:rFonts w:ascii="Verdana" w:hAnsi="Verdana"/>
          <w:b/>
          <w:bCs/>
          <w:noProof/>
          <w:sz w:val="22"/>
          <w:szCs w:val="22"/>
        </w:rPr>
        <w:t>CT Aorta Whole with contrast</w:t>
      </w:r>
    </w:p>
    <w:p w14:paraId="2C8CB95C" w14:textId="77777777" w:rsidR="00510CA8" w:rsidRPr="00510CA8" w:rsidRDefault="00510CA8" w:rsidP="00510CA8">
      <w:pPr>
        <w:numPr>
          <w:ilvl w:val="0"/>
          <w:numId w:val="20"/>
        </w:numPr>
        <w:rPr>
          <w:rFonts w:ascii="Verdana" w:hAnsi="Verdana"/>
          <w:b/>
          <w:bCs/>
          <w:noProof/>
          <w:sz w:val="22"/>
          <w:szCs w:val="22"/>
        </w:rPr>
      </w:pPr>
      <w:r w:rsidRPr="00510CA8">
        <w:rPr>
          <w:rFonts w:ascii="Verdana" w:hAnsi="Verdana"/>
          <w:b/>
          <w:bCs/>
          <w:noProof/>
          <w:sz w:val="22"/>
          <w:szCs w:val="22"/>
        </w:rPr>
        <w:t>Carried out each year between 1.1.16 and 31.12.25</w:t>
      </w:r>
    </w:p>
    <w:p w14:paraId="2DAFC215" w14:textId="77777777" w:rsidR="00510CA8" w:rsidRPr="00510CA8" w:rsidRDefault="00510CA8" w:rsidP="00510CA8">
      <w:pPr>
        <w:numPr>
          <w:ilvl w:val="0"/>
          <w:numId w:val="20"/>
        </w:numPr>
        <w:rPr>
          <w:rFonts w:ascii="Verdana" w:hAnsi="Verdana"/>
          <w:b/>
          <w:bCs/>
          <w:noProof/>
          <w:sz w:val="22"/>
          <w:szCs w:val="22"/>
        </w:rPr>
      </w:pPr>
      <w:r w:rsidRPr="00510CA8">
        <w:rPr>
          <w:rFonts w:ascii="Verdana" w:hAnsi="Verdana"/>
          <w:b/>
          <w:bCs/>
          <w:noProof/>
          <w:sz w:val="22"/>
          <w:szCs w:val="22"/>
        </w:rPr>
        <w:t>To avoid double counting, please identify by Count of Unique Accession Number or equivalent</w:t>
      </w:r>
    </w:p>
    <w:p w14:paraId="4AB57A4B" w14:textId="77777777" w:rsidR="00510CA8" w:rsidRPr="00510CA8" w:rsidRDefault="00510CA8" w:rsidP="00510CA8">
      <w:pPr>
        <w:numPr>
          <w:ilvl w:val="0"/>
          <w:numId w:val="21"/>
        </w:numPr>
        <w:rPr>
          <w:rFonts w:ascii="Verdana" w:hAnsi="Verdana"/>
          <w:b/>
          <w:bCs/>
          <w:noProof/>
          <w:sz w:val="22"/>
          <w:szCs w:val="22"/>
        </w:rPr>
      </w:pPr>
      <w:r w:rsidRPr="00510CA8">
        <w:rPr>
          <w:rFonts w:ascii="Verdana" w:hAnsi="Verdana"/>
          <w:b/>
          <w:bCs/>
          <w:noProof/>
          <w:sz w:val="22"/>
          <w:szCs w:val="22"/>
        </w:rPr>
        <w:t>The number of patients with a primary </w:t>
      </w:r>
      <w:r w:rsidRPr="00510CA8">
        <w:rPr>
          <w:rFonts w:ascii="Verdana" w:hAnsi="Verdana"/>
          <w:b/>
          <w:bCs/>
          <w:i/>
          <w:iCs/>
          <w:noProof/>
          <w:sz w:val="22"/>
          <w:szCs w:val="22"/>
        </w:rPr>
        <w:t>or </w:t>
      </w:r>
      <w:r w:rsidRPr="00510CA8">
        <w:rPr>
          <w:rFonts w:ascii="Verdana" w:hAnsi="Verdana"/>
          <w:b/>
          <w:bCs/>
          <w:noProof/>
          <w:sz w:val="22"/>
          <w:szCs w:val="22"/>
        </w:rPr>
        <w:t>secondary ICD-10 diagnosis of I-71.0 discharged dead each year between 1.1.16 and 31.12.25 with an emergency inpatient admission (Please do not include A&amp;E discharge diagnosis).</w:t>
      </w:r>
    </w:p>
    <w:p w14:paraId="2E8D10E4" w14:textId="77777777" w:rsidR="00510CA8" w:rsidRPr="00510CA8" w:rsidRDefault="00510CA8" w:rsidP="00510CA8">
      <w:pPr>
        <w:numPr>
          <w:ilvl w:val="0"/>
          <w:numId w:val="22"/>
        </w:numPr>
        <w:rPr>
          <w:rFonts w:ascii="Verdana" w:hAnsi="Verdana"/>
          <w:b/>
          <w:bCs/>
          <w:noProof/>
          <w:sz w:val="22"/>
          <w:szCs w:val="22"/>
        </w:rPr>
      </w:pPr>
      <w:r w:rsidRPr="00510CA8">
        <w:rPr>
          <w:rFonts w:ascii="Verdana" w:hAnsi="Verdana"/>
          <w:b/>
          <w:bCs/>
          <w:noProof/>
          <w:sz w:val="22"/>
          <w:szCs w:val="22"/>
        </w:rPr>
        <w:t>The number of patients with a primary </w:t>
      </w:r>
      <w:r w:rsidRPr="00510CA8">
        <w:rPr>
          <w:rFonts w:ascii="Verdana" w:hAnsi="Verdana"/>
          <w:b/>
          <w:bCs/>
          <w:i/>
          <w:iCs/>
          <w:noProof/>
          <w:sz w:val="22"/>
          <w:szCs w:val="22"/>
        </w:rPr>
        <w:t>or </w:t>
      </w:r>
      <w:r w:rsidRPr="00510CA8">
        <w:rPr>
          <w:rFonts w:ascii="Verdana" w:hAnsi="Verdana"/>
          <w:b/>
          <w:bCs/>
          <w:noProof/>
          <w:sz w:val="22"/>
          <w:szCs w:val="22"/>
        </w:rPr>
        <w:t>secondary ICD-10 diagnosis of I-71.0 discharged dead each year between 1.1.16 and 31.12.25. All patients (Please do not include A&amp;E discharge diagnosis)</w:t>
      </w:r>
    </w:p>
    <w:p w14:paraId="2178A95B" w14:textId="77777777" w:rsidR="00873328" w:rsidRDefault="00873328" w:rsidP="00421E7F">
      <w:pPr>
        <w:rPr>
          <w:rFonts w:ascii="Verdana" w:hAnsi="Verdana"/>
          <w:b/>
          <w:bCs/>
          <w:noProof/>
          <w:sz w:val="22"/>
          <w:szCs w:val="22"/>
        </w:rPr>
      </w:pPr>
    </w:p>
    <w:p w14:paraId="12BBE20D" w14:textId="0457F217" w:rsidR="00510CA8" w:rsidRDefault="00510CA8" w:rsidP="00421E7F">
      <w:pPr>
        <w:rPr>
          <w:rFonts w:ascii="Verdana" w:hAnsi="Verdana"/>
          <w:noProof/>
          <w:sz w:val="22"/>
          <w:szCs w:val="22"/>
        </w:rPr>
      </w:pPr>
      <w:r>
        <w:rPr>
          <w:rFonts w:ascii="Verdana" w:hAnsi="Verdana"/>
          <w:noProof/>
          <w:sz w:val="22"/>
          <w:szCs w:val="22"/>
        </w:rPr>
        <w:t>Please see attached.</w:t>
      </w:r>
    </w:p>
    <w:p w14:paraId="3CC8D2D3" w14:textId="09BE6910" w:rsidR="00510CA8" w:rsidRDefault="00510CA8" w:rsidP="00421E7F">
      <w:pPr>
        <w:rPr>
          <w:rFonts w:ascii="Verdana" w:hAnsi="Verdana"/>
          <w:noProof/>
          <w:sz w:val="22"/>
          <w:szCs w:val="22"/>
        </w:rPr>
      </w:pPr>
      <w:r>
        <w:rPr>
          <w:rFonts w:ascii="Verdana" w:hAnsi="Verdana"/>
          <w:noProof/>
          <w:sz w:val="22"/>
          <w:szCs w:val="22"/>
        </w:rPr>
        <w:t>*</w:t>
      </w:r>
      <w:r w:rsidRPr="00510CA8">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10CA8">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510CA8">
        <w:rPr>
          <w:rFonts w:ascii="Verdana" w:hAnsi="Verdana"/>
          <w:bCs/>
          <w:iCs/>
          <w:noProof/>
          <w:sz w:val="22"/>
          <w:szCs w:val="22"/>
        </w:rPr>
        <w:t>in regard to</w:t>
      </w:r>
      <w:r w:rsidRPr="00510CA8">
        <w:rPr>
          <w:rFonts w:ascii="Verdana" w:hAnsi="Verdana"/>
          <w:iCs/>
          <w:noProof/>
          <w:sz w:val="22"/>
          <w:szCs w:val="22"/>
        </w:rPr>
        <w:t xml:space="preserve"> Articles 5, 6, and 9 of GDPR.  </w:t>
      </w:r>
      <w:r w:rsidRPr="00510CA8">
        <w:rPr>
          <w:rFonts w:ascii="Verdana" w:hAnsi="Verdana"/>
          <w:noProof/>
          <w:sz w:val="22"/>
          <w:szCs w:val="22"/>
        </w:rPr>
        <w:t>This exemption is absolute and therefore there is no requirement to apply the public interest test.</w:t>
      </w:r>
    </w:p>
    <w:p w14:paraId="29F6DCFF" w14:textId="77777777" w:rsidR="00EE4B67" w:rsidRDefault="00EE4B67" w:rsidP="00421E7F">
      <w:pPr>
        <w:rPr>
          <w:rFonts w:ascii="Verdana" w:hAnsi="Verdana"/>
          <w:noProof/>
          <w:sz w:val="22"/>
          <w:szCs w:val="22"/>
        </w:rPr>
      </w:pPr>
    </w:p>
    <w:p w14:paraId="046CB173" w14:textId="3B0B1CA6" w:rsidR="00EE4B67" w:rsidRPr="00FC3B42" w:rsidRDefault="00EE4B67" w:rsidP="00EE4B67">
      <w:pPr>
        <w:rPr>
          <w:rFonts w:ascii="Verdana" w:hAnsi="Verdana"/>
          <w:sz w:val="22"/>
          <w:szCs w:val="22"/>
        </w:rPr>
      </w:pPr>
      <w:r>
        <w:rPr>
          <w:rFonts w:ascii="Verdana" w:hAnsi="Verdana"/>
          <w:noProof/>
          <w:sz w:val="22"/>
          <w:szCs w:val="22"/>
        </w:rPr>
        <w:t>**</w:t>
      </w:r>
      <w:r w:rsidRPr="00EE4B67">
        <w:rPr>
          <w:rFonts w:ascii="Verdana" w:hAnsi="Verdana"/>
          <w:sz w:val="22"/>
          <w:szCs w:val="22"/>
        </w:rPr>
        <w:t xml:space="preserve"> </w:t>
      </w:r>
      <w:r w:rsidRPr="00FC3B42">
        <w:rPr>
          <w:rFonts w:ascii="Verdana" w:hAnsi="Verdana"/>
          <w:sz w:val="22"/>
          <w:szCs w:val="22"/>
        </w:rPr>
        <w:t>The Health Board holds information of the nature you are seeking however the number of incidences is very few.  This being the case it is considered that such information should be withheld Section 41 of the Act and therefore denies your request.</w:t>
      </w:r>
    </w:p>
    <w:p w14:paraId="58E04684" w14:textId="77777777" w:rsidR="00EE4B67" w:rsidRPr="00FC3B42" w:rsidRDefault="00EE4B67" w:rsidP="00EE4B67">
      <w:pPr>
        <w:spacing w:after="120"/>
        <w:rPr>
          <w:rFonts w:ascii="Verdana" w:hAnsi="Verdana"/>
          <w:sz w:val="22"/>
          <w:szCs w:val="22"/>
        </w:rPr>
      </w:pPr>
      <w:r w:rsidRPr="00FC3B42">
        <w:rPr>
          <w:rFonts w:ascii="Verdana" w:hAnsi="Verdana"/>
          <w:sz w:val="22"/>
          <w:szCs w:val="22"/>
        </w:rPr>
        <w:t>Section 41 of the Act sets out an exemption from the right to know where the information requested was provided to the public authority in confidence. The component which is applicable relates to the disclosure of the information would give rise to an actionable breach of confidence. In other words, if the Health Board disclosed the information being sought this could lead to their identification which would be unfair and inappropriate.</w:t>
      </w:r>
    </w:p>
    <w:p w14:paraId="2EFE2992" w14:textId="77777777" w:rsidR="00EE4B67" w:rsidRPr="00FC3B42" w:rsidRDefault="00EE4B67" w:rsidP="00EE4B67">
      <w:pPr>
        <w:spacing w:after="120"/>
        <w:rPr>
          <w:rFonts w:ascii="Verdana" w:hAnsi="Verdana"/>
          <w:sz w:val="22"/>
          <w:szCs w:val="22"/>
        </w:rPr>
      </w:pPr>
      <w:r w:rsidRPr="00FC3B42">
        <w:rPr>
          <w:rFonts w:ascii="Verdana" w:hAnsi="Verdana"/>
          <w:sz w:val="22"/>
          <w:szCs w:val="22"/>
        </w:rPr>
        <w:t xml:space="preserve">A duty of confidentiality does continue after the death of an individual to whom that duty is owed. Where there is a legally enforceable duty of confidentiality owed to a living individual, after death it can be enforced by the deceased’s personal representative. </w:t>
      </w:r>
    </w:p>
    <w:p w14:paraId="639A8BFC" w14:textId="678D83EE" w:rsidR="00EE4B67" w:rsidRPr="00510CA8" w:rsidRDefault="00EE4B67" w:rsidP="00EE4B67">
      <w:pPr>
        <w:rPr>
          <w:rFonts w:ascii="Verdana" w:hAnsi="Verdana"/>
          <w:noProof/>
          <w:sz w:val="22"/>
          <w:szCs w:val="22"/>
        </w:rPr>
      </w:pPr>
    </w:p>
    <w:p w14:paraId="7F202BA5" w14:textId="19585659"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75970B72" w14:textId="669FD95B" w:rsidR="00A10460" w:rsidRDefault="00A10460" w:rsidP="00510CA8">
      <w:pPr>
        <w:ind w:left="0"/>
        <w:rPr>
          <w:rFonts w:ascii="Verdana" w:hAnsi="Verdana"/>
          <w:b/>
          <w:bCs/>
          <w:noProof/>
          <w:sz w:val="22"/>
          <w:szCs w:val="22"/>
        </w:rPr>
      </w:pPr>
    </w:p>
    <w:sectPr w:rsidR="00A10460" w:rsidSect="00510CA8">
      <w:footerReference w:type="default" r:id="rId12"/>
      <w:headerReference w:type="first" r:id="rId13"/>
      <w:footerReference w:type="first" r:id="rId14"/>
      <w:pgSz w:w="11906" w:h="16838"/>
      <w:pgMar w:top="1418"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7896573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79454924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85473337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0.7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2pt;height:225.2pt;visibility:visible;mso-wrap-style:square" o:bullet="t">
        <v:imagedata r:id="rId3" o:title=""/>
      </v:shape>
    </w:pict>
  </w:numPicBullet>
  <w:numPicBullet w:numPicBulletId="3">
    <w:pict>
      <v:shape id="_x0000_i1028" type="#_x0000_t75" style="width:15.55pt;height:15.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742328"/>
    <w:multiLevelType w:val="multilevel"/>
    <w:tmpl w:val="E13A2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40515CB"/>
    <w:multiLevelType w:val="multilevel"/>
    <w:tmpl w:val="7D4A0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1640A"/>
    <w:multiLevelType w:val="multilevel"/>
    <w:tmpl w:val="1ADE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0E8341A"/>
    <w:multiLevelType w:val="multilevel"/>
    <w:tmpl w:val="315CF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1"/>
  </w:num>
  <w:num w:numId="8" w16cid:durableId="1553300907">
    <w:abstractNumId w:val="17"/>
  </w:num>
  <w:num w:numId="9" w16cid:durableId="687946864">
    <w:abstractNumId w:val="21"/>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16627969">
    <w:abstractNumId w:val="14"/>
  </w:num>
  <w:num w:numId="20" w16cid:durableId="1682270853">
    <w:abstractNumId w:val="20"/>
  </w:num>
  <w:num w:numId="21" w16cid:durableId="555362752">
    <w:abstractNumId w:val="3"/>
  </w:num>
  <w:num w:numId="22" w16cid:durableId="11620891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20BD"/>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10CA8"/>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2D2A"/>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E4B67"/>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2026-04-23T15:40:00Z</dcterms:modified>
</cp:coreProperties>
</file>