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2BE6E3C6"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1E69AE">
                              <w:rPr>
                                <w:rFonts w:ascii="Verdana" w:hAnsi="Verdana"/>
                                <w:b/>
                                <w:sz w:val="22"/>
                                <w:szCs w:val="22"/>
                              </w:rPr>
                              <w:t xml:space="preserve"> 26-D-049</w:t>
                            </w:r>
                            <w:r w:rsidR="00213076" w:rsidRPr="00A10460">
                              <w:rPr>
                                <w:rFonts w:ascii="Verdana" w:hAnsi="Verdana"/>
                                <w:b/>
                                <w:sz w:val="22"/>
                                <w:szCs w:val="22"/>
                              </w:rPr>
                              <w:t xml:space="preserve"> </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783DEA">
                              <w:rPr>
                                <w:rFonts w:ascii="Verdana" w:hAnsi="Verdana"/>
                                <w:b/>
                                <w:noProof/>
                                <w:sz w:val="22"/>
                                <w:szCs w:val="22"/>
                              </w:rPr>
                              <w:t>20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2BE6E3C6"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1E69AE">
                        <w:rPr>
                          <w:rFonts w:ascii="Verdana" w:hAnsi="Verdana"/>
                          <w:b/>
                          <w:sz w:val="22"/>
                          <w:szCs w:val="22"/>
                        </w:rPr>
                        <w:t xml:space="preserve"> 26-D-049</w:t>
                      </w:r>
                      <w:r w:rsidR="00213076" w:rsidRPr="00A10460">
                        <w:rPr>
                          <w:rFonts w:ascii="Verdana" w:hAnsi="Verdana"/>
                          <w:b/>
                          <w:sz w:val="22"/>
                          <w:szCs w:val="22"/>
                        </w:rPr>
                        <w:t xml:space="preserve"> </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783DEA">
                        <w:rPr>
                          <w:rFonts w:ascii="Verdana" w:hAnsi="Verdana"/>
                          <w:b/>
                          <w:noProof/>
                          <w:sz w:val="22"/>
                          <w:szCs w:val="22"/>
                        </w:rPr>
                        <w:t>20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4357C05D" w14:textId="2AE87215" w:rsidR="001E69AE" w:rsidRPr="001E69AE" w:rsidRDefault="00A10460" w:rsidP="001E69AE">
      <w:pPr>
        <w:spacing w:before="280"/>
        <w:rPr>
          <w:rFonts w:ascii="Verdana" w:hAnsi="Verdana"/>
          <w:bCs/>
          <w:sz w:val="22"/>
        </w:rPr>
      </w:pPr>
      <w:r w:rsidRPr="00A10460">
        <w:rPr>
          <w:rFonts w:ascii="Verdana" w:hAnsi="Verdana"/>
          <w:sz w:val="22"/>
        </w:rPr>
        <w:br/>
      </w:r>
      <w:r w:rsidR="00A115C7" w:rsidRPr="001E69AE">
        <w:rPr>
          <w:rFonts w:ascii="Verdana" w:hAnsi="Verdana"/>
          <w:bCs/>
          <w:sz w:val="22"/>
          <w:u w:val="single"/>
        </w:rPr>
        <w:t>Request and response:</w:t>
      </w:r>
      <w:r w:rsidR="001E69AE">
        <w:rPr>
          <w:rFonts w:ascii="Verdana" w:hAnsi="Verdana"/>
          <w:bCs/>
          <w:sz w:val="22"/>
          <w:u w:val="single"/>
        </w:rPr>
        <w:br/>
      </w:r>
      <w:r w:rsidR="001E69AE">
        <w:rPr>
          <w:rFonts w:ascii="Verdana" w:hAnsi="Verdana"/>
          <w:bCs/>
          <w:sz w:val="22"/>
          <w:u w:val="single"/>
        </w:rPr>
        <w:br/>
      </w:r>
      <w:r w:rsidR="001E69AE" w:rsidRPr="001E69AE">
        <w:rPr>
          <w:rFonts w:ascii="Verdana" w:hAnsi="Verdana"/>
          <w:bCs/>
          <w:sz w:val="22"/>
        </w:rPr>
        <w:t>The following information is provided to offer further context in relation to the figures provided in response to your request</w:t>
      </w:r>
    </w:p>
    <w:p w14:paraId="55393DDC" w14:textId="57D39C07" w:rsidR="001E69AE" w:rsidRDefault="001E69AE" w:rsidP="001E69AE">
      <w:pPr>
        <w:pStyle w:val="ListParagraph"/>
        <w:numPr>
          <w:ilvl w:val="0"/>
          <w:numId w:val="23"/>
        </w:numPr>
        <w:spacing w:before="280"/>
        <w:rPr>
          <w:rFonts w:ascii="Verdana" w:hAnsi="Verdana"/>
          <w:bCs/>
          <w:sz w:val="22"/>
        </w:rPr>
      </w:pPr>
      <w:r w:rsidRPr="001E69AE">
        <w:rPr>
          <w:rFonts w:ascii="Verdana" w:hAnsi="Verdana"/>
          <w:bCs/>
          <w:sz w:val="22"/>
        </w:rPr>
        <w:t xml:space="preserve">SBUHB holds data relating to information governance incidents, this is defined as any incident where there is an information governance component included. This can range from a breach of confidentiality to data integrity issues to availability of data. Information is not recorded in a way that differentiates “patient confidentiality breaches” as a category. However, patient confidentiality breaches are included within the figures provided. </w:t>
      </w:r>
    </w:p>
    <w:p w14:paraId="15244E2E" w14:textId="77777777" w:rsidR="001E69AE" w:rsidRPr="001E69AE" w:rsidRDefault="001E69AE" w:rsidP="001E69AE">
      <w:pPr>
        <w:pStyle w:val="ListParagraph"/>
        <w:spacing w:before="280"/>
        <w:ind w:left="865"/>
        <w:rPr>
          <w:rFonts w:ascii="Verdana" w:hAnsi="Verdana"/>
          <w:bCs/>
          <w:sz w:val="22"/>
        </w:rPr>
      </w:pPr>
    </w:p>
    <w:p w14:paraId="75E0473E" w14:textId="27C8643E" w:rsidR="001E69AE" w:rsidRPr="001E69AE" w:rsidRDefault="001E69AE" w:rsidP="001E69AE">
      <w:pPr>
        <w:pStyle w:val="ListParagraph"/>
        <w:numPr>
          <w:ilvl w:val="0"/>
          <w:numId w:val="23"/>
        </w:numPr>
        <w:spacing w:before="280"/>
        <w:rPr>
          <w:rFonts w:ascii="Verdana" w:hAnsi="Verdana"/>
          <w:bCs/>
          <w:sz w:val="22"/>
        </w:rPr>
      </w:pPr>
      <w:r w:rsidRPr="001E69AE">
        <w:rPr>
          <w:rFonts w:ascii="Verdana" w:hAnsi="Verdana"/>
          <w:bCs/>
          <w:sz w:val="22"/>
        </w:rPr>
        <w:t xml:space="preserve">To obtain information relating </w:t>
      </w:r>
      <w:r w:rsidRPr="001E69AE">
        <w:rPr>
          <w:rFonts w:ascii="Verdana" w:hAnsi="Verdana"/>
          <w:b/>
          <w:sz w:val="22"/>
        </w:rPr>
        <w:t>only</w:t>
      </w:r>
      <w:r w:rsidRPr="001E69AE">
        <w:rPr>
          <w:rFonts w:ascii="Verdana" w:hAnsi="Verdana"/>
          <w:bCs/>
          <w:sz w:val="22"/>
        </w:rPr>
        <w:t xml:space="preserve"> to patient confidentiality breaches would require a manual search and trawl of each individual record which we have estimated would significantly exceed the 18 hours limit set down by the FOI Act as the reasonable limit. Section 12 of the FOI Act and 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 </w:t>
      </w:r>
      <w:r>
        <w:rPr>
          <w:rFonts w:ascii="Verdana" w:hAnsi="Verdana"/>
          <w:bCs/>
          <w:sz w:val="22"/>
        </w:rPr>
        <w:br/>
      </w:r>
    </w:p>
    <w:p w14:paraId="5B3378BA" w14:textId="5B088754" w:rsidR="001E69AE" w:rsidRPr="001E69AE" w:rsidRDefault="00783DEA" w:rsidP="001E69AE">
      <w:pPr>
        <w:pStyle w:val="ListParagraph"/>
        <w:numPr>
          <w:ilvl w:val="0"/>
          <w:numId w:val="23"/>
        </w:numPr>
        <w:spacing w:before="280"/>
        <w:rPr>
          <w:rFonts w:ascii="Verdana" w:hAnsi="Verdana"/>
          <w:bCs/>
          <w:sz w:val="22"/>
        </w:rPr>
      </w:pPr>
      <w:r w:rsidRPr="00783DEA">
        <w:rPr>
          <w:rFonts w:ascii="Verdana" w:hAnsi="Verdana"/>
          <w:bCs/>
          <w:sz w:val="22"/>
        </w:rPr>
        <w:t>For figures provided for ICO notified incidents and the period 2025-26; data included is not limited to patients only as this data was not consistently recorded at that time. Therefore, figures for these specific responses may also relate to staff, visitors or other data subjects and not solely patients.</w:t>
      </w:r>
      <w:r w:rsidR="001E69AE">
        <w:rPr>
          <w:rFonts w:ascii="Verdana" w:hAnsi="Verdana"/>
          <w:bCs/>
          <w:sz w:val="22"/>
        </w:rPr>
        <w:br/>
      </w:r>
    </w:p>
    <w:p w14:paraId="635CAE49" w14:textId="625C21FD" w:rsidR="00DC0D5A" w:rsidRPr="001E69AE" w:rsidRDefault="001E69AE" w:rsidP="001E69AE">
      <w:pPr>
        <w:pStyle w:val="ListParagraph"/>
        <w:numPr>
          <w:ilvl w:val="0"/>
          <w:numId w:val="23"/>
        </w:numPr>
        <w:spacing w:before="280"/>
        <w:rPr>
          <w:rFonts w:ascii="Verdana" w:hAnsi="Verdana"/>
          <w:bCs/>
          <w:sz w:val="22"/>
        </w:rPr>
      </w:pPr>
      <w:r w:rsidRPr="001E69AE">
        <w:rPr>
          <w:rFonts w:ascii="Verdana" w:hAnsi="Verdana"/>
          <w:bCs/>
          <w:sz w:val="22"/>
        </w:rPr>
        <w:t xml:space="preserve">During the financial year 2025-26, breach categories were not consistently recorded for all incidents; </w:t>
      </w:r>
      <w:proofErr w:type="gramStart"/>
      <w:r w:rsidRPr="001E69AE">
        <w:rPr>
          <w:rFonts w:ascii="Verdana" w:hAnsi="Verdana"/>
          <w:bCs/>
          <w:sz w:val="22"/>
        </w:rPr>
        <w:t>therefore</w:t>
      </w:r>
      <w:proofErr w:type="gramEnd"/>
      <w:r w:rsidRPr="001E69AE">
        <w:rPr>
          <w:rFonts w:ascii="Verdana" w:hAnsi="Verdana"/>
          <w:bCs/>
          <w:sz w:val="22"/>
        </w:rPr>
        <w:t xml:space="preserve"> the table provided in at Q3 includes an additional row noting the breaches not categorised.</w:t>
      </w:r>
    </w:p>
    <w:p w14:paraId="79D42D63" w14:textId="591C3077" w:rsidR="001E69AE" w:rsidRPr="001E69AE" w:rsidRDefault="001E69AE" w:rsidP="001E69AE">
      <w:pPr>
        <w:rPr>
          <w:rFonts w:ascii="Verdana" w:hAnsi="Verdana"/>
          <w:b/>
          <w:bCs/>
          <w:noProof/>
          <w:sz w:val="22"/>
          <w:szCs w:val="22"/>
        </w:rPr>
      </w:pPr>
      <w:r w:rsidRPr="001E69AE">
        <w:rPr>
          <w:rFonts w:ascii="Verdana" w:hAnsi="Verdana"/>
          <w:b/>
          <w:bCs/>
          <w:noProof/>
          <w:sz w:val="22"/>
          <w:szCs w:val="22"/>
        </w:rPr>
        <w:t xml:space="preserve">Please provide the following information in relation to </w:t>
      </w:r>
      <w:r>
        <w:rPr>
          <w:rFonts w:ascii="Verdana" w:hAnsi="Verdana"/>
          <w:b/>
          <w:bCs/>
          <w:noProof/>
          <w:sz w:val="22"/>
          <w:szCs w:val="22"/>
        </w:rPr>
        <w:t>Swansea Bay Health Board for 2025/26</w:t>
      </w:r>
      <w:r w:rsidRPr="001E69AE">
        <w:rPr>
          <w:rFonts w:ascii="Verdana" w:hAnsi="Verdana"/>
          <w:b/>
          <w:bCs/>
          <w:noProof/>
          <w:sz w:val="22"/>
          <w:szCs w:val="22"/>
        </w:rPr>
        <w:t>:</w:t>
      </w:r>
    </w:p>
    <w:p w14:paraId="63E4390D" w14:textId="6DA591C3" w:rsidR="001E69AE" w:rsidRPr="001E69AE" w:rsidRDefault="001E69AE" w:rsidP="001E69AE">
      <w:pPr>
        <w:pStyle w:val="ListParagraph"/>
        <w:numPr>
          <w:ilvl w:val="0"/>
          <w:numId w:val="20"/>
        </w:numPr>
        <w:ind w:left="993" w:hanging="426"/>
        <w:rPr>
          <w:rFonts w:ascii="Verdana" w:hAnsi="Verdana"/>
          <w:b/>
          <w:bCs/>
          <w:noProof/>
          <w:sz w:val="22"/>
          <w:szCs w:val="22"/>
        </w:rPr>
      </w:pPr>
      <w:r w:rsidRPr="001E69AE">
        <w:rPr>
          <w:rFonts w:ascii="Verdana" w:hAnsi="Verdana"/>
          <w:b/>
          <w:bCs/>
          <w:noProof/>
          <w:sz w:val="22"/>
          <w:szCs w:val="22"/>
        </w:rPr>
        <w:t xml:space="preserve">The total number of patient confidentiality breaches (including data breaches or unauthorised disclosures of patient information) recorded in </w:t>
      </w:r>
      <w:r>
        <w:rPr>
          <w:rFonts w:ascii="Verdana" w:hAnsi="Verdana"/>
          <w:b/>
          <w:bCs/>
          <w:noProof/>
          <w:sz w:val="22"/>
          <w:szCs w:val="22"/>
        </w:rPr>
        <w:lastRenderedPageBreak/>
        <w:t>2025/26</w:t>
      </w:r>
      <w:r>
        <w:rPr>
          <w:rFonts w:ascii="Verdana" w:hAnsi="Verdana"/>
          <w:b/>
          <w:bCs/>
          <w:noProof/>
          <w:sz w:val="22"/>
          <w:szCs w:val="22"/>
        </w:rPr>
        <w:br/>
      </w:r>
      <w:r w:rsidRPr="001E69AE">
        <w:rPr>
          <w:rFonts w:ascii="Verdana" w:hAnsi="Verdana"/>
          <w:noProof/>
          <w:sz w:val="22"/>
          <w:szCs w:val="22"/>
        </w:rPr>
        <w:t xml:space="preserve">1627 </w:t>
      </w:r>
      <w:r>
        <w:rPr>
          <w:rFonts w:ascii="Verdana" w:hAnsi="Verdana"/>
          <w:noProof/>
          <w:sz w:val="22"/>
          <w:szCs w:val="22"/>
        </w:rPr>
        <w:br/>
      </w:r>
      <w:r w:rsidRPr="001E69AE">
        <w:rPr>
          <w:rFonts w:ascii="Verdana" w:hAnsi="Verdana"/>
          <w:noProof/>
          <w:sz w:val="22"/>
          <w:szCs w:val="22"/>
        </w:rPr>
        <w:t>Figures include “near misses” and incidents that are not directly attributed to the Health Board, but may require review, input or action from the Health Board eg. Royal Mail delivering a letter to an incorrect address</w:t>
      </w:r>
      <w:r>
        <w:rPr>
          <w:rFonts w:ascii="Verdana" w:hAnsi="Verdana"/>
          <w:noProof/>
          <w:sz w:val="22"/>
          <w:szCs w:val="22"/>
        </w:rPr>
        <w:t>.</w:t>
      </w:r>
      <w:r>
        <w:rPr>
          <w:rFonts w:ascii="Verdana" w:hAnsi="Verdana"/>
          <w:noProof/>
          <w:sz w:val="22"/>
          <w:szCs w:val="22"/>
        </w:rPr>
        <w:br/>
        <w:t>P</w:t>
      </w:r>
      <w:r w:rsidRPr="001E69AE">
        <w:rPr>
          <w:rFonts w:ascii="Verdana" w:hAnsi="Verdana"/>
          <w:noProof/>
          <w:sz w:val="22"/>
          <w:szCs w:val="22"/>
        </w:rPr>
        <w:t>lease note, that figures provided for 2025-26 include incidents not limited to patients only as the data was not collected in this way at that time. Therefore the figure provided may also include incidents relating to staff, visitors or other data subjects</w:t>
      </w:r>
      <w:r>
        <w:rPr>
          <w:rFonts w:ascii="Verdana" w:hAnsi="Verdana"/>
          <w:noProof/>
          <w:sz w:val="22"/>
          <w:szCs w:val="22"/>
        </w:rPr>
        <w:t>.</w:t>
      </w:r>
    </w:p>
    <w:p w14:paraId="5BDE2B45" w14:textId="456D8755" w:rsidR="001E69AE" w:rsidRPr="001E69AE" w:rsidRDefault="001E69AE" w:rsidP="001E69AE">
      <w:pPr>
        <w:pStyle w:val="ListParagraph"/>
        <w:ind w:left="993"/>
        <w:rPr>
          <w:rFonts w:ascii="Verdana" w:hAnsi="Verdana"/>
          <w:b/>
          <w:bCs/>
          <w:noProof/>
          <w:sz w:val="22"/>
          <w:szCs w:val="22"/>
        </w:rPr>
      </w:pPr>
    </w:p>
    <w:p w14:paraId="752EDD17" w14:textId="26ADA2DF" w:rsidR="001E69AE" w:rsidRPr="001E69AE" w:rsidRDefault="001E69AE" w:rsidP="001E69AE">
      <w:pPr>
        <w:pStyle w:val="ListParagraph"/>
        <w:numPr>
          <w:ilvl w:val="0"/>
          <w:numId w:val="20"/>
        </w:numPr>
        <w:ind w:left="993" w:hanging="426"/>
        <w:rPr>
          <w:rFonts w:ascii="Verdana" w:hAnsi="Verdana"/>
          <w:b/>
          <w:bCs/>
          <w:noProof/>
          <w:sz w:val="22"/>
          <w:szCs w:val="22"/>
        </w:rPr>
      </w:pPr>
      <w:r w:rsidRPr="001E69AE">
        <w:rPr>
          <w:rFonts w:ascii="Verdana" w:hAnsi="Verdana"/>
          <w:b/>
          <w:bCs/>
          <w:noProof/>
          <w:sz w:val="22"/>
          <w:szCs w:val="22"/>
        </w:rPr>
        <w:t>A breakdown of these breaches by financial year.</w:t>
      </w:r>
      <w:r>
        <w:rPr>
          <w:rFonts w:ascii="Verdana" w:hAnsi="Verdana"/>
          <w:b/>
          <w:bCs/>
          <w:noProof/>
          <w:sz w:val="22"/>
          <w:szCs w:val="22"/>
        </w:rPr>
        <w:br/>
      </w:r>
      <w:r w:rsidRPr="001E69AE">
        <w:rPr>
          <w:rFonts w:ascii="Verdana" w:hAnsi="Verdana"/>
          <w:noProof/>
          <w:sz w:val="22"/>
          <w:szCs w:val="22"/>
        </w:rPr>
        <w:t>Please see Q1</w:t>
      </w:r>
      <w:r>
        <w:rPr>
          <w:rFonts w:ascii="Verdana" w:hAnsi="Verdana"/>
          <w:b/>
          <w:bCs/>
          <w:noProof/>
          <w:sz w:val="22"/>
          <w:szCs w:val="22"/>
        </w:rPr>
        <w:br/>
      </w:r>
    </w:p>
    <w:p w14:paraId="075E9B71" w14:textId="7903BAD2" w:rsidR="001E69AE" w:rsidRDefault="001E69AE" w:rsidP="001E69AE">
      <w:pPr>
        <w:pStyle w:val="ListParagraph"/>
        <w:numPr>
          <w:ilvl w:val="0"/>
          <w:numId w:val="20"/>
        </w:numPr>
        <w:ind w:left="993" w:hanging="426"/>
        <w:rPr>
          <w:rFonts w:ascii="Verdana" w:hAnsi="Verdana"/>
          <w:b/>
          <w:bCs/>
          <w:noProof/>
          <w:sz w:val="22"/>
          <w:szCs w:val="22"/>
        </w:rPr>
      </w:pPr>
      <w:r w:rsidRPr="001E69AE">
        <w:rPr>
          <w:rFonts w:ascii="Verdana" w:hAnsi="Verdana"/>
          <w:b/>
          <w:bCs/>
          <w:noProof/>
          <w:sz w:val="22"/>
          <w:szCs w:val="22"/>
        </w:rPr>
        <w:t>Where recorded, the general category of breach (for example: human error, lost paperwork, IT-related incident, unauthorised access).</w:t>
      </w:r>
      <w:r>
        <w:rPr>
          <w:rFonts w:ascii="Verdana" w:hAnsi="Verdana"/>
          <w:b/>
          <w:bCs/>
          <w:noProof/>
          <w:sz w:val="22"/>
          <w:szCs w:val="22"/>
        </w:rPr>
        <w:br/>
      </w:r>
    </w:p>
    <w:tbl>
      <w:tblPr>
        <w:tblW w:w="4810" w:type="dxa"/>
        <w:jc w:val="center"/>
        <w:tblCellMar>
          <w:left w:w="0" w:type="dxa"/>
          <w:right w:w="0" w:type="dxa"/>
        </w:tblCellMar>
        <w:tblLook w:val="04A0" w:firstRow="1" w:lastRow="0" w:firstColumn="1" w:lastColumn="0" w:noHBand="0" w:noVBand="1"/>
      </w:tblPr>
      <w:tblGrid>
        <w:gridCol w:w="3256"/>
        <w:gridCol w:w="1554"/>
      </w:tblGrid>
      <w:tr w:rsidR="001E69AE" w:rsidRPr="001E69AE" w14:paraId="3F963202" w14:textId="77777777" w:rsidTr="001E69AE">
        <w:trPr>
          <w:trHeight w:val="464"/>
          <w:jc w:val="center"/>
        </w:trPr>
        <w:tc>
          <w:tcPr>
            <w:tcW w:w="3256"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37DE3BD" w14:textId="77777777" w:rsidR="001E69AE" w:rsidRPr="001E69AE" w:rsidRDefault="001E69AE" w:rsidP="001E69AE">
            <w:pPr>
              <w:spacing w:before="0" w:after="0" w:line="240" w:lineRule="auto"/>
              <w:ind w:left="0" w:right="0"/>
              <w:rPr>
                <w:rFonts w:ascii="Verdana" w:eastAsia="Aptos" w:hAnsi="Verdana" w:cs="Aptos"/>
                <w:sz w:val="22"/>
                <w:szCs w:val="22"/>
                <w:lang w:eastAsia="en-US"/>
              </w:rPr>
            </w:pPr>
            <w:r w:rsidRPr="001E69AE">
              <w:rPr>
                <w:rFonts w:ascii="Verdana" w:eastAsia="Aptos" w:hAnsi="Verdana" w:cs="Aptos"/>
                <w:sz w:val="22"/>
                <w:szCs w:val="22"/>
                <w:lang w:eastAsia="en-US"/>
              </w:rPr>
              <w:t> </w:t>
            </w:r>
          </w:p>
        </w:tc>
        <w:tc>
          <w:tcPr>
            <w:tcW w:w="15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D959C34" w14:textId="292EF85C" w:rsidR="001E69AE" w:rsidRPr="001E69AE" w:rsidRDefault="001E69AE" w:rsidP="001E69AE">
            <w:pPr>
              <w:spacing w:before="0" w:after="0" w:line="240" w:lineRule="auto"/>
              <w:ind w:left="0" w:right="0"/>
              <w:jc w:val="center"/>
              <w:rPr>
                <w:rFonts w:ascii="Verdana" w:eastAsia="Aptos" w:hAnsi="Verdana" w:cs="Aptos"/>
                <w:b/>
                <w:bCs/>
                <w:sz w:val="22"/>
                <w:szCs w:val="22"/>
                <w:lang w:eastAsia="en-US"/>
              </w:rPr>
            </w:pPr>
            <w:r w:rsidRPr="001E69AE">
              <w:rPr>
                <w:rFonts w:ascii="Verdana" w:eastAsia="Aptos" w:hAnsi="Verdana" w:cs="Aptos"/>
                <w:b/>
                <w:bCs/>
                <w:sz w:val="22"/>
                <w:szCs w:val="22"/>
                <w:lang w:eastAsia="en-US"/>
              </w:rPr>
              <w:t>25- 26</w:t>
            </w:r>
          </w:p>
        </w:tc>
      </w:tr>
      <w:tr w:rsidR="001E69AE" w:rsidRPr="001E69AE" w14:paraId="06A6F043" w14:textId="77777777" w:rsidTr="001E69AE">
        <w:trPr>
          <w:trHeight w:val="20"/>
          <w:jc w:val="center"/>
        </w:trPr>
        <w:tc>
          <w:tcPr>
            <w:tcW w:w="32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0095CA2" w14:textId="77777777" w:rsidR="001E69AE" w:rsidRPr="001E69AE" w:rsidRDefault="001E69AE" w:rsidP="001E69AE">
            <w:pPr>
              <w:spacing w:before="0" w:after="0" w:line="240" w:lineRule="auto"/>
              <w:ind w:left="0" w:right="0"/>
              <w:rPr>
                <w:rFonts w:ascii="Verdana" w:eastAsia="Aptos" w:hAnsi="Verdana" w:cs="Aptos"/>
                <w:sz w:val="22"/>
                <w:szCs w:val="22"/>
                <w:lang w:eastAsia="en-US"/>
              </w:rPr>
            </w:pPr>
            <w:r w:rsidRPr="001E69AE">
              <w:rPr>
                <w:rFonts w:ascii="Verdana" w:eastAsia="Aptos" w:hAnsi="Verdana" w:cs="Aptos"/>
                <w:sz w:val="22"/>
                <w:szCs w:val="22"/>
                <w:lang w:eastAsia="en-US"/>
              </w:rPr>
              <w:t>Data Availability</w:t>
            </w:r>
          </w:p>
        </w:tc>
        <w:tc>
          <w:tcPr>
            <w:tcW w:w="15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AA4FDBC" w14:textId="77777777" w:rsidR="001E69AE" w:rsidRPr="001E69AE" w:rsidRDefault="001E69AE" w:rsidP="001E69AE">
            <w:pPr>
              <w:spacing w:before="0" w:after="0" w:line="240" w:lineRule="auto"/>
              <w:ind w:left="0" w:right="0"/>
              <w:jc w:val="center"/>
              <w:rPr>
                <w:rFonts w:ascii="Verdana" w:eastAsia="Aptos" w:hAnsi="Verdana" w:cs="Aptos"/>
                <w:sz w:val="22"/>
                <w:szCs w:val="22"/>
                <w:lang w:eastAsia="en-US"/>
              </w:rPr>
            </w:pPr>
            <w:r w:rsidRPr="001E69AE">
              <w:rPr>
                <w:rFonts w:ascii="Verdana" w:eastAsia="Aptos" w:hAnsi="Verdana" w:cs="Aptos"/>
                <w:color w:val="000000"/>
                <w:sz w:val="22"/>
                <w:szCs w:val="22"/>
              </w:rPr>
              <w:t>62</w:t>
            </w:r>
          </w:p>
        </w:tc>
      </w:tr>
      <w:tr w:rsidR="001E69AE" w:rsidRPr="001E69AE" w14:paraId="7BD8BA1F" w14:textId="77777777" w:rsidTr="001E69AE">
        <w:trPr>
          <w:trHeight w:val="20"/>
          <w:jc w:val="center"/>
        </w:trPr>
        <w:tc>
          <w:tcPr>
            <w:tcW w:w="32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D5C0172" w14:textId="77777777" w:rsidR="001E69AE" w:rsidRPr="001E69AE" w:rsidRDefault="001E69AE" w:rsidP="001E69AE">
            <w:pPr>
              <w:spacing w:before="0" w:after="0" w:line="240" w:lineRule="auto"/>
              <w:ind w:left="0" w:right="0"/>
              <w:rPr>
                <w:rFonts w:ascii="Verdana" w:eastAsia="Aptos" w:hAnsi="Verdana" w:cs="Aptos"/>
                <w:sz w:val="22"/>
                <w:szCs w:val="22"/>
                <w:lang w:eastAsia="en-US"/>
              </w:rPr>
            </w:pPr>
            <w:r w:rsidRPr="001E69AE">
              <w:rPr>
                <w:rFonts w:ascii="Verdana" w:eastAsia="Aptos" w:hAnsi="Verdana" w:cs="Aptos"/>
                <w:sz w:val="22"/>
                <w:szCs w:val="22"/>
                <w:lang w:eastAsia="en-US"/>
              </w:rPr>
              <w:t>Data Integrity</w:t>
            </w:r>
          </w:p>
        </w:tc>
        <w:tc>
          <w:tcPr>
            <w:tcW w:w="15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BD314FB" w14:textId="77777777" w:rsidR="001E69AE" w:rsidRPr="001E69AE" w:rsidRDefault="001E69AE" w:rsidP="001E69AE">
            <w:pPr>
              <w:spacing w:before="0" w:after="0" w:line="240" w:lineRule="auto"/>
              <w:ind w:left="0" w:right="0"/>
              <w:jc w:val="center"/>
              <w:rPr>
                <w:rFonts w:ascii="Verdana" w:eastAsia="Aptos" w:hAnsi="Verdana" w:cs="Aptos"/>
                <w:sz w:val="22"/>
                <w:szCs w:val="22"/>
                <w:lang w:eastAsia="en-US"/>
              </w:rPr>
            </w:pPr>
            <w:r w:rsidRPr="001E69AE">
              <w:rPr>
                <w:rFonts w:ascii="Verdana" w:eastAsia="Aptos" w:hAnsi="Verdana" w:cs="Aptos"/>
                <w:color w:val="000000"/>
                <w:sz w:val="22"/>
                <w:szCs w:val="22"/>
              </w:rPr>
              <w:t>40</w:t>
            </w:r>
          </w:p>
        </w:tc>
      </w:tr>
      <w:tr w:rsidR="001E69AE" w:rsidRPr="001E69AE" w14:paraId="697EC9B5" w14:textId="77777777" w:rsidTr="001E69AE">
        <w:trPr>
          <w:trHeight w:val="20"/>
          <w:jc w:val="center"/>
        </w:trPr>
        <w:tc>
          <w:tcPr>
            <w:tcW w:w="32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4692867" w14:textId="77777777" w:rsidR="001E69AE" w:rsidRPr="001E69AE" w:rsidRDefault="001E69AE" w:rsidP="001E69AE">
            <w:pPr>
              <w:spacing w:before="0" w:after="0" w:line="240" w:lineRule="auto"/>
              <w:ind w:left="0" w:right="0"/>
              <w:rPr>
                <w:rFonts w:ascii="Verdana" w:eastAsia="Aptos" w:hAnsi="Verdana" w:cs="Aptos"/>
                <w:sz w:val="22"/>
                <w:szCs w:val="22"/>
                <w:lang w:eastAsia="en-US"/>
              </w:rPr>
            </w:pPr>
            <w:r w:rsidRPr="001E69AE">
              <w:rPr>
                <w:rFonts w:ascii="Verdana" w:eastAsia="Aptos" w:hAnsi="Verdana" w:cs="Aptos"/>
                <w:sz w:val="22"/>
                <w:szCs w:val="22"/>
                <w:lang w:eastAsia="en-US"/>
              </w:rPr>
              <w:t>Disclosure Electronic</w:t>
            </w:r>
          </w:p>
        </w:tc>
        <w:tc>
          <w:tcPr>
            <w:tcW w:w="15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658D8B8" w14:textId="77777777" w:rsidR="001E69AE" w:rsidRPr="001E69AE" w:rsidRDefault="001E69AE" w:rsidP="001E69AE">
            <w:pPr>
              <w:spacing w:before="0" w:after="0" w:line="240" w:lineRule="auto"/>
              <w:ind w:left="0" w:right="0"/>
              <w:jc w:val="center"/>
              <w:rPr>
                <w:rFonts w:ascii="Verdana" w:eastAsia="Aptos" w:hAnsi="Verdana" w:cs="Aptos"/>
                <w:sz w:val="22"/>
                <w:szCs w:val="22"/>
                <w:lang w:eastAsia="en-US"/>
              </w:rPr>
            </w:pPr>
            <w:r w:rsidRPr="001E69AE">
              <w:rPr>
                <w:rFonts w:ascii="Verdana" w:eastAsia="Aptos" w:hAnsi="Verdana" w:cs="Aptos"/>
                <w:color w:val="000000"/>
                <w:sz w:val="22"/>
                <w:szCs w:val="22"/>
              </w:rPr>
              <w:t>120</w:t>
            </w:r>
          </w:p>
        </w:tc>
      </w:tr>
      <w:tr w:rsidR="001E69AE" w:rsidRPr="001E69AE" w14:paraId="7A5FC471" w14:textId="77777777" w:rsidTr="001E69AE">
        <w:trPr>
          <w:trHeight w:val="20"/>
          <w:jc w:val="center"/>
        </w:trPr>
        <w:tc>
          <w:tcPr>
            <w:tcW w:w="32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00D0DCE" w14:textId="77777777" w:rsidR="001E69AE" w:rsidRPr="001E69AE" w:rsidRDefault="001E69AE" w:rsidP="001E69AE">
            <w:pPr>
              <w:spacing w:before="0" w:after="0" w:line="240" w:lineRule="auto"/>
              <w:ind w:left="0" w:right="0"/>
              <w:rPr>
                <w:rFonts w:ascii="Verdana" w:eastAsia="Aptos" w:hAnsi="Verdana" w:cs="Aptos"/>
                <w:sz w:val="22"/>
                <w:szCs w:val="22"/>
                <w:lang w:eastAsia="en-US"/>
              </w:rPr>
            </w:pPr>
            <w:r w:rsidRPr="001E69AE">
              <w:rPr>
                <w:rFonts w:ascii="Verdana" w:eastAsia="Aptos" w:hAnsi="Verdana" w:cs="Aptos"/>
                <w:sz w:val="22"/>
                <w:szCs w:val="22"/>
                <w:lang w:eastAsia="en-US"/>
              </w:rPr>
              <w:t>Disclosure Paper</w:t>
            </w:r>
          </w:p>
        </w:tc>
        <w:tc>
          <w:tcPr>
            <w:tcW w:w="15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0C255BB" w14:textId="77777777" w:rsidR="001E69AE" w:rsidRPr="001E69AE" w:rsidRDefault="001E69AE" w:rsidP="001E69AE">
            <w:pPr>
              <w:spacing w:before="0" w:after="0" w:line="240" w:lineRule="auto"/>
              <w:ind w:left="0" w:right="0"/>
              <w:jc w:val="center"/>
              <w:rPr>
                <w:rFonts w:ascii="Verdana" w:eastAsia="Aptos" w:hAnsi="Verdana" w:cs="Aptos"/>
                <w:sz w:val="22"/>
                <w:szCs w:val="22"/>
                <w:lang w:eastAsia="en-US"/>
              </w:rPr>
            </w:pPr>
            <w:r w:rsidRPr="001E69AE">
              <w:rPr>
                <w:rFonts w:ascii="Verdana" w:eastAsia="Aptos" w:hAnsi="Verdana" w:cs="Aptos"/>
                <w:color w:val="000000"/>
                <w:sz w:val="22"/>
                <w:szCs w:val="22"/>
              </w:rPr>
              <w:t>130</w:t>
            </w:r>
          </w:p>
        </w:tc>
      </w:tr>
      <w:tr w:rsidR="001E69AE" w:rsidRPr="001E69AE" w14:paraId="2FAE73CA" w14:textId="77777777" w:rsidTr="001E69AE">
        <w:trPr>
          <w:trHeight w:val="20"/>
          <w:jc w:val="center"/>
        </w:trPr>
        <w:tc>
          <w:tcPr>
            <w:tcW w:w="32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7001744" w14:textId="77777777" w:rsidR="001E69AE" w:rsidRPr="001E69AE" w:rsidRDefault="001E69AE" w:rsidP="001E69AE">
            <w:pPr>
              <w:spacing w:before="0" w:after="0" w:line="240" w:lineRule="auto"/>
              <w:ind w:left="0" w:right="0"/>
              <w:rPr>
                <w:rFonts w:ascii="Verdana" w:eastAsia="Aptos" w:hAnsi="Verdana" w:cs="Aptos"/>
                <w:sz w:val="22"/>
                <w:szCs w:val="22"/>
                <w:lang w:eastAsia="en-US"/>
              </w:rPr>
            </w:pPr>
            <w:r w:rsidRPr="001E69AE">
              <w:rPr>
                <w:rFonts w:ascii="Verdana" w:eastAsia="Aptos" w:hAnsi="Verdana" w:cs="Aptos"/>
                <w:sz w:val="22"/>
                <w:szCs w:val="22"/>
                <w:lang w:eastAsia="en-US"/>
              </w:rPr>
              <w:t>Disclosure Verbal</w:t>
            </w:r>
          </w:p>
        </w:tc>
        <w:tc>
          <w:tcPr>
            <w:tcW w:w="15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0455A84" w14:textId="77777777" w:rsidR="001E69AE" w:rsidRPr="001E69AE" w:rsidRDefault="001E69AE" w:rsidP="001E69AE">
            <w:pPr>
              <w:spacing w:before="0" w:after="0" w:line="240" w:lineRule="auto"/>
              <w:ind w:left="0" w:right="0"/>
              <w:jc w:val="center"/>
              <w:rPr>
                <w:rFonts w:ascii="Verdana" w:eastAsia="Aptos" w:hAnsi="Verdana" w:cs="Aptos"/>
                <w:sz w:val="22"/>
                <w:szCs w:val="22"/>
                <w:lang w:eastAsia="en-US"/>
              </w:rPr>
            </w:pPr>
            <w:r w:rsidRPr="001E69AE">
              <w:rPr>
                <w:rFonts w:ascii="Verdana" w:eastAsia="Aptos" w:hAnsi="Verdana" w:cs="Aptos"/>
                <w:color w:val="000000"/>
                <w:sz w:val="22"/>
                <w:szCs w:val="22"/>
              </w:rPr>
              <w:t>11</w:t>
            </w:r>
          </w:p>
        </w:tc>
      </w:tr>
      <w:tr w:rsidR="001E69AE" w:rsidRPr="001E69AE" w14:paraId="20E7A089" w14:textId="77777777" w:rsidTr="001E69AE">
        <w:trPr>
          <w:trHeight w:val="20"/>
          <w:jc w:val="center"/>
        </w:trPr>
        <w:tc>
          <w:tcPr>
            <w:tcW w:w="32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29CCD58" w14:textId="77777777" w:rsidR="001E69AE" w:rsidRPr="001E69AE" w:rsidRDefault="001E69AE" w:rsidP="001E69AE">
            <w:pPr>
              <w:spacing w:before="0" w:after="0" w:line="240" w:lineRule="auto"/>
              <w:ind w:left="0" w:right="0"/>
              <w:rPr>
                <w:rFonts w:ascii="Verdana" w:eastAsia="Aptos" w:hAnsi="Verdana" w:cs="Aptos"/>
                <w:sz w:val="22"/>
                <w:szCs w:val="22"/>
                <w:lang w:eastAsia="en-US"/>
              </w:rPr>
            </w:pPr>
            <w:r w:rsidRPr="001E69AE">
              <w:rPr>
                <w:rFonts w:ascii="Verdana" w:eastAsia="Aptos" w:hAnsi="Verdana" w:cs="Aptos"/>
                <w:sz w:val="22"/>
                <w:szCs w:val="22"/>
                <w:lang w:eastAsia="en-US"/>
              </w:rPr>
              <w:t>Lost in Transit</w:t>
            </w:r>
          </w:p>
        </w:tc>
        <w:tc>
          <w:tcPr>
            <w:tcW w:w="15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0CE2ED7" w14:textId="053C436A" w:rsidR="001E69AE" w:rsidRPr="001E69AE" w:rsidRDefault="001E69AE" w:rsidP="001E69AE">
            <w:pPr>
              <w:spacing w:before="0" w:after="0" w:line="240" w:lineRule="auto"/>
              <w:ind w:left="0" w:right="0"/>
              <w:jc w:val="center"/>
              <w:rPr>
                <w:rFonts w:ascii="Verdana" w:eastAsia="Aptos" w:hAnsi="Verdana" w:cs="Aptos"/>
                <w:sz w:val="22"/>
                <w:szCs w:val="22"/>
                <w:lang w:eastAsia="en-US"/>
              </w:rPr>
            </w:pPr>
            <w:r>
              <w:rPr>
                <w:rFonts w:ascii="Verdana" w:eastAsia="Aptos" w:hAnsi="Verdana" w:cs="Aptos"/>
                <w:sz w:val="22"/>
                <w:szCs w:val="22"/>
                <w:lang w:eastAsia="en-US"/>
              </w:rPr>
              <w:t>&lt;5*</w:t>
            </w:r>
          </w:p>
        </w:tc>
      </w:tr>
      <w:tr w:rsidR="001E69AE" w:rsidRPr="001E69AE" w14:paraId="779F9FDA" w14:textId="77777777" w:rsidTr="001E69AE">
        <w:trPr>
          <w:trHeight w:val="20"/>
          <w:jc w:val="center"/>
        </w:trPr>
        <w:tc>
          <w:tcPr>
            <w:tcW w:w="32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106649C" w14:textId="77777777" w:rsidR="001E69AE" w:rsidRPr="001E69AE" w:rsidRDefault="001E69AE" w:rsidP="001E69AE">
            <w:pPr>
              <w:spacing w:before="0" w:after="0" w:line="240" w:lineRule="auto"/>
              <w:ind w:left="0" w:right="0"/>
              <w:rPr>
                <w:rFonts w:ascii="Verdana" w:eastAsia="Aptos" w:hAnsi="Verdana" w:cs="Aptos"/>
                <w:sz w:val="22"/>
                <w:szCs w:val="22"/>
                <w:lang w:eastAsia="en-US"/>
              </w:rPr>
            </w:pPr>
            <w:r w:rsidRPr="001E69AE">
              <w:rPr>
                <w:rFonts w:ascii="Verdana" w:eastAsia="Aptos" w:hAnsi="Verdana" w:cs="Aptos"/>
                <w:sz w:val="22"/>
                <w:szCs w:val="22"/>
                <w:lang w:eastAsia="en-US"/>
              </w:rPr>
              <w:t>Lost/Stolen Hardware</w:t>
            </w:r>
          </w:p>
        </w:tc>
        <w:tc>
          <w:tcPr>
            <w:tcW w:w="15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C536D95" w14:textId="77777777" w:rsidR="001E69AE" w:rsidRPr="001E69AE" w:rsidRDefault="001E69AE" w:rsidP="001E69AE">
            <w:pPr>
              <w:spacing w:before="0" w:after="0" w:line="240" w:lineRule="auto"/>
              <w:ind w:left="0" w:right="0"/>
              <w:jc w:val="center"/>
              <w:rPr>
                <w:rFonts w:ascii="Verdana" w:eastAsia="Aptos" w:hAnsi="Verdana" w:cs="Aptos"/>
                <w:sz w:val="22"/>
                <w:szCs w:val="22"/>
                <w:lang w:eastAsia="en-US"/>
              </w:rPr>
            </w:pPr>
            <w:r w:rsidRPr="001E69AE">
              <w:rPr>
                <w:rFonts w:ascii="Verdana" w:eastAsia="Aptos" w:hAnsi="Verdana" w:cs="Aptos"/>
                <w:color w:val="000000"/>
                <w:sz w:val="22"/>
                <w:szCs w:val="22"/>
              </w:rPr>
              <w:t>7</w:t>
            </w:r>
          </w:p>
        </w:tc>
      </w:tr>
      <w:tr w:rsidR="001E69AE" w:rsidRPr="001E69AE" w14:paraId="1E7B6DE4" w14:textId="77777777" w:rsidTr="001E69AE">
        <w:trPr>
          <w:trHeight w:val="20"/>
          <w:jc w:val="center"/>
        </w:trPr>
        <w:tc>
          <w:tcPr>
            <w:tcW w:w="32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1C46D46" w14:textId="77777777" w:rsidR="001E69AE" w:rsidRPr="001E69AE" w:rsidRDefault="001E69AE" w:rsidP="001E69AE">
            <w:pPr>
              <w:spacing w:before="0" w:after="0" w:line="240" w:lineRule="auto"/>
              <w:ind w:left="0" w:right="0"/>
              <w:rPr>
                <w:rFonts w:ascii="Verdana" w:eastAsia="Aptos" w:hAnsi="Verdana" w:cs="Aptos"/>
                <w:sz w:val="22"/>
                <w:szCs w:val="22"/>
                <w:lang w:eastAsia="en-US"/>
              </w:rPr>
            </w:pPr>
            <w:r w:rsidRPr="001E69AE">
              <w:rPr>
                <w:rFonts w:ascii="Verdana" w:eastAsia="Aptos" w:hAnsi="Verdana" w:cs="Aptos"/>
                <w:sz w:val="22"/>
                <w:szCs w:val="22"/>
                <w:lang w:eastAsia="en-US"/>
              </w:rPr>
              <w:t>Lost/Stolen Paperwork</w:t>
            </w:r>
          </w:p>
        </w:tc>
        <w:tc>
          <w:tcPr>
            <w:tcW w:w="15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9F25D7" w14:textId="77777777" w:rsidR="001E69AE" w:rsidRPr="001E69AE" w:rsidRDefault="001E69AE" w:rsidP="001E69AE">
            <w:pPr>
              <w:spacing w:before="0" w:after="0" w:line="240" w:lineRule="auto"/>
              <w:ind w:left="0" w:right="0"/>
              <w:jc w:val="center"/>
              <w:rPr>
                <w:rFonts w:ascii="Verdana" w:eastAsia="Aptos" w:hAnsi="Verdana" w:cs="Aptos"/>
                <w:sz w:val="22"/>
                <w:szCs w:val="22"/>
                <w:lang w:eastAsia="en-US"/>
              </w:rPr>
            </w:pPr>
            <w:r w:rsidRPr="001E69AE">
              <w:rPr>
                <w:rFonts w:ascii="Verdana" w:eastAsia="Aptos" w:hAnsi="Verdana" w:cs="Aptos"/>
                <w:color w:val="000000"/>
                <w:sz w:val="22"/>
                <w:szCs w:val="22"/>
              </w:rPr>
              <w:t>59</w:t>
            </w:r>
          </w:p>
        </w:tc>
      </w:tr>
      <w:tr w:rsidR="001E69AE" w:rsidRPr="001E69AE" w14:paraId="4784D0AB" w14:textId="77777777" w:rsidTr="001E69AE">
        <w:trPr>
          <w:trHeight w:val="20"/>
          <w:jc w:val="center"/>
        </w:trPr>
        <w:tc>
          <w:tcPr>
            <w:tcW w:w="32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03393EE" w14:textId="77777777" w:rsidR="001E69AE" w:rsidRPr="001E69AE" w:rsidRDefault="001E69AE" w:rsidP="001E69AE">
            <w:pPr>
              <w:spacing w:before="0" w:after="0" w:line="240" w:lineRule="auto"/>
              <w:ind w:left="0" w:right="0"/>
              <w:rPr>
                <w:rFonts w:ascii="Verdana" w:eastAsia="Aptos" w:hAnsi="Verdana" w:cs="Aptos"/>
                <w:sz w:val="22"/>
                <w:szCs w:val="22"/>
                <w:lang w:eastAsia="en-US"/>
              </w:rPr>
            </w:pPr>
            <w:r w:rsidRPr="001E69AE">
              <w:rPr>
                <w:rFonts w:ascii="Verdana" w:eastAsia="Aptos" w:hAnsi="Verdana" w:cs="Aptos"/>
                <w:sz w:val="22"/>
                <w:szCs w:val="22"/>
                <w:lang w:eastAsia="en-US"/>
              </w:rPr>
              <w:t>Misfiled</w:t>
            </w:r>
          </w:p>
        </w:tc>
        <w:tc>
          <w:tcPr>
            <w:tcW w:w="15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09F18E" w14:textId="77777777" w:rsidR="001E69AE" w:rsidRPr="001E69AE" w:rsidRDefault="001E69AE" w:rsidP="001E69AE">
            <w:pPr>
              <w:spacing w:before="0" w:after="0" w:line="240" w:lineRule="auto"/>
              <w:ind w:left="0" w:right="0"/>
              <w:jc w:val="center"/>
              <w:rPr>
                <w:rFonts w:ascii="Verdana" w:eastAsia="Aptos" w:hAnsi="Verdana" w:cs="Aptos"/>
                <w:sz w:val="22"/>
                <w:szCs w:val="22"/>
                <w:lang w:eastAsia="en-US"/>
              </w:rPr>
            </w:pPr>
            <w:r w:rsidRPr="001E69AE">
              <w:rPr>
                <w:rFonts w:ascii="Verdana" w:eastAsia="Aptos" w:hAnsi="Verdana" w:cs="Aptos"/>
                <w:color w:val="000000"/>
                <w:sz w:val="22"/>
                <w:szCs w:val="22"/>
              </w:rPr>
              <w:t>0</w:t>
            </w:r>
          </w:p>
        </w:tc>
      </w:tr>
      <w:tr w:rsidR="001E69AE" w:rsidRPr="001E69AE" w14:paraId="5424B126" w14:textId="77777777" w:rsidTr="001E69AE">
        <w:trPr>
          <w:trHeight w:val="20"/>
          <w:jc w:val="center"/>
        </w:trPr>
        <w:tc>
          <w:tcPr>
            <w:tcW w:w="32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D46022B" w14:textId="77777777" w:rsidR="001E69AE" w:rsidRPr="001E69AE" w:rsidRDefault="001E69AE" w:rsidP="001E69AE">
            <w:pPr>
              <w:spacing w:before="0" w:after="0" w:line="240" w:lineRule="auto"/>
              <w:ind w:left="0" w:right="0"/>
              <w:rPr>
                <w:rFonts w:ascii="Verdana" w:eastAsia="Aptos" w:hAnsi="Verdana" w:cs="Aptos"/>
                <w:sz w:val="22"/>
                <w:szCs w:val="22"/>
                <w:lang w:eastAsia="en-US"/>
              </w:rPr>
            </w:pPr>
            <w:r w:rsidRPr="001E69AE">
              <w:rPr>
                <w:rFonts w:ascii="Verdana" w:eastAsia="Aptos" w:hAnsi="Verdana" w:cs="Aptos"/>
                <w:sz w:val="22"/>
                <w:szCs w:val="22"/>
                <w:lang w:eastAsia="en-US"/>
              </w:rPr>
              <w:t>Misfiled Electronic</w:t>
            </w:r>
          </w:p>
        </w:tc>
        <w:tc>
          <w:tcPr>
            <w:tcW w:w="15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82CA78E" w14:textId="77777777" w:rsidR="001E69AE" w:rsidRPr="001E69AE" w:rsidRDefault="001E69AE" w:rsidP="001E69AE">
            <w:pPr>
              <w:spacing w:before="0" w:after="0" w:line="240" w:lineRule="auto"/>
              <w:ind w:left="0" w:right="0"/>
              <w:jc w:val="center"/>
              <w:rPr>
                <w:rFonts w:ascii="Verdana" w:eastAsia="Aptos" w:hAnsi="Verdana" w:cs="Aptos"/>
                <w:sz w:val="22"/>
                <w:szCs w:val="22"/>
                <w:lang w:eastAsia="en-US"/>
              </w:rPr>
            </w:pPr>
            <w:r w:rsidRPr="001E69AE">
              <w:rPr>
                <w:rFonts w:ascii="Verdana" w:eastAsia="Aptos" w:hAnsi="Verdana" w:cs="Aptos"/>
                <w:color w:val="000000"/>
                <w:sz w:val="22"/>
                <w:szCs w:val="22"/>
              </w:rPr>
              <w:t>89</w:t>
            </w:r>
          </w:p>
        </w:tc>
      </w:tr>
      <w:tr w:rsidR="001E69AE" w:rsidRPr="001E69AE" w14:paraId="0D40B56A" w14:textId="77777777" w:rsidTr="001E69AE">
        <w:trPr>
          <w:trHeight w:val="20"/>
          <w:jc w:val="center"/>
        </w:trPr>
        <w:tc>
          <w:tcPr>
            <w:tcW w:w="32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EACF259" w14:textId="77777777" w:rsidR="001E69AE" w:rsidRPr="001E69AE" w:rsidRDefault="001E69AE" w:rsidP="001E69AE">
            <w:pPr>
              <w:spacing w:before="0" w:after="0" w:line="240" w:lineRule="auto"/>
              <w:ind w:left="0" w:right="0"/>
              <w:rPr>
                <w:rFonts w:ascii="Verdana" w:eastAsia="Aptos" w:hAnsi="Verdana" w:cs="Aptos"/>
                <w:sz w:val="22"/>
                <w:szCs w:val="22"/>
                <w:lang w:eastAsia="en-US"/>
              </w:rPr>
            </w:pPr>
            <w:r w:rsidRPr="001E69AE">
              <w:rPr>
                <w:rFonts w:ascii="Verdana" w:eastAsia="Aptos" w:hAnsi="Verdana" w:cs="Aptos"/>
                <w:sz w:val="22"/>
                <w:szCs w:val="22"/>
                <w:lang w:eastAsia="en-US"/>
              </w:rPr>
              <w:t>Misfiled Paper</w:t>
            </w:r>
          </w:p>
        </w:tc>
        <w:tc>
          <w:tcPr>
            <w:tcW w:w="15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8A356AB" w14:textId="77777777" w:rsidR="001E69AE" w:rsidRPr="001E69AE" w:rsidRDefault="001E69AE" w:rsidP="001E69AE">
            <w:pPr>
              <w:spacing w:before="0" w:after="0" w:line="240" w:lineRule="auto"/>
              <w:ind w:left="0" w:right="0"/>
              <w:jc w:val="center"/>
              <w:rPr>
                <w:rFonts w:ascii="Verdana" w:eastAsia="Aptos" w:hAnsi="Verdana" w:cs="Aptos"/>
                <w:sz w:val="22"/>
                <w:szCs w:val="22"/>
                <w:lang w:eastAsia="en-US"/>
              </w:rPr>
            </w:pPr>
            <w:r w:rsidRPr="001E69AE">
              <w:rPr>
                <w:rFonts w:ascii="Verdana" w:eastAsia="Aptos" w:hAnsi="Verdana" w:cs="Aptos"/>
                <w:color w:val="000000"/>
                <w:sz w:val="22"/>
                <w:szCs w:val="22"/>
              </w:rPr>
              <w:t>484</w:t>
            </w:r>
          </w:p>
        </w:tc>
      </w:tr>
      <w:tr w:rsidR="001E69AE" w:rsidRPr="001E69AE" w14:paraId="5887D79B" w14:textId="77777777" w:rsidTr="001E69AE">
        <w:trPr>
          <w:trHeight w:val="20"/>
          <w:jc w:val="center"/>
        </w:trPr>
        <w:tc>
          <w:tcPr>
            <w:tcW w:w="32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67C6E71" w14:textId="77777777" w:rsidR="001E69AE" w:rsidRPr="001E69AE" w:rsidRDefault="001E69AE" w:rsidP="001E69AE">
            <w:pPr>
              <w:spacing w:before="0" w:after="0" w:line="240" w:lineRule="auto"/>
              <w:ind w:left="0" w:right="0"/>
              <w:rPr>
                <w:rFonts w:ascii="Verdana" w:eastAsia="Aptos" w:hAnsi="Verdana" w:cs="Aptos"/>
                <w:sz w:val="22"/>
                <w:szCs w:val="22"/>
                <w:lang w:eastAsia="en-US"/>
              </w:rPr>
            </w:pPr>
            <w:r w:rsidRPr="001E69AE">
              <w:rPr>
                <w:rFonts w:ascii="Verdana" w:eastAsia="Aptos" w:hAnsi="Verdana" w:cs="Aptos"/>
                <w:sz w:val="22"/>
                <w:szCs w:val="22"/>
                <w:lang w:eastAsia="en-US"/>
              </w:rPr>
              <w:t>Non-Secure Disposal</w:t>
            </w:r>
          </w:p>
        </w:tc>
        <w:tc>
          <w:tcPr>
            <w:tcW w:w="15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B362DCD" w14:textId="0013204D" w:rsidR="001E69AE" w:rsidRPr="001E69AE" w:rsidRDefault="001E69AE" w:rsidP="001E69AE">
            <w:pPr>
              <w:spacing w:before="0" w:after="0" w:line="240" w:lineRule="auto"/>
              <w:ind w:left="0" w:right="0"/>
              <w:jc w:val="center"/>
              <w:rPr>
                <w:rFonts w:ascii="Verdana" w:eastAsia="Aptos" w:hAnsi="Verdana" w:cs="Aptos"/>
                <w:sz w:val="22"/>
                <w:szCs w:val="22"/>
                <w:lang w:eastAsia="en-US"/>
              </w:rPr>
            </w:pPr>
            <w:r>
              <w:rPr>
                <w:rFonts w:ascii="Verdana" w:eastAsia="Aptos" w:hAnsi="Verdana" w:cs="Aptos"/>
                <w:sz w:val="22"/>
                <w:szCs w:val="22"/>
                <w:lang w:eastAsia="en-US"/>
              </w:rPr>
              <w:t>&lt;5*</w:t>
            </w:r>
          </w:p>
        </w:tc>
      </w:tr>
      <w:tr w:rsidR="001E69AE" w:rsidRPr="001E69AE" w14:paraId="76DB32ED" w14:textId="77777777" w:rsidTr="001E69AE">
        <w:trPr>
          <w:trHeight w:val="20"/>
          <w:jc w:val="center"/>
        </w:trPr>
        <w:tc>
          <w:tcPr>
            <w:tcW w:w="32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E672FBF" w14:textId="77777777" w:rsidR="001E69AE" w:rsidRPr="001E69AE" w:rsidRDefault="001E69AE" w:rsidP="001E69AE">
            <w:pPr>
              <w:spacing w:before="0" w:after="0" w:line="240" w:lineRule="auto"/>
              <w:ind w:left="0" w:right="0"/>
              <w:rPr>
                <w:rFonts w:ascii="Verdana" w:eastAsia="Aptos" w:hAnsi="Verdana" w:cs="Aptos"/>
                <w:sz w:val="22"/>
                <w:szCs w:val="22"/>
                <w:lang w:eastAsia="en-US"/>
              </w:rPr>
            </w:pPr>
            <w:r w:rsidRPr="001E69AE">
              <w:rPr>
                <w:rFonts w:ascii="Verdana" w:eastAsia="Aptos" w:hAnsi="Verdana" w:cs="Aptos"/>
                <w:sz w:val="22"/>
                <w:szCs w:val="22"/>
                <w:lang w:eastAsia="en-US"/>
              </w:rPr>
              <w:t>Other</w:t>
            </w:r>
          </w:p>
        </w:tc>
        <w:tc>
          <w:tcPr>
            <w:tcW w:w="15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5213AD7" w14:textId="77777777" w:rsidR="001E69AE" w:rsidRPr="001E69AE" w:rsidRDefault="001E69AE" w:rsidP="001E69AE">
            <w:pPr>
              <w:spacing w:before="0" w:after="0" w:line="240" w:lineRule="auto"/>
              <w:ind w:left="0" w:right="0"/>
              <w:jc w:val="center"/>
              <w:rPr>
                <w:rFonts w:ascii="Verdana" w:eastAsia="Aptos" w:hAnsi="Verdana" w:cs="Aptos"/>
                <w:sz w:val="22"/>
                <w:szCs w:val="22"/>
                <w:lang w:eastAsia="en-US"/>
              </w:rPr>
            </w:pPr>
            <w:r w:rsidRPr="001E69AE">
              <w:rPr>
                <w:rFonts w:ascii="Verdana" w:eastAsia="Aptos" w:hAnsi="Verdana" w:cs="Aptos"/>
                <w:color w:val="000000"/>
                <w:sz w:val="22"/>
                <w:szCs w:val="22"/>
              </w:rPr>
              <w:t>50</w:t>
            </w:r>
          </w:p>
        </w:tc>
      </w:tr>
      <w:tr w:rsidR="001E69AE" w:rsidRPr="001E69AE" w14:paraId="2A0D6CB1" w14:textId="77777777" w:rsidTr="001E69AE">
        <w:trPr>
          <w:trHeight w:val="20"/>
          <w:jc w:val="center"/>
        </w:trPr>
        <w:tc>
          <w:tcPr>
            <w:tcW w:w="32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23DB2B8" w14:textId="77777777" w:rsidR="001E69AE" w:rsidRPr="001E69AE" w:rsidRDefault="001E69AE" w:rsidP="001E69AE">
            <w:pPr>
              <w:spacing w:before="0" w:after="0" w:line="240" w:lineRule="auto"/>
              <w:ind w:left="0" w:right="0"/>
              <w:rPr>
                <w:rFonts w:ascii="Verdana" w:eastAsia="Aptos" w:hAnsi="Verdana" w:cs="Aptos"/>
                <w:sz w:val="22"/>
                <w:szCs w:val="22"/>
                <w:lang w:eastAsia="en-US"/>
              </w:rPr>
            </w:pPr>
            <w:r w:rsidRPr="001E69AE">
              <w:rPr>
                <w:rFonts w:ascii="Verdana" w:eastAsia="Aptos" w:hAnsi="Verdana" w:cs="Aptos"/>
                <w:sz w:val="22"/>
                <w:szCs w:val="22"/>
                <w:lang w:eastAsia="en-US"/>
              </w:rPr>
              <w:t>Technical Security Failing</w:t>
            </w:r>
          </w:p>
        </w:tc>
        <w:tc>
          <w:tcPr>
            <w:tcW w:w="15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E9FF883" w14:textId="694902AC" w:rsidR="001E69AE" w:rsidRPr="001E69AE" w:rsidRDefault="001E69AE" w:rsidP="001E69AE">
            <w:pPr>
              <w:spacing w:before="0" w:after="0" w:line="240" w:lineRule="auto"/>
              <w:ind w:left="0" w:right="0"/>
              <w:jc w:val="center"/>
              <w:rPr>
                <w:rFonts w:ascii="Verdana" w:eastAsia="Aptos" w:hAnsi="Verdana" w:cs="Aptos"/>
                <w:sz w:val="22"/>
                <w:szCs w:val="22"/>
                <w:lang w:eastAsia="en-US"/>
              </w:rPr>
            </w:pPr>
            <w:r>
              <w:rPr>
                <w:rFonts w:ascii="Verdana" w:eastAsia="Aptos" w:hAnsi="Verdana" w:cs="Aptos"/>
                <w:sz w:val="22"/>
                <w:szCs w:val="22"/>
                <w:lang w:eastAsia="en-US"/>
              </w:rPr>
              <w:t>&lt;5*</w:t>
            </w:r>
          </w:p>
        </w:tc>
      </w:tr>
      <w:tr w:rsidR="001E69AE" w:rsidRPr="001E69AE" w14:paraId="3BE6DE0E" w14:textId="77777777" w:rsidTr="001E69AE">
        <w:trPr>
          <w:trHeight w:val="20"/>
          <w:jc w:val="center"/>
        </w:trPr>
        <w:tc>
          <w:tcPr>
            <w:tcW w:w="32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00F977E" w14:textId="77777777" w:rsidR="001E69AE" w:rsidRPr="001E69AE" w:rsidRDefault="001E69AE" w:rsidP="001E69AE">
            <w:pPr>
              <w:spacing w:before="0" w:after="0" w:line="240" w:lineRule="auto"/>
              <w:ind w:left="0" w:right="0"/>
              <w:rPr>
                <w:rFonts w:ascii="Verdana" w:eastAsia="Aptos" w:hAnsi="Verdana" w:cs="Aptos"/>
                <w:sz w:val="22"/>
                <w:szCs w:val="22"/>
                <w:lang w:eastAsia="en-US"/>
              </w:rPr>
            </w:pPr>
            <w:r w:rsidRPr="001E69AE">
              <w:rPr>
                <w:rFonts w:ascii="Verdana" w:eastAsia="Aptos" w:hAnsi="Verdana" w:cs="Aptos"/>
                <w:sz w:val="22"/>
                <w:szCs w:val="22"/>
                <w:lang w:eastAsia="en-US"/>
              </w:rPr>
              <w:t>Unauthorised Access</w:t>
            </w:r>
          </w:p>
        </w:tc>
        <w:tc>
          <w:tcPr>
            <w:tcW w:w="15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E2DBE34" w14:textId="77777777" w:rsidR="001E69AE" w:rsidRPr="001E69AE" w:rsidRDefault="001E69AE" w:rsidP="001E69AE">
            <w:pPr>
              <w:spacing w:before="0" w:after="0" w:line="240" w:lineRule="auto"/>
              <w:ind w:left="0" w:right="0"/>
              <w:jc w:val="center"/>
              <w:rPr>
                <w:rFonts w:ascii="Verdana" w:eastAsia="Aptos" w:hAnsi="Verdana" w:cs="Aptos"/>
                <w:sz w:val="22"/>
                <w:szCs w:val="22"/>
                <w:lang w:eastAsia="en-US"/>
              </w:rPr>
            </w:pPr>
            <w:r w:rsidRPr="001E69AE">
              <w:rPr>
                <w:rFonts w:ascii="Verdana" w:eastAsia="Aptos" w:hAnsi="Verdana" w:cs="Aptos"/>
                <w:color w:val="000000"/>
                <w:sz w:val="22"/>
                <w:szCs w:val="22"/>
              </w:rPr>
              <w:t>67</w:t>
            </w:r>
          </w:p>
        </w:tc>
      </w:tr>
      <w:tr w:rsidR="001E69AE" w:rsidRPr="001E69AE" w14:paraId="1BFD9839" w14:textId="77777777" w:rsidTr="001E69AE">
        <w:trPr>
          <w:trHeight w:val="20"/>
          <w:jc w:val="center"/>
        </w:trPr>
        <w:tc>
          <w:tcPr>
            <w:tcW w:w="32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2E1A105" w14:textId="77777777" w:rsidR="001E69AE" w:rsidRPr="001E69AE" w:rsidRDefault="001E69AE" w:rsidP="001E69AE">
            <w:pPr>
              <w:spacing w:before="0" w:after="0" w:line="240" w:lineRule="auto"/>
              <w:ind w:left="0" w:right="0"/>
              <w:rPr>
                <w:rFonts w:ascii="Verdana" w:eastAsia="Aptos" w:hAnsi="Verdana" w:cs="Aptos"/>
                <w:sz w:val="22"/>
                <w:szCs w:val="22"/>
                <w:lang w:eastAsia="en-US"/>
              </w:rPr>
            </w:pPr>
            <w:r w:rsidRPr="001E69AE">
              <w:rPr>
                <w:rFonts w:ascii="Verdana" w:eastAsia="Aptos" w:hAnsi="Verdana" w:cs="Aptos"/>
                <w:sz w:val="22"/>
                <w:szCs w:val="22"/>
                <w:lang w:eastAsia="en-US"/>
              </w:rPr>
              <w:t>Category Not Recorded</w:t>
            </w:r>
          </w:p>
        </w:tc>
        <w:tc>
          <w:tcPr>
            <w:tcW w:w="15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DBECE4F" w14:textId="7BD4A65E" w:rsidR="001E69AE" w:rsidRPr="001E69AE" w:rsidRDefault="001E69AE" w:rsidP="001E69AE">
            <w:pPr>
              <w:spacing w:before="0" w:after="0" w:line="240" w:lineRule="auto"/>
              <w:ind w:left="0" w:right="0"/>
              <w:jc w:val="center"/>
              <w:rPr>
                <w:rFonts w:ascii="Verdana" w:eastAsia="Aptos" w:hAnsi="Verdana" w:cs="Aptos"/>
                <w:sz w:val="22"/>
                <w:szCs w:val="22"/>
                <w:lang w:eastAsia="en-US"/>
              </w:rPr>
            </w:pPr>
            <w:r w:rsidRPr="001E69AE">
              <w:rPr>
                <w:rFonts w:ascii="Verdana" w:eastAsia="Aptos" w:hAnsi="Verdana" w:cs="Aptos"/>
                <w:sz w:val="22"/>
                <w:szCs w:val="22"/>
                <w:lang w:eastAsia="en-US"/>
              </w:rPr>
              <w:t>498</w:t>
            </w:r>
          </w:p>
        </w:tc>
      </w:tr>
      <w:tr w:rsidR="001E69AE" w:rsidRPr="001E69AE" w14:paraId="7C0AA578" w14:textId="77777777" w:rsidTr="001E69AE">
        <w:trPr>
          <w:trHeight w:val="456"/>
          <w:jc w:val="center"/>
        </w:trPr>
        <w:tc>
          <w:tcPr>
            <w:tcW w:w="32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AC58F5B" w14:textId="77777777" w:rsidR="001E69AE" w:rsidRPr="001E69AE" w:rsidRDefault="001E69AE" w:rsidP="001E69AE">
            <w:pPr>
              <w:spacing w:before="0" w:after="0" w:line="240" w:lineRule="auto"/>
              <w:ind w:left="0" w:right="0"/>
              <w:rPr>
                <w:rFonts w:ascii="Verdana" w:eastAsia="Aptos" w:hAnsi="Verdana" w:cs="Aptos"/>
                <w:b/>
                <w:bCs/>
                <w:sz w:val="22"/>
                <w:szCs w:val="22"/>
                <w:u w:val="single"/>
                <w:lang w:eastAsia="en-US"/>
              </w:rPr>
            </w:pPr>
            <w:r w:rsidRPr="001E69AE">
              <w:rPr>
                <w:rFonts w:ascii="Verdana" w:eastAsia="Aptos" w:hAnsi="Verdana" w:cs="Aptos"/>
                <w:b/>
                <w:bCs/>
                <w:sz w:val="22"/>
                <w:szCs w:val="22"/>
                <w:u w:val="single"/>
                <w:lang w:eastAsia="en-US"/>
              </w:rPr>
              <w:t>Total No. of Breaches</w:t>
            </w:r>
          </w:p>
        </w:tc>
        <w:tc>
          <w:tcPr>
            <w:tcW w:w="15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B7537D" w14:textId="77777777" w:rsidR="001E69AE" w:rsidRPr="001E69AE" w:rsidRDefault="001E69AE" w:rsidP="001E69AE">
            <w:pPr>
              <w:spacing w:before="0" w:after="0" w:line="240" w:lineRule="auto"/>
              <w:ind w:left="0" w:right="0"/>
              <w:jc w:val="center"/>
              <w:rPr>
                <w:rFonts w:ascii="Verdana" w:eastAsia="Aptos" w:hAnsi="Verdana" w:cs="Aptos"/>
                <w:b/>
                <w:bCs/>
                <w:sz w:val="22"/>
                <w:szCs w:val="22"/>
                <w:lang w:eastAsia="en-US"/>
              </w:rPr>
            </w:pPr>
            <w:r w:rsidRPr="001E69AE">
              <w:rPr>
                <w:rFonts w:ascii="Verdana" w:eastAsia="Aptos" w:hAnsi="Verdana" w:cs="Aptos"/>
                <w:b/>
                <w:bCs/>
                <w:sz w:val="22"/>
                <w:szCs w:val="22"/>
                <w:lang w:eastAsia="en-US"/>
              </w:rPr>
              <w:t>1627</w:t>
            </w:r>
          </w:p>
        </w:tc>
      </w:tr>
    </w:tbl>
    <w:p w14:paraId="21E4B232" w14:textId="338EC66A" w:rsidR="001E69AE" w:rsidRPr="001E69AE" w:rsidRDefault="001E69AE" w:rsidP="001E69AE">
      <w:pPr>
        <w:pStyle w:val="ListParagraph"/>
        <w:ind w:left="993"/>
        <w:rPr>
          <w:rFonts w:ascii="Verdana" w:hAnsi="Verdana"/>
          <w:b/>
          <w:bCs/>
          <w:noProof/>
          <w:sz w:val="22"/>
          <w:szCs w:val="22"/>
        </w:rPr>
      </w:pPr>
      <w:r>
        <w:rPr>
          <w:rFonts w:ascii="Verdana" w:hAnsi="Verdana"/>
          <w:b/>
          <w:bCs/>
          <w:noProof/>
          <w:sz w:val="22"/>
          <w:szCs w:val="22"/>
        </w:rPr>
        <w:br/>
      </w:r>
    </w:p>
    <w:p w14:paraId="5D94DEEF" w14:textId="193F7EB9" w:rsidR="001E69AE" w:rsidRPr="001E69AE" w:rsidRDefault="001E69AE" w:rsidP="001E69AE">
      <w:pPr>
        <w:pStyle w:val="ListParagraph"/>
        <w:numPr>
          <w:ilvl w:val="0"/>
          <w:numId w:val="20"/>
        </w:numPr>
        <w:ind w:left="993" w:hanging="426"/>
        <w:rPr>
          <w:rFonts w:ascii="Verdana" w:hAnsi="Verdana"/>
          <w:b/>
          <w:bCs/>
          <w:noProof/>
          <w:sz w:val="22"/>
          <w:szCs w:val="22"/>
        </w:rPr>
      </w:pPr>
      <w:r w:rsidRPr="001E69AE">
        <w:rPr>
          <w:rFonts w:ascii="Verdana" w:hAnsi="Verdana"/>
          <w:b/>
          <w:bCs/>
          <w:noProof/>
          <w:sz w:val="22"/>
          <w:szCs w:val="22"/>
        </w:rPr>
        <w:t xml:space="preserve">The number of breaches in </w:t>
      </w:r>
      <w:r>
        <w:rPr>
          <w:rFonts w:ascii="Verdana" w:hAnsi="Verdana"/>
          <w:b/>
          <w:bCs/>
          <w:noProof/>
          <w:sz w:val="22"/>
          <w:szCs w:val="22"/>
        </w:rPr>
        <w:t>25/26</w:t>
      </w:r>
      <w:r w:rsidRPr="001E69AE">
        <w:rPr>
          <w:rFonts w:ascii="Verdana" w:hAnsi="Verdana"/>
          <w:b/>
          <w:bCs/>
          <w:noProof/>
          <w:sz w:val="22"/>
          <w:szCs w:val="22"/>
        </w:rPr>
        <w:t xml:space="preserve"> that were reported to the Information Commissioner’s Office (ICO).</w:t>
      </w:r>
      <w:r>
        <w:rPr>
          <w:rFonts w:ascii="Verdana" w:hAnsi="Verdana"/>
          <w:b/>
          <w:bCs/>
          <w:noProof/>
          <w:sz w:val="22"/>
          <w:szCs w:val="22"/>
        </w:rPr>
        <w:br/>
      </w:r>
      <w:r w:rsidRPr="001E69AE">
        <w:rPr>
          <w:rFonts w:ascii="Verdana" w:hAnsi="Verdana"/>
          <w:noProof/>
          <w:sz w:val="22"/>
          <w:szCs w:val="22"/>
        </w:rPr>
        <w:t>7</w:t>
      </w:r>
      <w:r w:rsidR="00783DEA">
        <w:rPr>
          <w:rFonts w:ascii="Verdana" w:hAnsi="Verdana"/>
          <w:noProof/>
          <w:sz w:val="22"/>
          <w:szCs w:val="22"/>
        </w:rPr>
        <w:br/>
      </w:r>
    </w:p>
    <w:p w14:paraId="33396E90" w14:textId="54A696FC" w:rsidR="001E69AE" w:rsidRPr="001E69AE" w:rsidRDefault="001E69AE" w:rsidP="001E69AE">
      <w:pPr>
        <w:pStyle w:val="ListParagraph"/>
        <w:numPr>
          <w:ilvl w:val="0"/>
          <w:numId w:val="20"/>
        </w:numPr>
        <w:ind w:left="993" w:hanging="426"/>
        <w:rPr>
          <w:rFonts w:ascii="Verdana" w:hAnsi="Verdana"/>
          <w:b/>
          <w:bCs/>
          <w:noProof/>
          <w:sz w:val="22"/>
          <w:szCs w:val="22"/>
        </w:rPr>
      </w:pPr>
      <w:r w:rsidRPr="001E69AE">
        <w:rPr>
          <w:rFonts w:ascii="Verdana" w:hAnsi="Verdana"/>
          <w:b/>
          <w:bCs/>
          <w:noProof/>
          <w:sz w:val="22"/>
          <w:szCs w:val="22"/>
        </w:rPr>
        <w:lastRenderedPageBreak/>
        <w:t>The number of members of staff who were formally investigated for an alleged breach of patient confidentiality in each of the last five financial years.</w:t>
      </w:r>
      <w:r>
        <w:rPr>
          <w:rFonts w:ascii="Verdana" w:hAnsi="Verdana"/>
          <w:b/>
          <w:bCs/>
          <w:noProof/>
          <w:sz w:val="22"/>
          <w:szCs w:val="22"/>
        </w:rPr>
        <w:br/>
      </w:r>
      <w:bookmarkStart w:id="0" w:name="_Hlk216440947"/>
      <w:r w:rsidR="00384128" w:rsidRPr="003738EA">
        <w:rPr>
          <w:rFonts w:ascii="Verdana" w:hAnsi="Verdana"/>
          <w:noProof/>
          <w:sz w:val="22"/>
          <w:szCs w:val="22"/>
        </w:rPr>
        <w:t>This information is not held centrally.</w:t>
      </w:r>
      <w:r w:rsidR="00384128">
        <w:rPr>
          <w:rFonts w:ascii="Verdana" w:hAnsi="Verdana"/>
          <w:b/>
          <w:bCs/>
          <w:noProof/>
          <w:sz w:val="22"/>
          <w:szCs w:val="22"/>
        </w:rPr>
        <w:t xml:space="preserve"> </w:t>
      </w:r>
      <w:r w:rsidR="00384128" w:rsidRPr="00FC3B42">
        <w:rPr>
          <w:rFonts w:ascii="Verdana" w:hAnsi="Verdana"/>
          <w:sz w:val="22"/>
          <w:szCs w:val="22"/>
        </w:rPr>
        <w:t xml:space="preserve">To obtain this information would involve a manual trawl and search of records which </w:t>
      </w:r>
      <w:r w:rsidR="00384128" w:rsidRPr="00FC3B42">
        <w:rPr>
          <w:rFonts w:ascii="Verdana" w:hAnsi="Verdana" w:cs="Times New Roman"/>
          <w:sz w:val="22"/>
          <w:szCs w:val="22"/>
        </w:rPr>
        <w:t xml:space="preserve">we have estimated would significantly exceed the 18 hours limit set down by the </w:t>
      </w:r>
      <w:smartTag w:uri="urn:schemas-microsoft-com:office:smarttags" w:element="address">
        <w:r w:rsidR="00384128" w:rsidRPr="00FC3B42">
          <w:rPr>
            <w:rFonts w:ascii="Verdana" w:hAnsi="Verdana" w:cs="Times New Roman"/>
            <w:sz w:val="22"/>
            <w:szCs w:val="22"/>
          </w:rPr>
          <w:t>FOI</w:t>
        </w:r>
      </w:smartTag>
      <w:r w:rsidR="00384128" w:rsidRPr="00FC3B42">
        <w:rPr>
          <w:rFonts w:ascii="Verdana" w:hAnsi="Verdana" w:cs="Times New Roman"/>
          <w:sz w:val="22"/>
          <w:szCs w:val="22"/>
        </w:rPr>
        <w:t xml:space="preserve"> Act as the reasonable limit. </w:t>
      </w:r>
      <w:r w:rsidR="00384128" w:rsidRPr="00FC3B42">
        <w:rPr>
          <w:rFonts w:ascii="Verdana" w:hAnsi="Verdana" w:cs="Tahoma"/>
          <w:sz w:val="22"/>
          <w:szCs w:val="22"/>
        </w:rPr>
        <w:t>Section 12 of the FOI Act and T</w:t>
      </w:r>
      <w:r w:rsidR="00384128" w:rsidRPr="00FC3B42">
        <w:rPr>
          <w:rFonts w:ascii="Verdana" w:hAnsi="Verdana"/>
          <w:sz w:val="22"/>
          <w:szCs w:val="22"/>
        </w:rPr>
        <w:t xml:space="preserve">he Freedom of Information and Data Protection (Appropriate Limit and Fees) Regulation 2004 </w:t>
      </w:r>
      <w:r w:rsidR="00384128" w:rsidRPr="00FC3B42">
        <w:rPr>
          <w:rFonts w:ascii="Verdana" w:hAnsi="Verdana" w:cs="Times New Roman"/>
          <w:sz w:val="22"/>
          <w:szCs w:val="22"/>
        </w:rPr>
        <w:t>provides that we are not obliged to spend in excess of 18 hours in any sixty day period locating, retrieving and identifying information in order to deal with a request for information and therefore we are withholding this information at this time.</w:t>
      </w:r>
      <w:bookmarkEnd w:id="0"/>
      <w:r>
        <w:rPr>
          <w:rFonts w:ascii="Verdana" w:hAnsi="Verdana"/>
          <w:b/>
          <w:bCs/>
          <w:noProof/>
          <w:sz w:val="22"/>
          <w:szCs w:val="22"/>
        </w:rPr>
        <w:br/>
      </w:r>
    </w:p>
    <w:p w14:paraId="3D5347D4" w14:textId="64DB7C1F" w:rsidR="001E69AE" w:rsidRPr="001E69AE" w:rsidRDefault="001E69AE" w:rsidP="001E69AE">
      <w:pPr>
        <w:pStyle w:val="ListParagraph"/>
        <w:numPr>
          <w:ilvl w:val="0"/>
          <w:numId w:val="20"/>
        </w:numPr>
        <w:ind w:left="993" w:hanging="426"/>
        <w:rPr>
          <w:rFonts w:ascii="Verdana" w:hAnsi="Verdana"/>
          <w:b/>
          <w:bCs/>
          <w:noProof/>
          <w:sz w:val="22"/>
          <w:szCs w:val="22"/>
        </w:rPr>
      </w:pPr>
      <w:r w:rsidRPr="001E69AE">
        <w:rPr>
          <w:rFonts w:ascii="Verdana" w:hAnsi="Verdana"/>
          <w:b/>
          <w:bCs/>
          <w:noProof/>
          <w:sz w:val="22"/>
          <w:szCs w:val="22"/>
        </w:rPr>
        <w:t>Where recorded, the number of those investigations that resulted in:</w:t>
      </w:r>
    </w:p>
    <w:p w14:paraId="3EF76EBA" w14:textId="410B0D8F" w:rsidR="001E69AE" w:rsidRPr="001E69AE" w:rsidRDefault="001E69AE" w:rsidP="001E69AE">
      <w:pPr>
        <w:pStyle w:val="ListParagraph"/>
        <w:numPr>
          <w:ilvl w:val="1"/>
          <w:numId w:val="20"/>
        </w:numPr>
        <w:rPr>
          <w:rFonts w:ascii="Verdana" w:hAnsi="Verdana"/>
          <w:b/>
          <w:bCs/>
          <w:noProof/>
          <w:sz w:val="22"/>
          <w:szCs w:val="22"/>
        </w:rPr>
      </w:pPr>
      <w:r w:rsidRPr="001E69AE">
        <w:rPr>
          <w:rFonts w:ascii="Verdana" w:hAnsi="Verdana"/>
          <w:b/>
          <w:bCs/>
          <w:noProof/>
          <w:sz w:val="22"/>
          <w:szCs w:val="22"/>
        </w:rPr>
        <w:t>No further action</w:t>
      </w:r>
    </w:p>
    <w:p w14:paraId="355F9FD3" w14:textId="3C539082" w:rsidR="001E69AE" w:rsidRPr="001E69AE" w:rsidRDefault="001E69AE" w:rsidP="001E69AE">
      <w:pPr>
        <w:pStyle w:val="ListParagraph"/>
        <w:numPr>
          <w:ilvl w:val="1"/>
          <w:numId w:val="20"/>
        </w:numPr>
        <w:rPr>
          <w:rFonts w:ascii="Verdana" w:hAnsi="Verdana"/>
          <w:b/>
          <w:bCs/>
          <w:noProof/>
          <w:sz w:val="22"/>
          <w:szCs w:val="22"/>
        </w:rPr>
      </w:pPr>
      <w:r w:rsidRPr="001E69AE">
        <w:rPr>
          <w:rFonts w:ascii="Verdana" w:hAnsi="Verdana"/>
          <w:b/>
          <w:bCs/>
          <w:noProof/>
          <w:sz w:val="22"/>
          <w:szCs w:val="22"/>
        </w:rPr>
        <w:t>Informal action or retraining</w:t>
      </w:r>
    </w:p>
    <w:p w14:paraId="23DF621B" w14:textId="558B6950" w:rsidR="00873328" w:rsidRPr="001E69AE" w:rsidRDefault="001E69AE" w:rsidP="001E69AE">
      <w:pPr>
        <w:pStyle w:val="ListParagraph"/>
        <w:numPr>
          <w:ilvl w:val="1"/>
          <w:numId w:val="20"/>
        </w:numPr>
        <w:rPr>
          <w:rFonts w:ascii="Verdana" w:hAnsi="Verdana"/>
          <w:b/>
          <w:bCs/>
          <w:noProof/>
          <w:sz w:val="22"/>
          <w:szCs w:val="22"/>
        </w:rPr>
      </w:pPr>
      <w:r w:rsidRPr="001E69AE">
        <w:rPr>
          <w:rFonts w:ascii="Verdana" w:hAnsi="Verdana"/>
          <w:b/>
          <w:bCs/>
          <w:noProof/>
          <w:sz w:val="22"/>
          <w:szCs w:val="22"/>
        </w:rPr>
        <w:t>Formal disciplinary action</w:t>
      </w:r>
    </w:p>
    <w:p w14:paraId="2178A95B" w14:textId="346A055A" w:rsidR="00873328" w:rsidRPr="00384128" w:rsidRDefault="00384128" w:rsidP="00384128">
      <w:pPr>
        <w:ind w:left="1225"/>
        <w:rPr>
          <w:rFonts w:ascii="Verdana" w:hAnsi="Verdana"/>
          <w:noProof/>
          <w:sz w:val="22"/>
          <w:szCs w:val="22"/>
        </w:rPr>
      </w:pPr>
      <w:r w:rsidRPr="003738EA">
        <w:rPr>
          <w:rFonts w:ascii="Verdana" w:hAnsi="Verdana"/>
          <w:noProof/>
          <w:sz w:val="22"/>
          <w:szCs w:val="22"/>
        </w:rPr>
        <w:t>This information is not held centrally.</w:t>
      </w:r>
      <w:r>
        <w:rPr>
          <w:rFonts w:ascii="Verdana" w:hAnsi="Verdana"/>
          <w:b/>
          <w:bCs/>
          <w:noProof/>
          <w:sz w:val="22"/>
          <w:szCs w:val="22"/>
        </w:rPr>
        <w:t xml:space="preserve"> </w:t>
      </w:r>
      <w:r w:rsidRPr="00FC3B42">
        <w:rPr>
          <w:rFonts w:ascii="Verdana" w:hAnsi="Verdana"/>
          <w:sz w:val="22"/>
          <w:szCs w:val="22"/>
        </w:rPr>
        <w:t xml:space="preserve">To obtain this information would involve a manual trawl and search of records which </w:t>
      </w:r>
      <w:r w:rsidRPr="00FC3B42">
        <w:rPr>
          <w:rFonts w:ascii="Verdana" w:hAnsi="Verdana" w:cs="Times New Roman"/>
          <w:sz w:val="22"/>
          <w:szCs w:val="22"/>
        </w:rPr>
        <w:t xml:space="preserve">we have estimated would significantly exceed the 18 hours limit set down by the </w:t>
      </w:r>
      <w:smartTag w:uri="urn:schemas-microsoft-com:office:smarttags" w:element="address">
        <w:r w:rsidRPr="00FC3B42">
          <w:rPr>
            <w:rFonts w:ascii="Verdana" w:hAnsi="Verdana" w:cs="Times New Roman"/>
            <w:sz w:val="22"/>
            <w:szCs w:val="22"/>
          </w:rPr>
          <w:t>FOI</w:t>
        </w:r>
      </w:smartTag>
      <w:r w:rsidRPr="00FC3B42">
        <w:rPr>
          <w:rFonts w:ascii="Verdana" w:hAnsi="Verdana" w:cs="Times New Roman"/>
          <w:sz w:val="22"/>
          <w:szCs w:val="22"/>
        </w:rPr>
        <w:t xml:space="preserve"> Act as the reasonable limit. </w:t>
      </w:r>
      <w:r w:rsidRPr="00FC3B42">
        <w:rPr>
          <w:rFonts w:ascii="Verdana" w:hAnsi="Verdana" w:cs="Tahoma"/>
          <w:sz w:val="22"/>
          <w:szCs w:val="22"/>
        </w:rPr>
        <w:t>Section 12 of the FOI Act and T</w:t>
      </w:r>
      <w:r w:rsidRPr="00FC3B42">
        <w:rPr>
          <w:rFonts w:ascii="Verdana" w:hAnsi="Verdana"/>
          <w:sz w:val="22"/>
          <w:szCs w:val="22"/>
        </w:rPr>
        <w:t xml:space="preserve">he Freedom of Information and Data Protection (Appropriate Limit and Fees) Regulation 2004 </w:t>
      </w:r>
      <w:r w:rsidRPr="00FC3B42">
        <w:rPr>
          <w:rFonts w:ascii="Verdana" w:hAnsi="Verdana" w:cs="Times New Roman"/>
          <w:sz w:val="22"/>
          <w:szCs w:val="22"/>
        </w:rPr>
        <w:t>provides that we are not obliged to spend in excess of 18 hours in any sixty day period locating, retrieving and identifying information in order to deal with a request for information and therefore we are withholding this information at this time.</w:t>
      </w:r>
      <w:r>
        <w:rPr>
          <w:rFonts w:ascii="Verdana" w:hAnsi="Verdana" w:cs="Times New Roman"/>
          <w:sz w:val="22"/>
          <w:szCs w:val="22"/>
        </w:rPr>
        <w:br/>
      </w:r>
    </w:p>
    <w:p w14:paraId="7F202BA5" w14:textId="3A99AC0B" w:rsidR="00A115C7" w:rsidRDefault="00384128" w:rsidP="00A115C7">
      <w:pPr>
        <w:ind w:left="284"/>
        <w:rPr>
          <w:rFonts w:ascii="Verdana" w:hAnsi="Verdana"/>
          <w:sz w:val="22"/>
          <w:szCs w:val="22"/>
        </w:rPr>
      </w:pPr>
      <w:r>
        <w:rPr>
          <w:rFonts w:ascii="Verdana" w:hAnsi="Verdana"/>
          <w:b/>
          <w:bCs/>
          <w:noProof/>
          <w:sz w:val="22"/>
          <w:szCs w:val="22"/>
        </w:rPr>
        <w:t>*</w:t>
      </w:r>
      <w:r w:rsidRPr="00384128">
        <w:rPr>
          <w:rFonts w:ascii="Verdana" w:hAnsi="Verdana"/>
          <w:sz w:val="22"/>
          <w:szCs w:val="22"/>
        </w:rPr>
        <w:t xml:space="preserve"> </w:t>
      </w:r>
      <w:r w:rsidRPr="00FC3B42">
        <w:rPr>
          <w:rFonts w:ascii="Verdana" w:hAnsi="Verdana"/>
          <w:sz w:val="22"/>
          <w:szCs w:val="22"/>
        </w:rPr>
        <w:t xml:space="preserve">Where fewer than 5 has been indicated we are unable to provide you with the exact number of </w:t>
      </w:r>
      <w:r>
        <w:rPr>
          <w:rFonts w:ascii="Verdana" w:hAnsi="Verdana"/>
          <w:sz w:val="22"/>
          <w:szCs w:val="22"/>
        </w:rPr>
        <w:t>cases</w:t>
      </w:r>
      <w:r w:rsidRPr="00FC3B42">
        <w:rPr>
          <w:rFonts w:ascii="Verdana" w:hAnsi="Verdana"/>
          <w:sz w:val="22"/>
          <w:szCs w:val="22"/>
        </w:rPr>
        <w:t xml:space="preserve"> as due to the low numbers, </w:t>
      </w:r>
      <w:bookmarkStart w:id="1" w:name="_Hlk222922831"/>
      <w:r w:rsidRPr="00FC3B42">
        <w:rPr>
          <w:rFonts w:ascii="Verdana" w:hAnsi="Verdana"/>
          <w:sz w:val="22"/>
          <w:szCs w:val="22"/>
        </w:rPr>
        <w:t xml:space="preserve">there is a potential risk of identifying individuals if this was disclosed.  We are therefore withholding this detail under Section 40(2) of the </w:t>
      </w:r>
      <w:smartTag w:uri="urn:schemas-microsoft-com:office:smarttags" w:element="address">
        <w:r w:rsidRPr="00FC3B42">
          <w:rPr>
            <w:rFonts w:ascii="Verdana" w:hAnsi="Verdana"/>
            <w:sz w:val="22"/>
            <w:szCs w:val="22"/>
          </w:rPr>
          <w:t>Freedom of Information</w:t>
        </w:r>
      </w:smartTag>
      <w:r w:rsidRPr="00FC3B42">
        <w:rPr>
          <w:rFonts w:ascii="Verdana" w:hAnsi="Verdana"/>
          <w:sz w:val="22"/>
          <w:szCs w:val="22"/>
        </w:rPr>
        <w:t xml:space="preserve"> Act 2000.  This information is protected by the </w:t>
      </w:r>
      <w:r w:rsidRPr="00FC3B42">
        <w:rPr>
          <w:rFonts w:ascii="Verdana" w:hAnsi="Verdana"/>
          <w:iCs/>
          <w:sz w:val="22"/>
          <w:szCs w:val="22"/>
        </w:rPr>
        <w:t xml:space="preserve">General Data Protection Regulation (GDPR) and Data Protection Act </w:t>
      </w:r>
      <w:proofErr w:type="gramStart"/>
      <w:r w:rsidRPr="00FC3B42">
        <w:rPr>
          <w:rFonts w:ascii="Verdana" w:hAnsi="Verdana"/>
          <w:iCs/>
          <w:sz w:val="22"/>
          <w:szCs w:val="22"/>
        </w:rPr>
        <w:t>2018</w:t>
      </w:r>
      <w:proofErr w:type="gramEnd"/>
      <w:r w:rsidRPr="00FC3B42">
        <w:rPr>
          <w:rFonts w:ascii="Verdana" w:hAnsi="Verdana"/>
          <w:iCs/>
          <w:sz w:val="22"/>
          <w:szCs w:val="22"/>
        </w:rPr>
        <w:t xml:space="preserve"> and its disclosure would be contrary to the data protection principles and constitute as unfair and unlawful processing </w:t>
      </w:r>
      <w:proofErr w:type="gramStart"/>
      <w:r w:rsidRPr="00FC3B42">
        <w:rPr>
          <w:rFonts w:ascii="Verdana" w:hAnsi="Verdana"/>
          <w:bCs/>
          <w:iCs/>
          <w:sz w:val="22"/>
          <w:szCs w:val="22"/>
        </w:rPr>
        <w:t>in regard to</w:t>
      </w:r>
      <w:proofErr w:type="gramEnd"/>
      <w:r w:rsidRPr="00FC3B42">
        <w:rPr>
          <w:rFonts w:ascii="Verdana" w:hAnsi="Verdana"/>
          <w:iCs/>
          <w:sz w:val="22"/>
          <w:szCs w:val="22"/>
        </w:rPr>
        <w:t xml:space="preserve"> Articles 5, 6, and 9 of GDPR.  </w:t>
      </w:r>
      <w:r w:rsidRPr="00FC3B42">
        <w:rPr>
          <w:rFonts w:ascii="Verdana" w:hAnsi="Verdana"/>
          <w:sz w:val="22"/>
          <w:szCs w:val="22"/>
        </w:rPr>
        <w:t>This exemption is absolute and therefore there is no requirement to apply the public interest test.</w:t>
      </w:r>
      <w:bookmarkEnd w:id="1"/>
      <w:r>
        <w:rPr>
          <w:rFonts w:ascii="Verdana" w:hAnsi="Verdana"/>
          <w:sz w:val="22"/>
          <w:szCs w:val="22"/>
        </w:rPr>
        <w:br/>
      </w:r>
      <w:r>
        <w:rPr>
          <w:rFonts w:ascii="Verdana" w:hAnsi="Verdana"/>
          <w:sz w:val="22"/>
          <w:szCs w:val="22"/>
        </w:rPr>
        <w:br/>
      </w:r>
      <w:r w:rsidR="00A115C7">
        <w:rPr>
          <w:rFonts w:ascii="Verdana" w:hAnsi="Verdana"/>
          <w:b/>
          <w:bCs/>
          <w:noProof/>
          <w:sz w:val="22"/>
          <w:szCs w:val="22"/>
        </w:rPr>
        <w:br/>
      </w:r>
      <w:r w:rsidR="00A115C7" w:rsidRPr="00304A21">
        <w:rPr>
          <w:rFonts w:ascii="Verdana" w:hAnsi="Verdana"/>
          <w:sz w:val="22"/>
          <w:szCs w:val="22"/>
        </w:rPr>
        <w:t xml:space="preserve">I hope this information is helpful. If you require anything further, please contact us at </w:t>
      </w:r>
      <w:hyperlink r:id="rId8" w:history="1">
        <w:r w:rsidR="00A115C7" w:rsidRPr="004E0F17">
          <w:rPr>
            <w:rStyle w:val="Hyperlink"/>
            <w:rFonts w:ascii="Verdana" w:hAnsi="Verdana"/>
            <w:sz w:val="22"/>
            <w:szCs w:val="22"/>
          </w:rPr>
          <w:t>FOIA.Requests@wales.nhs.uk</w:t>
        </w:r>
      </w:hyperlink>
      <w:r w:rsidR="00A115C7"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lastRenderedPageBreak/>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sectPr w:rsidR="00A115C7" w:rsidRPr="00EE2F1B" w:rsidSect="00A06F75">
      <w:footerReference w:type="default" r:id="rId12"/>
      <w:headerReference w:type="first" r:id="rId13"/>
      <w:footerReference w:type="first" r:id="rId14"/>
      <w:pgSz w:w="11906" w:h="16838"/>
      <w:pgMar w:top="1843" w:right="720" w:bottom="241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1066065120"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510548020"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498699360"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042CD"/>
    <w:multiLevelType w:val="hybridMultilevel"/>
    <w:tmpl w:val="C48CC348"/>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2"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06C747C"/>
    <w:multiLevelType w:val="hybridMultilevel"/>
    <w:tmpl w:val="A596DA68"/>
    <w:lvl w:ilvl="0" w:tplc="5F163C06">
      <w:start w:val="6"/>
      <w:numFmt w:val="bullet"/>
      <w:lvlText w:val="•"/>
      <w:lvlJc w:val="left"/>
      <w:pPr>
        <w:ind w:left="865" w:hanging="360"/>
      </w:pPr>
      <w:rPr>
        <w:rFonts w:ascii="Verdana" w:eastAsia="Calibri" w:hAnsi="Verdana" w:cs="Aria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7" w15:restartNumberingAfterBreak="0">
    <w:nsid w:val="2B051940"/>
    <w:multiLevelType w:val="hybridMultilevel"/>
    <w:tmpl w:val="E92CCD88"/>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8"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0"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39EA0BF0"/>
    <w:multiLevelType w:val="hybridMultilevel"/>
    <w:tmpl w:val="509240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3D256CB8"/>
    <w:multiLevelType w:val="hybridMultilevel"/>
    <w:tmpl w:val="349EE728"/>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4"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125137A"/>
    <w:multiLevelType w:val="hybridMultilevel"/>
    <w:tmpl w:val="BDD07DB6"/>
    <w:lvl w:ilvl="0" w:tplc="8A32251A">
      <w:start w:val="1"/>
      <w:numFmt w:val="decimal"/>
      <w:lvlText w:val="%1."/>
      <w:lvlJc w:val="left"/>
      <w:pPr>
        <w:ind w:left="1435" w:hanging="930"/>
      </w:pPr>
      <w:rPr>
        <w:rFonts w:hint="default"/>
      </w:rPr>
    </w:lvl>
    <w:lvl w:ilvl="1" w:tplc="523E7326">
      <w:start w:val="6"/>
      <w:numFmt w:val="bullet"/>
      <w:lvlText w:val=""/>
      <w:lvlJc w:val="left"/>
      <w:pPr>
        <w:ind w:left="1585" w:hanging="360"/>
      </w:pPr>
      <w:rPr>
        <w:rFonts w:ascii="Symbol" w:eastAsia="Calibri" w:hAnsi="Symbol" w:cs="Arial" w:hint="default"/>
      </w:r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3"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8"/>
  </w:num>
  <w:num w:numId="2" w16cid:durableId="828599020">
    <w:abstractNumId w:val="1"/>
  </w:num>
  <w:num w:numId="3" w16cid:durableId="1966037800">
    <w:abstractNumId w:val="12"/>
  </w:num>
  <w:num w:numId="4" w16cid:durableId="1125923312">
    <w:abstractNumId w:val="21"/>
  </w:num>
  <w:num w:numId="5" w16cid:durableId="1143425367">
    <w:abstractNumId w:val="5"/>
  </w:num>
  <w:num w:numId="6" w16cid:durableId="1293360629">
    <w:abstractNumId w:val="4"/>
  </w:num>
  <w:num w:numId="7" w16cid:durableId="479228409">
    <w:abstractNumId w:val="15"/>
  </w:num>
  <w:num w:numId="8" w16cid:durableId="1553300907">
    <w:abstractNumId w:val="20"/>
  </w:num>
  <w:num w:numId="9" w16cid:durableId="687946864">
    <w:abstractNumId w:val="23"/>
  </w:num>
  <w:num w:numId="10" w16cid:durableId="993416643">
    <w:abstractNumId w:val="2"/>
  </w:num>
  <w:num w:numId="11" w16cid:durableId="1541481371">
    <w:abstractNumId w:val="14"/>
  </w:num>
  <w:num w:numId="12" w16cid:durableId="1525171868">
    <w:abstractNumId w:val="17"/>
  </w:num>
  <w:num w:numId="13" w16cid:durableId="200629463">
    <w:abstractNumId w:val="22"/>
  </w:num>
  <w:num w:numId="14" w16cid:durableId="5438320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6"/>
  </w:num>
  <w:num w:numId="17" w16cid:durableId="1764229674">
    <w:abstractNumId w:val="8"/>
  </w:num>
  <w:num w:numId="18" w16cid:durableId="949163570">
    <w:abstractNumId w:val="3"/>
  </w:num>
  <w:num w:numId="19" w16cid:durableId="1192691273">
    <w:abstractNumId w:val="13"/>
  </w:num>
  <w:num w:numId="20" w16cid:durableId="492718713">
    <w:abstractNumId w:val="19"/>
  </w:num>
  <w:num w:numId="21" w16cid:durableId="516116271">
    <w:abstractNumId w:val="0"/>
  </w:num>
  <w:num w:numId="22" w16cid:durableId="570971479">
    <w:abstractNumId w:val="7"/>
  </w:num>
  <w:num w:numId="23" w16cid:durableId="683092421">
    <w:abstractNumId w:val="6"/>
  </w:num>
  <w:num w:numId="24" w16cid:durableId="12019589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1E69AE"/>
    <w:rsid w:val="00213076"/>
    <w:rsid w:val="002156AF"/>
    <w:rsid w:val="00236F74"/>
    <w:rsid w:val="00257A6E"/>
    <w:rsid w:val="002677FD"/>
    <w:rsid w:val="00267C77"/>
    <w:rsid w:val="00286642"/>
    <w:rsid w:val="00296FDA"/>
    <w:rsid w:val="002B74C8"/>
    <w:rsid w:val="002C252B"/>
    <w:rsid w:val="002D32B6"/>
    <w:rsid w:val="002E02A9"/>
    <w:rsid w:val="002E30A2"/>
    <w:rsid w:val="00304A21"/>
    <w:rsid w:val="0035435D"/>
    <w:rsid w:val="00355B9A"/>
    <w:rsid w:val="003648A8"/>
    <w:rsid w:val="00384128"/>
    <w:rsid w:val="0039422D"/>
    <w:rsid w:val="003B09B5"/>
    <w:rsid w:val="003F2312"/>
    <w:rsid w:val="004039EB"/>
    <w:rsid w:val="00421E7F"/>
    <w:rsid w:val="00442A3A"/>
    <w:rsid w:val="00453C57"/>
    <w:rsid w:val="0047028C"/>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83DEA"/>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66AD5"/>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06F75"/>
    <w:rsid w:val="00A10460"/>
    <w:rsid w:val="00A115C7"/>
    <w:rsid w:val="00A17614"/>
    <w:rsid w:val="00A56076"/>
    <w:rsid w:val="00A70831"/>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91948"/>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2898"/>
    <w:rsid w:val="00EE0615"/>
    <w:rsid w:val="00F26B29"/>
    <w:rsid w:val="00F6157F"/>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84</TotalTime>
  <Pages>4</Pages>
  <Words>955</Words>
  <Characters>5447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6390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33</cp:revision>
  <cp:lastPrinted>2019-03-26T11:11:00Z</cp:lastPrinted>
  <dcterms:created xsi:type="dcterms:W3CDTF">2021-09-13T07:38:00Z</dcterms:created>
  <dcterms:modified xsi:type="dcterms:W3CDTF">2026-05-20T10:14:00Z</dcterms:modified>
</cp:coreProperties>
</file>