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7E3B110A">
                <wp:simplePos x="0" y="0"/>
                <wp:positionH relativeFrom="column">
                  <wp:posOffset>285750</wp:posOffset>
                </wp:positionH>
                <wp:positionV relativeFrom="paragraph">
                  <wp:posOffset>-121285</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35FFC8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23FB">
                              <w:rPr>
                                <w:rFonts w:ascii="Verdana" w:hAnsi="Verdana"/>
                                <w:b/>
                                <w:sz w:val="22"/>
                                <w:szCs w:val="22"/>
                              </w:rPr>
                              <w:t>26-D-075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A089A">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9.55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" filled="f" stroked="f">
                <v:textbox>
                  <w:txbxContent>
                    <w:p w14:paraId="6B840BE9" w14:textId="535FFC8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23FB">
                        <w:rPr>
                          <w:rFonts w:ascii="Verdana" w:hAnsi="Verdana"/>
                          <w:b/>
                          <w:sz w:val="22"/>
                          <w:szCs w:val="22"/>
                        </w:rPr>
                        <w:t>26-D-075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A089A">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3B09A365"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080C990C" w14:textId="77777777" w:rsidR="002223FB" w:rsidRPr="002223FB" w:rsidRDefault="002223FB" w:rsidP="002223FB">
      <w:pPr>
        <w:rPr>
          <w:rFonts w:ascii="Verdana" w:hAnsi="Verdana"/>
          <w:b/>
          <w:bCs/>
          <w:noProof/>
          <w:sz w:val="22"/>
          <w:szCs w:val="22"/>
        </w:rPr>
      </w:pPr>
      <w:r w:rsidRPr="002223FB">
        <w:rPr>
          <w:rFonts w:ascii="Verdana" w:hAnsi="Verdana"/>
          <w:b/>
          <w:bCs/>
          <w:noProof/>
          <w:sz w:val="22"/>
          <w:szCs w:val="22"/>
        </w:rPr>
        <w:t>Please could you provide the following information for your Health Board:</w:t>
      </w:r>
    </w:p>
    <w:p w14:paraId="66580420" w14:textId="77777777" w:rsidR="002223FB" w:rsidRDefault="002223FB" w:rsidP="002223FB">
      <w:pPr>
        <w:numPr>
          <w:ilvl w:val="0"/>
          <w:numId w:val="19"/>
        </w:numPr>
        <w:rPr>
          <w:rFonts w:ascii="Verdana" w:hAnsi="Verdana"/>
          <w:b/>
          <w:bCs/>
          <w:noProof/>
          <w:sz w:val="22"/>
          <w:szCs w:val="22"/>
        </w:rPr>
      </w:pPr>
      <w:r w:rsidRPr="002223FB">
        <w:rPr>
          <w:rFonts w:ascii="Verdana" w:hAnsi="Verdana"/>
          <w:b/>
          <w:bCs/>
          <w:noProof/>
          <w:sz w:val="22"/>
          <w:szCs w:val="22"/>
        </w:rPr>
        <w:t>Details of your current policy, guidance, or position on access to Continuous Glucose Monitoring (CGM) for people with diabetes.</w:t>
      </w:r>
    </w:p>
    <w:p w14:paraId="0BCE83C2" w14:textId="590E2D83" w:rsidR="002223FB" w:rsidRDefault="002223FB" w:rsidP="002223FB">
      <w:pPr>
        <w:ind w:left="720"/>
        <w:rPr>
          <w:rFonts w:ascii="Verdana" w:hAnsi="Verdana"/>
          <w:noProof/>
          <w:sz w:val="22"/>
          <w:szCs w:val="22"/>
        </w:rPr>
      </w:pPr>
      <w:r w:rsidRPr="002223FB">
        <w:rPr>
          <w:rFonts w:ascii="Verdana" w:hAnsi="Verdana"/>
          <w:noProof/>
          <w:sz w:val="22"/>
          <w:szCs w:val="22"/>
        </w:rPr>
        <w:t>Swansea Bay UHB does not currently have a standalone formal written policy specifically for CGM use. However, access to CGM is guided by national recommendations, and we follow NICE guidelines in determining eligibility and clinical use.</w:t>
      </w:r>
    </w:p>
    <w:p w14:paraId="3F440919" w14:textId="77777777" w:rsidR="002223FB" w:rsidRPr="002223FB" w:rsidRDefault="002223FB" w:rsidP="002223FB">
      <w:pPr>
        <w:ind w:left="720"/>
        <w:rPr>
          <w:rFonts w:ascii="Verdana" w:hAnsi="Verdana"/>
          <w:noProof/>
          <w:sz w:val="22"/>
          <w:szCs w:val="22"/>
        </w:rPr>
      </w:pPr>
    </w:p>
    <w:p w14:paraId="59A32441" w14:textId="77777777" w:rsidR="002223FB" w:rsidRDefault="002223FB" w:rsidP="002223FB">
      <w:pPr>
        <w:numPr>
          <w:ilvl w:val="0"/>
          <w:numId w:val="19"/>
        </w:numPr>
        <w:rPr>
          <w:rFonts w:ascii="Verdana" w:hAnsi="Verdana"/>
          <w:b/>
          <w:bCs/>
          <w:noProof/>
          <w:sz w:val="22"/>
          <w:szCs w:val="22"/>
        </w:rPr>
      </w:pPr>
      <w:r w:rsidRPr="002223FB">
        <w:rPr>
          <w:rFonts w:ascii="Verdana" w:hAnsi="Verdana"/>
          <w:b/>
          <w:bCs/>
          <w:noProof/>
          <w:sz w:val="22"/>
          <w:szCs w:val="22"/>
        </w:rPr>
        <w:t>The patient groups who are currently eligible to access CGM (for example by diabetes type, treatment type, age, pregnancy, hypoglycaemia risk, or any other criteria used).</w:t>
      </w:r>
    </w:p>
    <w:p w14:paraId="4DB4ADCA" w14:textId="77777777" w:rsidR="002223FB" w:rsidRPr="002223FB" w:rsidRDefault="002223FB" w:rsidP="002223FB">
      <w:pPr>
        <w:ind w:left="720"/>
        <w:rPr>
          <w:rFonts w:ascii="Verdana" w:hAnsi="Verdana"/>
          <w:noProof/>
          <w:sz w:val="22"/>
          <w:szCs w:val="22"/>
        </w:rPr>
      </w:pPr>
      <w:r w:rsidRPr="002223FB">
        <w:rPr>
          <w:rFonts w:ascii="Verdana" w:hAnsi="Verdana"/>
          <w:noProof/>
          <w:sz w:val="22"/>
          <w:szCs w:val="22"/>
        </w:rPr>
        <w:t>Eligibility for CGM is based on NICE guidance and clinical assessment. This includes, but is not limited to:</w:t>
      </w:r>
    </w:p>
    <w:p w14:paraId="277BF454" w14:textId="77777777" w:rsidR="002223FB" w:rsidRPr="002223FB" w:rsidRDefault="002223FB" w:rsidP="002223FB">
      <w:pPr>
        <w:pStyle w:val="ListParagraph"/>
        <w:numPr>
          <w:ilvl w:val="0"/>
          <w:numId w:val="20"/>
        </w:numPr>
        <w:rPr>
          <w:rFonts w:ascii="Verdana" w:hAnsi="Verdana"/>
          <w:noProof/>
          <w:sz w:val="22"/>
          <w:szCs w:val="22"/>
        </w:rPr>
      </w:pPr>
      <w:r w:rsidRPr="002223FB">
        <w:rPr>
          <w:rFonts w:ascii="Verdana" w:hAnsi="Verdana"/>
          <w:noProof/>
          <w:sz w:val="22"/>
          <w:szCs w:val="22"/>
        </w:rPr>
        <w:t>People with Type 1 diabetes</w:t>
      </w:r>
    </w:p>
    <w:p w14:paraId="5958FB1A" w14:textId="77777777" w:rsidR="002223FB" w:rsidRPr="002223FB" w:rsidRDefault="002223FB" w:rsidP="002223FB">
      <w:pPr>
        <w:pStyle w:val="ListParagraph"/>
        <w:numPr>
          <w:ilvl w:val="0"/>
          <w:numId w:val="20"/>
        </w:numPr>
        <w:rPr>
          <w:rFonts w:ascii="Verdana" w:hAnsi="Verdana"/>
          <w:noProof/>
          <w:sz w:val="22"/>
          <w:szCs w:val="22"/>
        </w:rPr>
      </w:pPr>
      <w:r w:rsidRPr="002223FB">
        <w:rPr>
          <w:rFonts w:ascii="Verdana" w:hAnsi="Verdana"/>
          <w:noProof/>
          <w:sz w:val="22"/>
          <w:szCs w:val="22"/>
        </w:rPr>
        <w:t>Individuals with Type 2 diabetes using insulin where clinically appropriate</w:t>
      </w:r>
    </w:p>
    <w:p w14:paraId="45A60450" w14:textId="77777777" w:rsidR="002223FB" w:rsidRPr="002223FB" w:rsidRDefault="002223FB" w:rsidP="002223FB">
      <w:pPr>
        <w:pStyle w:val="ListParagraph"/>
        <w:numPr>
          <w:ilvl w:val="0"/>
          <w:numId w:val="20"/>
        </w:numPr>
        <w:rPr>
          <w:rFonts w:ascii="Verdana" w:hAnsi="Verdana"/>
          <w:noProof/>
          <w:sz w:val="22"/>
          <w:szCs w:val="22"/>
        </w:rPr>
      </w:pPr>
      <w:r w:rsidRPr="002223FB">
        <w:rPr>
          <w:rFonts w:ascii="Verdana" w:hAnsi="Verdana"/>
          <w:noProof/>
          <w:sz w:val="22"/>
          <w:szCs w:val="22"/>
        </w:rPr>
        <w:t>Pregnant women with diabetes</w:t>
      </w:r>
    </w:p>
    <w:p w14:paraId="0D00522C" w14:textId="77777777" w:rsidR="002223FB" w:rsidRPr="002223FB" w:rsidRDefault="002223FB" w:rsidP="002223FB">
      <w:pPr>
        <w:pStyle w:val="ListParagraph"/>
        <w:numPr>
          <w:ilvl w:val="0"/>
          <w:numId w:val="20"/>
        </w:numPr>
        <w:rPr>
          <w:rFonts w:ascii="Verdana" w:hAnsi="Verdana"/>
          <w:noProof/>
          <w:sz w:val="22"/>
          <w:szCs w:val="22"/>
        </w:rPr>
      </w:pPr>
      <w:r w:rsidRPr="002223FB">
        <w:rPr>
          <w:rFonts w:ascii="Verdana" w:hAnsi="Verdana"/>
          <w:noProof/>
          <w:sz w:val="22"/>
          <w:szCs w:val="22"/>
        </w:rPr>
        <w:t>Patients at high risk of hypoglycaemia or with impaired hypoglycaemia awareness</w:t>
      </w:r>
    </w:p>
    <w:p w14:paraId="605D250B" w14:textId="77777777" w:rsidR="002223FB" w:rsidRPr="002223FB" w:rsidRDefault="002223FB" w:rsidP="002223FB">
      <w:pPr>
        <w:pStyle w:val="ListParagraph"/>
        <w:numPr>
          <w:ilvl w:val="0"/>
          <w:numId w:val="20"/>
        </w:numPr>
        <w:rPr>
          <w:rFonts w:ascii="Verdana" w:hAnsi="Verdana"/>
          <w:noProof/>
          <w:sz w:val="22"/>
          <w:szCs w:val="22"/>
        </w:rPr>
      </w:pPr>
      <w:r w:rsidRPr="002223FB">
        <w:rPr>
          <w:rFonts w:ascii="Verdana" w:hAnsi="Verdana"/>
          <w:noProof/>
          <w:sz w:val="22"/>
          <w:szCs w:val="22"/>
        </w:rPr>
        <w:t>Other individuals where CGM is clinically indicated in line with NICE recommendations</w:t>
      </w:r>
    </w:p>
    <w:p w14:paraId="0441FF23" w14:textId="706306A3" w:rsidR="002223FB" w:rsidRDefault="002223FB" w:rsidP="002223FB">
      <w:pPr>
        <w:ind w:left="720"/>
        <w:rPr>
          <w:rFonts w:ascii="Verdana" w:hAnsi="Verdana"/>
          <w:noProof/>
          <w:sz w:val="22"/>
          <w:szCs w:val="22"/>
        </w:rPr>
      </w:pPr>
      <w:r w:rsidRPr="002223FB">
        <w:rPr>
          <w:rFonts w:ascii="Verdana" w:hAnsi="Verdana"/>
          <w:noProof/>
          <w:sz w:val="22"/>
          <w:szCs w:val="22"/>
        </w:rPr>
        <w:t>Clinical judgement is applied to ensure equitable and appropriate access within these parameters.</w:t>
      </w:r>
    </w:p>
    <w:p w14:paraId="688CC255" w14:textId="77777777" w:rsidR="002223FB" w:rsidRPr="002223FB" w:rsidRDefault="002223FB" w:rsidP="002223FB">
      <w:pPr>
        <w:ind w:left="720"/>
        <w:rPr>
          <w:rFonts w:ascii="Verdana" w:hAnsi="Verdana"/>
          <w:noProof/>
          <w:sz w:val="22"/>
          <w:szCs w:val="22"/>
        </w:rPr>
      </w:pPr>
    </w:p>
    <w:p w14:paraId="62B2A947" w14:textId="77777777" w:rsidR="002223FB" w:rsidRDefault="002223FB" w:rsidP="002223FB">
      <w:pPr>
        <w:numPr>
          <w:ilvl w:val="0"/>
          <w:numId w:val="19"/>
        </w:numPr>
        <w:rPr>
          <w:rFonts w:ascii="Verdana" w:hAnsi="Verdana"/>
          <w:b/>
          <w:bCs/>
          <w:noProof/>
          <w:sz w:val="22"/>
          <w:szCs w:val="22"/>
        </w:rPr>
      </w:pPr>
      <w:r w:rsidRPr="002223FB">
        <w:rPr>
          <w:rFonts w:ascii="Verdana" w:hAnsi="Verdana"/>
          <w:b/>
          <w:bCs/>
          <w:noProof/>
          <w:sz w:val="22"/>
          <w:szCs w:val="22"/>
        </w:rPr>
        <w:t>Copies of any relevant policies, guidelines, pathways, commissioning decisions, or other documents that describe or support CGM access criteria.</w:t>
      </w:r>
    </w:p>
    <w:p w14:paraId="1E23020B" w14:textId="39DDA249" w:rsidR="002223FB" w:rsidRDefault="002223FB" w:rsidP="002223FB">
      <w:pPr>
        <w:ind w:left="720"/>
        <w:rPr>
          <w:rFonts w:ascii="Verdana" w:hAnsi="Verdana"/>
          <w:noProof/>
          <w:sz w:val="22"/>
          <w:szCs w:val="22"/>
        </w:rPr>
      </w:pPr>
      <w:r w:rsidRPr="002223FB">
        <w:rPr>
          <w:rFonts w:ascii="Verdana" w:hAnsi="Verdana"/>
          <w:noProof/>
          <w:sz w:val="22"/>
          <w:szCs w:val="22"/>
        </w:rPr>
        <w:t>As noted above, there is no separate local written policy specific to Swansea Bay UHB. Practice is supported by adherence to NICE guidelines and national recommendations for CGM use.</w:t>
      </w:r>
    </w:p>
    <w:p w14:paraId="7B14F68F" w14:textId="77777777" w:rsidR="002223FB" w:rsidRDefault="002223FB" w:rsidP="002223FB">
      <w:pPr>
        <w:numPr>
          <w:ilvl w:val="0"/>
          <w:numId w:val="19"/>
        </w:numPr>
        <w:rPr>
          <w:rFonts w:ascii="Verdana" w:hAnsi="Verdana"/>
          <w:b/>
          <w:bCs/>
          <w:noProof/>
          <w:sz w:val="22"/>
          <w:szCs w:val="22"/>
        </w:rPr>
      </w:pPr>
      <w:r w:rsidRPr="002223FB">
        <w:rPr>
          <w:rFonts w:ascii="Verdana" w:hAnsi="Verdana"/>
          <w:b/>
          <w:bCs/>
          <w:noProof/>
          <w:sz w:val="22"/>
          <w:szCs w:val="22"/>
        </w:rPr>
        <w:lastRenderedPageBreak/>
        <w:t xml:space="preserve">If no formal written policy exists, please confirm this and explain how decisions on CGM access are currently made and how clinicians are made aware of the groups that can access/ be prescribed CGM. </w:t>
      </w:r>
    </w:p>
    <w:p w14:paraId="7E8AA1DD" w14:textId="77777777" w:rsidR="002223FB" w:rsidRPr="002223FB" w:rsidRDefault="002223FB" w:rsidP="002223FB">
      <w:pPr>
        <w:ind w:left="720"/>
        <w:rPr>
          <w:rFonts w:ascii="Verdana" w:hAnsi="Verdana"/>
          <w:noProof/>
          <w:sz w:val="22"/>
          <w:szCs w:val="22"/>
        </w:rPr>
      </w:pPr>
      <w:r w:rsidRPr="002223FB">
        <w:rPr>
          <w:rFonts w:ascii="Verdana" w:hAnsi="Verdana"/>
          <w:noProof/>
          <w:sz w:val="22"/>
          <w:szCs w:val="22"/>
        </w:rPr>
        <w:t>In the absence of a formal local policy, decisions regarding CGM access are made through specialist diabetes teams using NICE guidance alongside clinical judgement. Clinicians are kept informed of eligibility criteria and best practice through:</w:t>
      </w:r>
    </w:p>
    <w:p w14:paraId="2770860F" w14:textId="77777777" w:rsidR="002223FB" w:rsidRPr="002223FB" w:rsidRDefault="002223FB" w:rsidP="002223FB">
      <w:pPr>
        <w:pStyle w:val="ListParagraph"/>
        <w:numPr>
          <w:ilvl w:val="0"/>
          <w:numId w:val="21"/>
        </w:numPr>
        <w:rPr>
          <w:rFonts w:ascii="Verdana" w:hAnsi="Verdana"/>
          <w:noProof/>
          <w:sz w:val="22"/>
          <w:szCs w:val="22"/>
        </w:rPr>
      </w:pPr>
      <w:r w:rsidRPr="002223FB">
        <w:rPr>
          <w:rFonts w:ascii="Verdana" w:hAnsi="Verdana"/>
          <w:noProof/>
          <w:sz w:val="22"/>
          <w:szCs w:val="22"/>
        </w:rPr>
        <w:t>National guidance (NICE)</w:t>
      </w:r>
    </w:p>
    <w:p w14:paraId="22D3C125" w14:textId="77777777" w:rsidR="002223FB" w:rsidRPr="002223FB" w:rsidRDefault="002223FB" w:rsidP="002223FB">
      <w:pPr>
        <w:pStyle w:val="ListParagraph"/>
        <w:numPr>
          <w:ilvl w:val="0"/>
          <w:numId w:val="21"/>
        </w:numPr>
        <w:rPr>
          <w:rFonts w:ascii="Verdana" w:hAnsi="Verdana"/>
          <w:noProof/>
          <w:sz w:val="22"/>
          <w:szCs w:val="22"/>
        </w:rPr>
      </w:pPr>
      <w:r w:rsidRPr="002223FB">
        <w:rPr>
          <w:rFonts w:ascii="Verdana" w:hAnsi="Verdana"/>
          <w:noProof/>
          <w:sz w:val="22"/>
          <w:szCs w:val="22"/>
        </w:rPr>
        <w:t>Local diabetes service discussions and governance structures</w:t>
      </w:r>
    </w:p>
    <w:p w14:paraId="30A57E29" w14:textId="77777777" w:rsidR="002223FB" w:rsidRPr="002223FB" w:rsidRDefault="002223FB" w:rsidP="002223FB">
      <w:pPr>
        <w:pStyle w:val="ListParagraph"/>
        <w:numPr>
          <w:ilvl w:val="0"/>
          <w:numId w:val="21"/>
        </w:numPr>
        <w:rPr>
          <w:rFonts w:ascii="Verdana" w:hAnsi="Verdana"/>
          <w:noProof/>
          <w:sz w:val="22"/>
          <w:szCs w:val="22"/>
        </w:rPr>
      </w:pPr>
      <w:r w:rsidRPr="002223FB">
        <w:rPr>
          <w:rFonts w:ascii="Verdana" w:hAnsi="Verdana"/>
          <w:noProof/>
          <w:sz w:val="22"/>
          <w:szCs w:val="22"/>
        </w:rPr>
        <w:t>Professional updates and education within the Health Board</w:t>
      </w:r>
    </w:p>
    <w:p w14:paraId="238E3F6C" w14:textId="77777777" w:rsidR="002223FB" w:rsidRPr="002223FB" w:rsidRDefault="002223FB" w:rsidP="002223FB">
      <w:pPr>
        <w:ind w:left="720"/>
        <w:rPr>
          <w:rFonts w:ascii="Verdana" w:hAnsi="Verdana"/>
          <w:noProof/>
          <w:sz w:val="22"/>
          <w:szCs w:val="22"/>
        </w:rPr>
      </w:pPr>
      <w:r w:rsidRPr="002223FB">
        <w:rPr>
          <w:rFonts w:ascii="Verdana" w:hAnsi="Verdana"/>
          <w:noProof/>
          <w:sz w:val="22"/>
          <w:szCs w:val="22"/>
        </w:rPr>
        <w:t>Additionally, Swansea Bay UHB recognises the challenges associated with deprivation in our local population. To support equitable access:</w:t>
      </w:r>
    </w:p>
    <w:p w14:paraId="2323CBDB" w14:textId="77777777" w:rsidR="002223FB" w:rsidRPr="002223FB" w:rsidRDefault="002223FB" w:rsidP="002223FB">
      <w:pPr>
        <w:pStyle w:val="ListParagraph"/>
        <w:numPr>
          <w:ilvl w:val="0"/>
          <w:numId w:val="22"/>
        </w:numPr>
        <w:rPr>
          <w:rFonts w:ascii="Verdana" w:hAnsi="Verdana"/>
          <w:noProof/>
          <w:sz w:val="22"/>
          <w:szCs w:val="22"/>
        </w:rPr>
      </w:pPr>
      <w:r w:rsidRPr="002223FB">
        <w:rPr>
          <w:rFonts w:ascii="Verdana" w:hAnsi="Verdana"/>
          <w:noProof/>
          <w:sz w:val="22"/>
          <w:szCs w:val="22"/>
        </w:rPr>
        <w:t>We provide CGM readers/handsets for patients who do not have access to compatible smartphones</w:t>
      </w:r>
    </w:p>
    <w:p w14:paraId="2F505E30" w14:textId="77777777" w:rsidR="002223FB" w:rsidRPr="002223FB" w:rsidRDefault="002223FB" w:rsidP="002223FB">
      <w:pPr>
        <w:pStyle w:val="ListParagraph"/>
        <w:numPr>
          <w:ilvl w:val="0"/>
          <w:numId w:val="22"/>
        </w:numPr>
        <w:rPr>
          <w:rFonts w:ascii="Verdana" w:hAnsi="Verdana"/>
          <w:noProof/>
          <w:sz w:val="22"/>
          <w:szCs w:val="22"/>
        </w:rPr>
      </w:pPr>
      <w:r w:rsidRPr="002223FB">
        <w:rPr>
          <w:rFonts w:ascii="Verdana" w:hAnsi="Verdana"/>
          <w:noProof/>
          <w:sz w:val="22"/>
          <w:szCs w:val="22"/>
        </w:rPr>
        <w:t>We offer in-clinic support to download and review CGM data for patients who are unable to do this independently</w:t>
      </w:r>
    </w:p>
    <w:p w14:paraId="1F58B02A" w14:textId="393A11CF" w:rsidR="002223FB" w:rsidRPr="002223FB" w:rsidRDefault="002223FB" w:rsidP="002223FB">
      <w:pPr>
        <w:ind w:left="720"/>
        <w:rPr>
          <w:rFonts w:ascii="Verdana" w:hAnsi="Verdana"/>
          <w:noProof/>
          <w:sz w:val="22"/>
          <w:szCs w:val="22"/>
        </w:rPr>
      </w:pPr>
      <w:r w:rsidRPr="002223FB">
        <w:rPr>
          <w:rFonts w:ascii="Verdana" w:hAnsi="Verdana"/>
          <w:noProof/>
          <w:sz w:val="22"/>
          <w:szCs w:val="22"/>
        </w:rPr>
        <w:t>These measures help ensure that patients can benefit from CGM technology regardless of digital access or literacy barriers.</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18FD7EF" w14:textId="664951BE" w:rsidR="00A115C7" w:rsidRPr="00304A21"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FA089A">
      <w:footerReference w:type="default" r:id="rId12"/>
      <w:headerReference w:type="first" r:id="rId13"/>
      <w:footerReference w:type="first" r:id="rId14"/>
      <w:pgSz w:w="11906" w:h="16838"/>
      <w:pgMar w:top="99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2629" w14:textId="77777777" w:rsidR="004A4BA9" w:rsidRDefault="004A4BA9" w:rsidP="007D6A3E">
      <w:pPr>
        <w:spacing w:before="0" w:after="0" w:line="240" w:lineRule="auto"/>
      </w:pPr>
      <w:r>
        <w:separator/>
      </w:r>
    </w:p>
  </w:endnote>
  <w:endnote w:type="continuationSeparator" w:id="0">
    <w:p w14:paraId="224C69EF" w14:textId="77777777" w:rsidR="004A4BA9" w:rsidRDefault="004A4BA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81787799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185441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8651" w14:textId="77777777" w:rsidR="004A4BA9" w:rsidRDefault="004A4BA9" w:rsidP="007D6A3E">
      <w:pPr>
        <w:spacing w:before="0" w:after="0" w:line="240" w:lineRule="auto"/>
      </w:pPr>
      <w:r>
        <w:separator/>
      </w:r>
    </w:p>
  </w:footnote>
  <w:footnote w:type="continuationSeparator" w:id="0">
    <w:p w14:paraId="6E95BFF3" w14:textId="77777777" w:rsidR="004A4BA9" w:rsidRDefault="004A4BA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7336934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72F2CA8"/>
    <w:multiLevelType w:val="hybridMultilevel"/>
    <w:tmpl w:val="E3ACF1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C72390"/>
    <w:multiLevelType w:val="hybridMultilevel"/>
    <w:tmpl w:val="02D4C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1587FA8"/>
    <w:multiLevelType w:val="hybridMultilevel"/>
    <w:tmpl w:val="4FFCFC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25E5A28"/>
    <w:multiLevelType w:val="multilevel"/>
    <w:tmpl w:val="120A81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21"/>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565263062">
    <w:abstractNumId w:val="20"/>
  </w:num>
  <w:num w:numId="20" w16cid:durableId="1316183668">
    <w:abstractNumId w:val="15"/>
  </w:num>
  <w:num w:numId="21" w16cid:durableId="353043101">
    <w:abstractNumId w:val="19"/>
  </w:num>
  <w:num w:numId="22" w16cid:durableId="13685260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223FB"/>
    <w:rsid w:val="00236F74"/>
    <w:rsid w:val="00257A6E"/>
    <w:rsid w:val="002642F7"/>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A4BA9"/>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7B8B"/>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89A"/>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2026-05-19T14:28:00Z</dcterms:modified>
</cp:coreProperties>
</file>