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37B08F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3D3EDD">
                              <w:rPr>
                                <w:rFonts w:ascii="Verdana" w:hAnsi="Verdana"/>
                                <w:b/>
                                <w:sz w:val="22"/>
                                <w:szCs w:val="22"/>
                              </w:rPr>
                              <w:t>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37B08F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3D3EDD">
                        <w:rPr>
                          <w:rFonts w:ascii="Verdana" w:hAnsi="Verdana"/>
                          <w:b/>
                          <w:sz w:val="22"/>
                          <w:szCs w:val="22"/>
                        </w:rPr>
                        <w:t>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BA1E09E" w14:textId="77777777"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This request relates to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surveillance, use of GAP/GROW principles, and umbilical artery Doppler assessment within maternity services during October–November 2019.</w:t>
      </w:r>
    </w:p>
    <w:p w14:paraId="0C331566" w14:textId="77777777"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 the information requested below. Where possible, I would be grateful if documents could be provided in PDF format.</w:t>
      </w:r>
    </w:p>
    <w:p w14:paraId="1EC8913F" w14:textId="77777777" w:rsidR="003D3EDD" w:rsidRPr="003D3EDD" w:rsidRDefault="001049AD" w:rsidP="003D3EDD">
      <w:pPr>
        <w:jc w:val="center"/>
        <w:rPr>
          <w:rFonts w:ascii="Verdana" w:eastAsia="Times New Roman" w:hAnsi="Verdana" w:cs="Aptos"/>
          <w:b/>
          <w:bCs/>
          <w:sz w:val="22"/>
          <w:szCs w:val="22"/>
        </w:rPr>
      </w:pPr>
      <w:r>
        <w:rPr>
          <w:rFonts w:ascii="Verdana" w:eastAsia="Times New Roman" w:hAnsi="Verdana"/>
          <w:b/>
          <w:bCs/>
          <w:sz w:val="22"/>
          <w:szCs w:val="22"/>
        </w:rPr>
        <w:pict w14:anchorId="366C77D2">
          <v:rect id="_x0000_i1029" style="width:468pt;height:1.5pt" o:hralign="center" o:hrstd="t" o:hr="t" fillcolor="#a0a0a0" stroked="f"/>
        </w:pict>
      </w:r>
    </w:p>
    <w:p w14:paraId="0F78D14A" w14:textId="77777777"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A. Local policy and guidance</w:t>
      </w:r>
    </w:p>
    <w:p w14:paraId="2901CE97" w14:textId="77777777" w:rsidR="003D3EDD" w:rsidRPr="003D3EDD" w:rsidRDefault="003D3EDD" w:rsidP="003D3EDD">
      <w:pPr>
        <w:numPr>
          <w:ilvl w:val="0"/>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 copies of all versions of any local maternity guidelines, pathways, or policies in force during October–November 2019 relating to:</w:t>
      </w:r>
    </w:p>
    <w:p w14:paraId="455F2E01" w14:textId="77777777" w:rsidR="003D3EDD" w:rsidRPr="003D3EDD" w:rsidRDefault="003D3EDD" w:rsidP="003D3EDD">
      <w:pPr>
        <w:spacing w:before="100" w:beforeAutospacing="1" w:after="100" w:afterAutospacing="1"/>
        <w:ind w:left="72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This should include:</w:t>
      </w:r>
    </w:p>
    <w:p w14:paraId="6F74AA36" w14:textId="77777777" w:rsidR="003D3EDD" w:rsidRPr="003D3EDD" w:rsidRDefault="003D3EDD" w:rsidP="003D3EDD">
      <w:pPr>
        <w:numPr>
          <w:ilvl w:val="1"/>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Screening for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w:t>
      </w:r>
    </w:p>
    <w:p w14:paraId="69B2CF41" w14:textId="77777777" w:rsidR="003D3EDD" w:rsidRPr="003D3EDD" w:rsidRDefault="003D3EDD" w:rsidP="003D3EDD">
      <w:pPr>
        <w:numPr>
          <w:ilvl w:val="1"/>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Detection or management of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restriction</w:t>
      </w:r>
    </w:p>
    <w:p w14:paraId="0BC5D159" w14:textId="77777777" w:rsidR="003D3EDD" w:rsidRPr="003D3EDD" w:rsidRDefault="003D3EDD" w:rsidP="003D3EDD">
      <w:pPr>
        <w:numPr>
          <w:ilvl w:val="1"/>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Guidance described as being “in line with GAP/GROW”</w:t>
      </w:r>
    </w:p>
    <w:p w14:paraId="3EFD09EA" w14:textId="77777777" w:rsidR="003D3EDD" w:rsidRPr="003D3EDD" w:rsidRDefault="003D3EDD" w:rsidP="003D3EDD">
      <w:pPr>
        <w:numPr>
          <w:ilvl w:val="1"/>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Draft and final versions</w:t>
      </w:r>
    </w:p>
    <w:p w14:paraId="0C7233E5" w14:textId="0EFEEB12" w:rsidR="003D3EDD" w:rsidRPr="00C83036" w:rsidRDefault="003D3EDD" w:rsidP="00C83036">
      <w:pPr>
        <w:numPr>
          <w:ilvl w:val="1"/>
          <w:numId w:val="19"/>
        </w:numPr>
        <w:spacing w:before="100" w:beforeAutospacing="1" w:after="100" w:afterAutospacing="1" w:line="240" w:lineRule="auto"/>
        <w:ind w:right="0"/>
        <w:rPr>
          <w:rFonts w:ascii="Verdana" w:eastAsia="Times New Roman" w:hAnsi="Verdana" w:cs="Calibri"/>
          <w:b/>
          <w:bCs/>
          <w:i/>
          <w:iCs/>
          <w:color w:val="000000"/>
          <w:sz w:val="22"/>
          <w:szCs w:val="22"/>
        </w:rPr>
      </w:pPr>
      <w:r w:rsidRPr="003D3EDD">
        <w:rPr>
          <w:rFonts w:ascii="Verdana" w:eastAsia="Times New Roman" w:hAnsi="Verdana" w:cs="Calibri"/>
          <w:b/>
          <w:bCs/>
          <w:color w:val="000000"/>
          <w:sz w:val="22"/>
          <w:szCs w:val="22"/>
        </w:rPr>
        <w:t xml:space="preserve">The document dated 24 October 2019 titled (or equivalent to) </w:t>
      </w:r>
      <w:r w:rsidRPr="003D3EDD">
        <w:rPr>
          <w:rFonts w:ascii="Verdana" w:eastAsia="Times New Roman" w:hAnsi="Verdana" w:cs="Calibri"/>
          <w:b/>
          <w:bCs/>
          <w:i/>
          <w:iCs/>
          <w:color w:val="000000"/>
          <w:sz w:val="22"/>
          <w:szCs w:val="22"/>
        </w:rPr>
        <w:t xml:space="preserve">“Screening for </w:t>
      </w:r>
      <w:proofErr w:type="spellStart"/>
      <w:r w:rsidRPr="003D3EDD">
        <w:rPr>
          <w:rFonts w:ascii="Verdana" w:eastAsia="Times New Roman" w:hAnsi="Verdana" w:cs="Calibri"/>
          <w:b/>
          <w:bCs/>
          <w:i/>
          <w:iCs/>
          <w:color w:val="000000"/>
          <w:sz w:val="22"/>
          <w:szCs w:val="22"/>
        </w:rPr>
        <w:t>Fetal</w:t>
      </w:r>
      <w:proofErr w:type="spellEnd"/>
      <w:r w:rsidRPr="003D3EDD">
        <w:rPr>
          <w:rFonts w:ascii="Verdana" w:eastAsia="Times New Roman" w:hAnsi="Verdana" w:cs="Calibri"/>
          <w:b/>
          <w:bCs/>
          <w:i/>
          <w:iCs/>
          <w:color w:val="000000"/>
          <w:sz w:val="22"/>
          <w:szCs w:val="22"/>
        </w:rPr>
        <w:t xml:space="preserve"> Growth in line with GAP/GROW”</w:t>
      </w:r>
      <w:r w:rsidR="00C83036">
        <w:rPr>
          <w:rFonts w:ascii="Verdana" w:eastAsia="Times New Roman" w:hAnsi="Verdana" w:cs="Calibri"/>
          <w:b/>
          <w:bCs/>
          <w:i/>
          <w:iCs/>
          <w:color w:val="000000"/>
          <w:sz w:val="22"/>
          <w:szCs w:val="22"/>
        </w:rPr>
        <w:br/>
      </w:r>
      <w:r w:rsidR="00C83036">
        <w:rPr>
          <w:rFonts w:ascii="Verdana" w:eastAsia="Times New Roman" w:hAnsi="Verdana" w:cs="Calibri"/>
          <w:b/>
          <w:bCs/>
          <w:i/>
          <w:iCs/>
          <w:color w:val="000000"/>
          <w:sz w:val="22"/>
          <w:szCs w:val="22"/>
        </w:rPr>
        <w:br/>
      </w:r>
      <w:r w:rsidR="00C83036" w:rsidRPr="00C83036">
        <w:rPr>
          <w:rFonts w:ascii="Verdana" w:eastAsia="Times New Roman" w:hAnsi="Verdana" w:cs="Calibri"/>
          <w:color w:val="000000"/>
          <w:sz w:val="22"/>
          <w:szCs w:val="22"/>
        </w:rPr>
        <w:t xml:space="preserve">Please find attached the archived </w:t>
      </w:r>
      <w:proofErr w:type="spellStart"/>
      <w:r w:rsidR="00C83036" w:rsidRPr="00C83036">
        <w:rPr>
          <w:rFonts w:ascii="Verdana" w:eastAsia="Times New Roman" w:hAnsi="Verdana" w:cs="Calibri"/>
          <w:color w:val="000000"/>
          <w:sz w:val="22"/>
          <w:szCs w:val="22"/>
        </w:rPr>
        <w:t>Fetal</w:t>
      </w:r>
      <w:proofErr w:type="spellEnd"/>
      <w:r w:rsidR="00C83036" w:rsidRPr="00C83036">
        <w:rPr>
          <w:rFonts w:ascii="Verdana" w:eastAsia="Times New Roman" w:hAnsi="Verdana" w:cs="Calibri"/>
          <w:color w:val="000000"/>
          <w:sz w:val="22"/>
          <w:szCs w:val="22"/>
        </w:rPr>
        <w:t xml:space="preserve"> Growth Assessment policy titled:</w:t>
      </w:r>
      <w:r w:rsidR="00C83036" w:rsidRPr="00C83036">
        <w:rPr>
          <w:rFonts w:ascii="Verdana" w:eastAsia="Times New Roman" w:hAnsi="Verdana" w:cs="Calibri"/>
          <w:i/>
          <w:iCs/>
          <w:color w:val="000000"/>
          <w:sz w:val="22"/>
          <w:szCs w:val="22"/>
        </w:rPr>
        <w:br/>
      </w:r>
      <w:r w:rsidR="00C83036" w:rsidRPr="00C83036">
        <w:rPr>
          <w:rFonts w:ascii="Verdana" w:eastAsia="Times New Roman" w:hAnsi="Verdana" w:cs="Calibri"/>
          <w:i/>
          <w:iCs/>
          <w:color w:val="000000"/>
          <w:sz w:val="22"/>
          <w:szCs w:val="22"/>
        </w:rPr>
        <w:t xml:space="preserve">Surveillance, Assessment and Referral for suspected Small for Gestational Age (SGA) </w:t>
      </w:r>
      <w:proofErr w:type="spellStart"/>
      <w:r w:rsidR="00C83036" w:rsidRPr="00C83036">
        <w:rPr>
          <w:rFonts w:ascii="Verdana" w:eastAsia="Times New Roman" w:hAnsi="Verdana" w:cs="Calibri"/>
          <w:i/>
          <w:iCs/>
          <w:color w:val="000000"/>
          <w:sz w:val="22"/>
          <w:szCs w:val="22"/>
        </w:rPr>
        <w:t>Fetus</w:t>
      </w:r>
      <w:proofErr w:type="spellEnd"/>
      <w:r w:rsidR="00C83036" w:rsidRPr="00C83036">
        <w:rPr>
          <w:rFonts w:ascii="Verdana" w:eastAsia="Times New Roman" w:hAnsi="Verdana" w:cs="Calibri"/>
          <w:i/>
          <w:iCs/>
          <w:color w:val="000000"/>
          <w:sz w:val="22"/>
          <w:szCs w:val="22"/>
        </w:rPr>
        <w:t>, Developed in line with the principles of Gap and Grow and RCOG Green Top Guideline 31 (January 2014)</w:t>
      </w:r>
      <w:r w:rsidR="00C83036" w:rsidRPr="00C83036">
        <w:rPr>
          <w:rFonts w:ascii="Verdana" w:eastAsia="Times New Roman" w:hAnsi="Verdana" w:cs="Calibri"/>
          <w:i/>
          <w:iCs/>
          <w:color w:val="000000"/>
          <w:sz w:val="22"/>
          <w:szCs w:val="22"/>
        </w:rPr>
        <w:br/>
      </w:r>
    </w:p>
    <w:p w14:paraId="143DA286" w14:textId="08FBAA48" w:rsidR="003D3EDD" w:rsidRPr="003D3EDD" w:rsidRDefault="003D3EDD" w:rsidP="003D3EDD">
      <w:pPr>
        <w:numPr>
          <w:ilvl w:val="1"/>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Records of approval or ratification</w:t>
      </w:r>
    </w:p>
    <w:p w14:paraId="35CBBAF3" w14:textId="686661A3" w:rsidR="0081678F" w:rsidRPr="00C83036" w:rsidRDefault="003D3EDD" w:rsidP="00C83036">
      <w:pPr>
        <w:numPr>
          <w:ilvl w:val="1"/>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The date(s) the document(s) came into effect</w:t>
      </w:r>
      <w:r w:rsidR="00C83036">
        <w:rPr>
          <w:rFonts w:ascii="Verdana" w:eastAsia="Times New Roman" w:hAnsi="Verdana" w:cs="Calibri"/>
          <w:b/>
          <w:bCs/>
          <w:color w:val="000000"/>
          <w:sz w:val="22"/>
          <w:szCs w:val="22"/>
        </w:rPr>
        <w:br/>
      </w:r>
      <w:r w:rsidR="00C83036">
        <w:rPr>
          <w:rFonts w:ascii="Verdana" w:eastAsia="Times New Roman" w:hAnsi="Verdana" w:cs="Calibri"/>
          <w:b/>
          <w:bCs/>
          <w:color w:val="000000"/>
          <w:sz w:val="22"/>
          <w:szCs w:val="22"/>
        </w:rPr>
        <w:br/>
      </w:r>
      <w:r w:rsidR="00C83036" w:rsidRPr="00C83036">
        <w:rPr>
          <w:rFonts w:ascii="Verdana" w:eastAsia="Times New Roman" w:hAnsi="Verdana" w:cs="Calibri"/>
          <w:color w:val="000000"/>
          <w:sz w:val="22"/>
          <w:szCs w:val="22"/>
        </w:rPr>
        <w:t>Approved by Antenatal Forum on 19</w:t>
      </w:r>
      <w:r w:rsidR="00C83036" w:rsidRPr="00C83036">
        <w:rPr>
          <w:rFonts w:ascii="Verdana" w:eastAsia="Times New Roman" w:hAnsi="Verdana" w:cs="Calibri"/>
          <w:color w:val="000000"/>
          <w:sz w:val="22"/>
          <w:szCs w:val="22"/>
          <w:vertAlign w:val="superscript"/>
        </w:rPr>
        <w:t>th</w:t>
      </w:r>
      <w:r w:rsidR="00C83036" w:rsidRPr="00C83036">
        <w:rPr>
          <w:rFonts w:ascii="Verdana" w:eastAsia="Times New Roman" w:hAnsi="Verdana" w:cs="Calibri"/>
          <w:color w:val="000000"/>
          <w:sz w:val="22"/>
          <w:szCs w:val="22"/>
        </w:rPr>
        <w:t xml:space="preserve"> January 2018.</w:t>
      </w:r>
      <w:r w:rsidR="00C83036">
        <w:rPr>
          <w:rFonts w:ascii="Verdana" w:eastAsia="Times New Roman" w:hAnsi="Verdana" w:cs="Calibri"/>
          <w:b/>
          <w:bCs/>
          <w:color w:val="000000"/>
          <w:sz w:val="22"/>
          <w:szCs w:val="22"/>
        </w:rPr>
        <w:br/>
      </w:r>
    </w:p>
    <w:p w14:paraId="17BD9DCA" w14:textId="5ECC0A66" w:rsidR="003D3EDD" w:rsidRPr="003D3EDD" w:rsidRDefault="003D3EDD" w:rsidP="003D3EDD">
      <w:pPr>
        <w:numPr>
          <w:ilvl w:val="0"/>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confirm which maternity units, clinical settings, and categories of staff (e.g. midwives, sonographers, obstetricians) the above guidance applied to.</w:t>
      </w:r>
      <w:r w:rsidR="0081678F">
        <w:rPr>
          <w:rFonts w:ascii="Verdana" w:eastAsia="Times New Roman" w:hAnsi="Verdana" w:cs="Calibri"/>
          <w:b/>
          <w:bCs/>
          <w:color w:val="000000"/>
          <w:sz w:val="22"/>
          <w:szCs w:val="22"/>
        </w:rPr>
        <w:br/>
      </w:r>
      <w:r w:rsidR="0081678F" w:rsidRPr="00F14F16">
        <w:rPr>
          <w:rFonts w:ascii="Verdana" w:hAnsi="Verdana"/>
          <w:sz w:val="22"/>
          <w:szCs w:val="22"/>
          <w:lang w:eastAsia="en-US"/>
        </w:rPr>
        <w:t>Th</w:t>
      </w:r>
      <w:r w:rsidR="00F14F16" w:rsidRPr="00F14F16">
        <w:rPr>
          <w:rFonts w:ascii="Verdana" w:hAnsi="Verdana"/>
          <w:sz w:val="22"/>
          <w:szCs w:val="22"/>
          <w:lang w:eastAsia="en-US"/>
        </w:rPr>
        <w:t>ese</w:t>
      </w:r>
      <w:r w:rsidR="0081678F" w:rsidRPr="00F14F16">
        <w:rPr>
          <w:rFonts w:ascii="Verdana" w:hAnsi="Verdana"/>
          <w:sz w:val="22"/>
          <w:szCs w:val="22"/>
          <w:lang w:eastAsia="en-US"/>
        </w:rPr>
        <w:t xml:space="preserve"> guideline</w:t>
      </w:r>
      <w:r w:rsidR="00F14F16" w:rsidRPr="00F14F16">
        <w:rPr>
          <w:rFonts w:ascii="Verdana" w:hAnsi="Verdana"/>
          <w:sz w:val="22"/>
          <w:szCs w:val="22"/>
          <w:lang w:eastAsia="en-US"/>
        </w:rPr>
        <w:t>s</w:t>
      </w:r>
      <w:r w:rsidR="0081678F" w:rsidRPr="00F14F16">
        <w:rPr>
          <w:rFonts w:ascii="Verdana" w:hAnsi="Verdana"/>
          <w:sz w:val="22"/>
          <w:szCs w:val="22"/>
          <w:lang w:eastAsia="en-US"/>
        </w:rPr>
        <w:t xml:space="preserve"> </w:t>
      </w:r>
      <w:r w:rsidR="00F14F16" w:rsidRPr="00F14F16">
        <w:rPr>
          <w:rFonts w:ascii="Verdana" w:hAnsi="Verdana"/>
          <w:sz w:val="22"/>
          <w:szCs w:val="22"/>
          <w:lang w:eastAsia="en-US"/>
        </w:rPr>
        <w:t>are</w:t>
      </w:r>
      <w:r w:rsidR="0081678F" w:rsidRPr="00F14F16">
        <w:rPr>
          <w:rFonts w:ascii="Verdana" w:hAnsi="Verdana"/>
          <w:sz w:val="22"/>
          <w:szCs w:val="22"/>
          <w:lang w:eastAsia="en-US"/>
        </w:rPr>
        <w:t xml:space="preserve"> relevant to all healthcare professionals involved in the care of pregnant women including Midwives, Obstetricians and Sonographers.</w:t>
      </w:r>
      <w:r w:rsidR="0081678F">
        <w:rPr>
          <w:rFonts w:ascii="Verdana" w:eastAsia="Times New Roman" w:hAnsi="Verdana" w:cs="Calibri"/>
          <w:b/>
          <w:bCs/>
          <w:color w:val="000000"/>
          <w:sz w:val="22"/>
          <w:szCs w:val="22"/>
        </w:rPr>
        <w:br/>
      </w:r>
    </w:p>
    <w:p w14:paraId="605B1BC8" w14:textId="13C40FA9" w:rsidR="003D3EDD" w:rsidRPr="003D3EDD" w:rsidRDefault="003D3EDD" w:rsidP="003D3EDD">
      <w:pPr>
        <w:numPr>
          <w:ilvl w:val="0"/>
          <w:numId w:val="19"/>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Please provide any documents or communications clarifying whether GAP/GROW principles had been formally adopted by the Health Board by </w:t>
      </w:r>
      <w:r w:rsidRPr="003D3EDD">
        <w:rPr>
          <w:rFonts w:ascii="Verdana" w:eastAsia="Times New Roman" w:hAnsi="Verdana" w:cs="Calibri"/>
          <w:b/>
          <w:bCs/>
          <w:color w:val="000000"/>
          <w:sz w:val="22"/>
          <w:szCs w:val="22"/>
        </w:rPr>
        <w:lastRenderedPageBreak/>
        <w:t>October 2019, and how these principles were intended to be implemented locally.</w:t>
      </w:r>
      <w:r w:rsidR="0081678F">
        <w:rPr>
          <w:rFonts w:ascii="Verdana" w:eastAsia="Times New Roman" w:hAnsi="Verdana" w:cs="Calibri"/>
          <w:b/>
          <w:bCs/>
          <w:color w:val="000000"/>
          <w:sz w:val="22"/>
          <w:szCs w:val="22"/>
        </w:rPr>
        <w:br/>
      </w:r>
      <w:r w:rsidR="0081678F" w:rsidRPr="00F14F16">
        <w:rPr>
          <w:rFonts w:ascii="Verdana" w:eastAsia="Times New Roman" w:hAnsi="Verdana" w:cs="Calibri"/>
          <w:sz w:val="22"/>
          <w:szCs w:val="22"/>
        </w:rPr>
        <w:t xml:space="preserve">Gap &amp; Grow principles form part of the </w:t>
      </w:r>
      <w:proofErr w:type="spellStart"/>
      <w:r w:rsidR="0081678F" w:rsidRPr="00F14F16">
        <w:rPr>
          <w:rFonts w:ascii="Verdana" w:eastAsia="Times New Roman" w:hAnsi="Verdana" w:cs="Calibri"/>
          <w:sz w:val="22"/>
          <w:szCs w:val="22"/>
        </w:rPr>
        <w:t>Fetal</w:t>
      </w:r>
      <w:proofErr w:type="spellEnd"/>
      <w:r w:rsidR="0081678F" w:rsidRPr="00F14F16">
        <w:rPr>
          <w:rFonts w:ascii="Verdana" w:eastAsia="Times New Roman" w:hAnsi="Verdana" w:cs="Calibri"/>
          <w:sz w:val="22"/>
          <w:szCs w:val="22"/>
        </w:rPr>
        <w:t xml:space="preserve"> Growth Assessment policy (</w:t>
      </w:r>
      <w:r w:rsidR="00F14F16" w:rsidRPr="00F14F16">
        <w:rPr>
          <w:rFonts w:ascii="Verdana" w:eastAsia="Times New Roman" w:hAnsi="Verdana" w:cs="Calibri"/>
          <w:sz w:val="22"/>
          <w:szCs w:val="22"/>
        </w:rPr>
        <w:t>provided under question</w:t>
      </w:r>
      <w:r w:rsidR="0081678F" w:rsidRPr="00F14F16">
        <w:rPr>
          <w:rFonts w:ascii="Verdana" w:eastAsia="Times New Roman" w:hAnsi="Verdana" w:cs="Calibri"/>
          <w:sz w:val="22"/>
          <w:szCs w:val="22"/>
        </w:rPr>
        <w:t xml:space="preserve"> A1) which was dated 19th January 2018</w:t>
      </w:r>
      <w:r w:rsidR="00F14F16" w:rsidRPr="00F14F16">
        <w:rPr>
          <w:rFonts w:ascii="Verdana" w:eastAsia="Times New Roman" w:hAnsi="Verdana" w:cs="Calibri"/>
          <w:sz w:val="22"/>
          <w:szCs w:val="22"/>
        </w:rPr>
        <w:t>.</w:t>
      </w:r>
    </w:p>
    <w:p w14:paraId="2245B9D9" w14:textId="77777777" w:rsidR="003D3EDD" w:rsidRPr="003D3EDD" w:rsidRDefault="001049AD" w:rsidP="003D3EDD">
      <w:pPr>
        <w:jc w:val="center"/>
        <w:rPr>
          <w:rFonts w:ascii="Verdana" w:eastAsia="Times New Roman" w:hAnsi="Verdana" w:cs="Aptos"/>
          <w:b/>
          <w:bCs/>
          <w:sz w:val="22"/>
          <w:szCs w:val="22"/>
        </w:rPr>
      </w:pPr>
      <w:r>
        <w:rPr>
          <w:rFonts w:ascii="Verdana" w:eastAsia="Times New Roman" w:hAnsi="Verdana"/>
          <w:b/>
          <w:bCs/>
          <w:sz w:val="22"/>
          <w:szCs w:val="22"/>
        </w:rPr>
        <w:pict w14:anchorId="7A3D7C6A">
          <v:rect id="_x0000_i1030" style="width:468pt;height:1.5pt" o:hralign="center" o:hrstd="t" o:hr="t" fillcolor="#a0a0a0" stroked="f"/>
        </w:pict>
      </w:r>
    </w:p>
    <w:p w14:paraId="67F78CC7" w14:textId="77777777"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B. Doppler (UAD) assessment</w:t>
      </w:r>
    </w:p>
    <w:p w14:paraId="1EE08B0E" w14:textId="77777777" w:rsidR="003D3EDD" w:rsidRPr="003D3EDD" w:rsidRDefault="003D3EDD" w:rsidP="003D3EDD">
      <w:pPr>
        <w:numPr>
          <w:ilvl w:val="0"/>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 copies of any guidelines, SOPs, pathways, or clinical instructions in force during October–November 2019 that set out:</w:t>
      </w:r>
    </w:p>
    <w:p w14:paraId="27436CFB" w14:textId="77777777" w:rsidR="003D3EDD" w:rsidRPr="003D3EDD" w:rsidRDefault="003D3EDD" w:rsidP="003D3EDD">
      <w:pPr>
        <w:numPr>
          <w:ilvl w:val="1"/>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Indications for umbilical artery Doppler assessment</w:t>
      </w:r>
    </w:p>
    <w:p w14:paraId="60B8AB4E" w14:textId="77777777" w:rsidR="003D3EDD" w:rsidRPr="003D3EDD" w:rsidRDefault="003D3EDD" w:rsidP="003D3EDD">
      <w:pPr>
        <w:numPr>
          <w:ilvl w:val="1"/>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Whether Doppler assessment was recommended, advised, or considered in cases of:</w:t>
      </w:r>
    </w:p>
    <w:p w14:paraId="2790AC2D" w14:textId="77777777" w:rsidR="003D3EDD" w:rsidRPr="003D3EDD" w:rsidRDefault="003D3EDD" w:rsidP="003D3EDD">
      <w:pPr>
        <w:numPr>
          <w:ilvl w:val="2"/>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Reduced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velocity</w:t>
      </w:r>
    </w:p>
    <w:p w14:paraId="7429EFD8" w14:textId="77777777" w:rsidR="003D3EDD" w:rsidRPr="003D3EDD" w:rsidRDefault="003D3EDD" w:rsidP="003D3EDD">
      <w:pPr>
        <w:numPr>
          <w:ilvl w:val="2"/>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Crossing of centiles</w:t>
      </w:r>
    </w:p>
    <w:p w14:paraId="07E325D6" w14:textId="77777777" w:rsidR="003D3EDD" w:rsidRDefault="003D3EDD" w:rsidP="003D3EDD">
      <w:pPr>
        <w:numPr>
          <w:ilvl w:val="2"/>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Consultant concern in the absence of estimated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weight below the 10th centile</w:t>
      </w:r>
    </w:p>
    <w:p w14:paraId="79C27C23" w14:textId="7A5635F0" w:rsidR="0081678F" w:rsidRPr="001F7CFC" w:rsidRDefault="0081678F" w:rsidP="00C83036">
      <w:pPr>
        <w:spacing w:before="100" w:beforeAutospacing="1" w:after="100" w:afterAutospacing="1" w:line="240" w:lineRule="auto"/>
        <w:ind w:left="1440" w:right="0"/>
        <w:rPr>
          <w:rFonts w:ascii="Verdana" w:eastAsia="Times New Roman" w:hAnsi="Verdana" w:cs="Calibri"/>
          <w:sz w:val="22"/>
          <w:szCs w:val="22"/>
        </w:rPr>
      </w:pPr>
      <w:r w:rsidRPr="001F7CFC">
        <w:rPr>
          <w:rFonts w:ascii="Verdana" w:eastAsia="Times New Roman" w:hAnsi="Verdana" w:cs="Calibri"/>
          <w:sz w:val="22"/>
          <w:szCs w:val="22"/>
        </w:rPr>
        <w:t xml:space="preserve">See attached </w:t>
      </w:r>
      <w:proofErr w:type="spellStart"/>
      <w:r w:rsidRPr="001F7CFC">
        <w:rPr>
          <w:rFonts w:ascii="Verdana" w:eastAsia="Times New Roman" w:hAnsi="Verdana" w:cs="Calibri"/>
          <w:sz w:val="22"/>
          <w:szCs w:val="22"/>
        </w:rPr>
        <w:t>Fetal</w:t>
      </w:r>
      <w:proofErr w:type="spellEnd"/>
      <w:r w:rsidRPr="001F7CFC">
        <w:rPr>
          <w:rFonts w:ascii="Verdana" w:eastAsia="Times New Roman" w:hAnsi="Verdana" w:cs="Calibri"/>
          <w:sz w:val="22"/>
          <w:szCs w:val="22"/>
        </w:rPr>
        <w:t xml:space="preserve"> Monitoring Guideline</w:t>
      </w:r>
      <w:r w:rsidR="001F7CFC" w:rsidRPr="001F7CFC">
        <w:rPr>
          <w:rFonts w:ascii="Verdana" w:eastAsia="Times New Roman" w:hAnsi="Verdana" w:cs="Calibri"/>
          <w:sz w:val="22"/>
          <w:szCs w:val="22"/>
        </w:rPr>
        <w:t xml:space="preserve"> 2018.</w:t>
      </w:r>
    </w:p>
    <w:p w14:paraId="302F39AA" w14:textId="77777777" w:rsidR="003D3EDD" w:rsidRPr="003D3EDD" w:rsidRDefault="003D3EDD" w:rsidP="003D3EDD">
      <w:pPr>
        <w:numPr>
          <w:ilvl w:val="0"/>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Please confirm which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charts were in use during October–November 2019, and whether those charts included instructions such as:</w:t>
      </w:r>
    </w:p>
    <w:p w14:paraId="1EC40E12" w14:textId="77777777" w:rsidR="003D3EDD" w:rsidRDefault="003D3EDD" w:rsidP="003D3EDD">
      <w:pPr>
        <w:numPr>
          <w:ilvl w:val="1"/>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w:t>
      </w:r>
      <w:proofErr w:type="gramStart"/>
      <w:r w:rsidRPr="003D3EDD">
        <w:rPr>
          <w:rFonts w:ascii="Verdana" w:eastAsia="Times New Roman" w:hAnsi="Verdana" w:cs="Calibri"/>
          <w:b/>
          <w:bCs/>
          <w:color w:val="000000"/>
          <w:sz w:val="22"/>
          <w:szCs w:val="22"/>
        </w:rPr>
        <w:t>Plus</w:t>
      </w:r>
      <w:proofErr w:type="gramEnd"/>
      <w:r w:rsidRPr="003D3EDD">
        <w:rPr>
          <w:rFonts w:ascii="Verdana" w:eastAsia="Times New Roman" w:hAnsi="Verdana" w:cs="Calibri"/>
          <w:b/>
          <w:bCs/>
          <w:color w:val="000000"/>
          <w:sz w:val="22"/>
          <w:szCs w:val="22"/>
        </w:rPr>
        <w:t xml:space="preserve"> Doppler flow if scan suggests growth problems”</w:t>
      </w:r>
    </w:p>
    <w:p w14:paraId="48005CAF" w14:textId="36191DF6" w:rsidR="0081678F" w:rsidRPr="00650895" w:rsidRDefault="0081678F" w:rsidP="0081678F">
      <w:pPr>
        <w:spacing w:before="100" w:beforeAutospacing="1" w:after="100" w:afterAutospacing="1" w:line="240" w:lineRule="auto"/>
        <w:ind w:left="720" w:right="0"/>
        <w:rPr>
          <w:rFonts w:ascii="Verdana" w:eastAsia="Times New Roman" w:hAnsi="Verdana" w:cs="Calibri"/>
          <w:sz w:val="22"/>
          <w:szCs w:val="22"/>
        </w:rPr>
      </w:pPr>
      <w:r w:rsidRPr="00650895">
        <w:rPr>
          <w:rFonts w:ascii="Verdana" w:eastAsia="Times New Roman" w:hAnsi="Verdana" w:cs="Calibri"/>
          <w:sz w:val="22"/>
          <w:szCs w:val="22"/>
        </w:rPr>
        <w:t xml:space="preserve">Customised growth charts are used in accordance with the </w:t>
      </w:r>
      <w:proofErr w:type="spellStart"/>
      <w:r w:rsidRPr="00650895">
        <w:rPr>
          <w:rFonts w:ascii="Verdana" w:eastAsia="Times New Roman" w:hAnsi="Verdana" w:cs="Calibri"/>
          <w:sz w:val="22"/>
          <w:szCs w:val="22"/>
        </w:rPr>
        <w:t>Fetal</w:t>
      </w:r>
      <w:proofErr w:type="spellEnd"/>
      <w:r w:rsidRPr="00650895">
        <w:rPr>
          <w:rFonts w:ascii="Verdana" w:eastAsia="Times New Roman" w:hAnsi="Verdana" w:cs="Calibri"/>
          <w:sz w:val="22"/>
          <w:szCs w:val="22"/>
        </w:rPr>
        <w:t xml:space="preserve"> Growth Assessment Policy (</w:t>
      </w:r>
      <w:r w:rsidR="004F2DEE" w:rsidRPr="00650895">
        <w:rPr>
          <w:rFonts w:ascii="Verdana" w:eastAsia="Times New Roman" w:hAnsi="Verdana" w:cs="Calibri"/>
          <w:sz w:val="22"/>
          <w:szCs w:val="22"/>
        </w:rPr>
        <w:t>as provided for question</w:t>
      </w:r>
      <w:r w:rsidRPr="00650895">
        <w:rPr>
          <w:rFonts w:ascii="Verdana" w:eastAsia="Times New Roman" w:hAnsi="Verdana" w:cs="Calibri"/>
          <w:sz w:val="22"/>
          <w:szCs w:val="22"/>
        </w:rPr>
        <w:t xml:space="preserve"> A1), Section 8 of this policy includes the requirement for doppler referrals where indicated.</w:t>
      </w:r>
    </w:p>
    <w:p w14:paraId="625C7DD0" w14:textId="37FF8854" w:rsidR="003D3EDD" w:rsidRPr="003D3EDD" w:rsidRDefault="003D3EDD" w:rsidP="003D3EDD">
      <w:pPr>
        <w:numPr>
          <w:ilvl w:val="0"/>
          <w:numId w:val="20"/>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 any guidance in place in 2019 regarding documentation of clinical reasoning when Doppler assessment or other recommended investigations were not undertaken.</w:t>
      </w:r>
      <w:r w:rsidR="00C67057">
        <w:rPr>
          <w:rFonts w:ascii="Verdana" w:eastAsia="Times New Roman" w:hAnsi="Verdana" w:cs="Calibri"/>
          <w:b/>
          <w:bCs/>
          <w:color w:val="000000"/>
          <w:sz w:val="22"/>
          <w:szCs w:val="22"/>
        </w:rPr>
        <w:br/>
      </w:r>
      <w:r w:rsidR="00DC4F87" w:rsidRPr="00DC4F87">
        <w:rPr>
          <w:rFonts w:ascii="Verdana" w:eastAsia="Times New Roman" w:hAnsi="Verdana" w:cs="Calibri"/>
          <w:sz w:val="22"/>
          <w:szCs w:val="22"/>
        </w:rPr>
        <w:t>I can confirm that this is documented in the patient’s clinical notes.</w:t>
      </w:r>
    </w:p>
    <w:p w14:paraId="11537406" w14:textId="77777777" w:rsidR="003D3EDD" w:rsidRPr="003D3EDD" w:rsidRDefault="001049AD" w:rsidP="003D3EDD">
      <w:pPr>
        <w:jc w:val="center"/>
        <w:rPr>
          <w:rFonts w:ascii="Verdana" w:eastAsia="Times New Roman" w:hAnsi="Verdana" w:cs="Aptos"/>
          <w:b/>
          <w:bCs/>
          <w:sz w:val="22"/>
          <w:szCs w:val="22"/>
        </w:rPr>
      </w:pPr>
      <w:r>
        <w:rPr>
          <w:rFonts w:ascii="Verdana" w:eastAsia="Times New Roman" w:hAnsi="Verdana"/>
          <w:b/>
          <w:bCs/>
          <w:sz w:val="22"/>
          <w:szCs w:val="22"/>
        </w:rPr>
        <w:pict w14:anchorId="23DAF980">
          <v:rect id="_x0000_i1031" style="width:468pt;height:1.5pt" o:hralign="center" o:hrstd="t" o:hr="t" fillcolor="#a0a0a0" stroked="f"/>
        </w:pict>
      </w:r>
    </w:p>
    <w:p w14:paraId="4996CD64" w14:textId="77777777"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C. Training and dissemination</w:t>
      </w:r>
    </w:p>
    <w:p w14:paraId="39524C8C" w14:textId="77777777" w:rsidR="003D3EDD" w:rsidRPr="003D3EDD" w:rsidRDefault="003D3EDD" w:rsidP="003D3EDD">
      <w:pPr>
        <w:numPr>
          <w:ilvl w:val="0"/>
          <w:numId w:val="21"/>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 records of any training, education sessions, presentations, or workshops delivered in 2019 relating to:</w:t>
      </w:r>
    </w:p>
    <w:p w14:paraId="254F5AD2" w14:textId="77777777" w:rsidR="003D3EDD" w:rsidRPr="003D3EDD" w:rsidRDefault="003D3EDD" w:rsidP="003D3EDD">
      <w:pPr>
        <w:spacing w:before="100" w:beforeAutospacing="1" w:after="100" w:afterAutospacing="1"/>
        <w:ind w:left="72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include dates and staff groups targeted.</w:t>
      </w:r>
    </w:p>
    <w:p w14:paraId="705BFA76" w14:textId="77777777" w:rsidR="003D3EDD" w:rsidRPr="003D3EDD" w:rsidRDefault="003D3EDD" w:rsidP="003D3EDD">
      <w:pPr>
        <w:numPr>
          <w:ilvl w:val="1"/>
          <w:numId w:val="21"/>
        </w:numPr>
        <w:spacing w:before="100" w:beforeAutospacing="1" w:after="100" w:afterAutospacing="1" w:line="240" w:lineRule="auto"/>
        <w:ind w:right="0"/>
        <w:rPr>
          <w:rFonts w:ascii="Verdana" w:eastAsia="Times New Roman" w:hAnsi="Verdana" w:cs="Calibri"/>
          <w:b/>
          <w:bCs/>
          <w:color w:val="000000"/>
          <w:sz w:val="22"/>
          <w:szCs w:val="22"/>
        </w:rPr>
      </w:pP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surveillance</w:t>
      </w:r>
    </w:p>
    <w:p w14:paraId="13A46859" w14:textId="77777777" w:rsidR="003D3EDD" w:rsidRPr="003D3EDD" w:rsidRDefault="003D3EDD" w:rsidP="003D3EDD">
      <w:pPr>
        <w:numPr>
          <w:ilvl w:val="1"/>
          <w:numId w:val="21"/>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GAP/GROW principles</w:t>
      </w:r>
    </w:p>
    <w:p w14:paraId="2543CBF7" w14:textId="77777777" w:rsidR="003D3EDD" w:rsidRDefault="003D3EDD" w:rsidP="003D3EDD">
      <w:pPr>
        <w:numPr>
          <w:ilvl w:val="1"/>
          <w:numId w:val="21"/>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Detection of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restriction</w:t>
      </w:r>
    </w:p>
    <w:p w14:paraId="6430A032" w14:textId="4A6BA070" w:rsidR="00D64AED" w:rsidRPr="00145BF7" w:rsidRDefault="00D64AED" w:rsidP="00D64AED">
      <w:pPr>
        <w:spacing w:before="100" w:beforeAutospacing="1" w:after="100" w:afterAutospacing="1" w:line="240" w:lineRule="auto"/>
        <w:ind w:left="720" w:right="0"/>
        <w:rPr>
          <w:rFonts w:ascii="Verdana" w:eastAsia="Times New Roman" w:hAnsi="Verdana" w:cs="Calibri"/>
          <w:sz w:val="22"/>
          <w:szCs w:val="22"/>
        </w:rPr>
      </w:pPr>
      <w:r w:rsidRPr="00145BF7">
        <w:rPr>
          <w:rFonts w:ascii="Verdana" w:eastAsia="Times New Roman" w:hAnsi="Verdana" w:cs="Calibri"/>
          <w:sz w:val="22"/>
          <w:szCs w:val="22"/>
        </w:rPr>
        <w:t>I can confirm that this information</w:t>
      </w:r>
      <w:r w:rsidR="00145BF7" w:rsidRPr="00145BF7">
        <w:rPr>
          <w:rFonts w:ascii="Verdana" w:eastAsia="Times New Roman" w:hAnsi="Verdana" w:cs="Calibri"/>
          <w:sz w:val="22"/>
          <w:szCs w:val="22"/>
        </w:rPr>
        <w:t xml:space="preserve"> from this period</w:t>
      </w:r>
      <w:r w:rsidRPr="00145BF7">
        <w:rPr>
          <w:rFonts w:ascii="Verdana" w:eastAsia="Times New Roman" w:hAnsi="Verdana" w:cs="Calibri"/>
          <w:sz w:val="22"/>
          <w:szCs w:val="22"/>
        </w:rPr>
        <w:t xml:space="preserve"> is not held centrally in a digital </w:t>
      </w:r>
      <w:r w:rsidR="001F7CFC" w:rsidRPr="00145BF7">
        <w:rPr>
          <w:rFonts w:ascii="Verdana" w:eastAsia="Times New Roman" w:hAnsi="Verdana" w:cs="Calibri"/>
          <w:sz w:val="22"/>
          <w:szCs w:val="22"/>
        </w:rPr>
        <w:t>format</w:t>
      </w:r>
      <w:r w:rsidRPr="00145BF7">
        <w:rPr>
          <w:rFonts w:ascii="Verdana" w:eastAsia="Times New Roman" w:hAnsi="Verdana" w:cs="Calibri"/>
          <w:sz w:val="22"/>
          <w:szCs w:val="22"/>
        </w:rPr>
        <w:t xml:space="preserve">. To obtain this information would involve a manual trawl and search of paper records which we have estimated would significantly exceed the 18 hours limit set down by the FOI Act as the reasonable limit. Section 12 of the FOI Act and The Freedom of Information and Data Protection (Appropriate Limit and Fees) Regulation </w:t>
      </w:r>
      <w:r w:rsidRPr="00145BF7">
        <w:rPr>
          <w:rFonts w:ascii="Verdana" w:eastAsia="Times New Roman" w:hAnsi="Verdana" w:cs="Calibri"/>
          <w:sz w:val="22"/>
          <w:szCs w:val="22"/>
        </w:rPr>
        <w:lastRenderedPageBreak/>
        <w:t>2004 provides that we are not obliged to spend in excess of 18 hours in any sixty day period locating, retrieving and identifying information in order to deal with a request for information and therefore we are withholding this information at this time.</w:t>
      </w:r>
    </w:p>
    <w:p w14:paraId="34F48DF6" w14:textId="590E7D88" w:rsidR="003D3EDD" w:rsidRPr="003D3EDD" w:rsidRDefault="003D3EDD" w:rsidP="003D3EDD">
      <w:pPr>
        <w:numPr>
          <w:ilvl w:val="0"/>
          <w:numId w:val="21"/>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Please provide evidence of how the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screening guidance dated 24 October 2019 was disseminated to maternity staff (e.g. emails, intranet postings, governance communications).</w:t>
      </w:r>
      <w:r w:rsidR="00C67057">
        <w:rPr>
          <w:rFonts w:ascii="Verdana" w:eastAsia="Times New Roman" w:hAnsi="Verdana" w:cs="Calibri"/>
          <w:b/>
          <w:bCs/>
          <w:color w:val="000000"/>
          <w:sz w:val="22"/>
          <w:szCs w:val="22"/>
        </w:rPr>
        <w:br/>
      </w:r>
      <w:r w:rsidR="00C67057">
        <w:rPr>
          <w:rFonts w:ascii="Verdana" w:eastAsia="Times New Roman" w:hAnsi="Verdana" w:cs="Calibri"/>
          <w:color w:val="000000"/>
          <w:sz w:val="22"/>
          <w:szCs w:val="22"/>
        </w:rPr>
        <w:t>All guidance is on our maternity documentation and guidance system called WISDOM, which is accessible for all Maternity staff to access.</w:t>
      </w:r>
    </w:p>
    <w:p w14:paraId="24F6D7EE" w14:textId="77777777" w:rsidR="003D3EDD" w:rsidRPr="003D3EDD" w:rsidRDefault="001049AD" w:rsidP="003D3EDD">
      <w:pPr>
        <w:jc w:val="center"/>
        <w:rPr>
          <w:rFonts w:ascii="Verdana" w:eastAsia="Times New Roman" w:hAnsi="Verdana" w:cs="Aptos"/>
          <w:b/>
          <w:bCs/>
          <w:sz w:val="22"/>
          <w:szCs w:val="22"/>
        </w:rPr>
      </w:pPr>
      <w:r>
        <w:rPr>
          <w:rFonts w:ascii="Verdana" w:eastAsia="Times New Roman" w:hAnsi="Verdana"/>
          <w:b/>
          <w:bCs/>
          <w:sz w:val="22"/>
          <w:szCs w:val="22"/>
        </w:rPr>
        <w:pict w14:anchorId="22A27B3E">
          <v:rect id="_x0000_i1032" style="width:468pt;height:1.5pt" o:hralign="center" o:hrstd="t" o:hr="t" fillcolor="#a0a0a0" stroked="f"/>
        </w:pict>
      </w:r>
    </w:p>
    <w:p w14:paraId="2CC69CD4" w14:textId="77777777"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D. Governance, audit, and review</w:t>
      </w:r>
    </w:p>
    <w:p w14:paraId="5A7B42E9" w14:textId="77777777" w:rsidR="003D3EDD" w:rsidRPr="003D3EDD" w:rsidRDefault="003D3EDD" w:rsidP="003D3EDD">
      <w:pPr>
        <w:numPr>
          <w:ilvl w:val="0"/>
          <w:numId w:val="22"/>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 copies of any audits, reviews, or reports conducted between 2018 and 2020 relating to:</w:t>
      </w:r>
    </w:p>
    <w:p w14:paraId="45C2D2F0" w14:textId="77777777" w:rsidR="003D3EDD" w:rsidRPr="003D3EDD" w:rsidRDefault="003D3EDD" w:rsidP="003D3EDD">
      <w:pPr>
        <w:numPr>
          <w:ilvl w:val="1"/>
          <w:numId w:val="22"/>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Detection of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restriction</w:t>
      </w:r>
    </w:p>
    <w:p w14:paraId="5E232969" w14:textId="77777777" w:rsidR="003D3EDD" w:rsidRPr="003D3EDD" w:rsidRDefault="003D3EDD" w:rsidP="003D3EDD">
      <w:pPr>
        <w:numPr>
          <w:ilvl w:val="1"/>
          <w:numId w:val="22"/>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Use of Doppler ultrasound</w:t>
      </w:r>
    </w:p>
    <w:p w14:paraId="05F89463" w14:textId="77777777" w:rsidR="003D3EDD" w:rsidRDefault="003D3EDD" w:rsidP="003D3EDD">
      <w:pPr>
        <w:numPr>
          <w:ilvl w:val="1"/>
          <w:numId w:val="22"/>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Review of term stillbirths where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or placental insufficiency was identified as a factor</w:t>
      </w:r>
    </w:p>
    <w:p w14:paraId="5C7965CC" w14:textId="473E7F68" w:rsidR="00CA25F7" w:rsidRPr="00694B24" w:rsidRDefault="00C67057" w:rsidP="00CA25F7">
      <w:pPr>
        <w:spacing w:before="100" w:beforeAutospacing="1" w:after="100" w:afterAutospacing="1" w:line="240" w:lineRule="auto"/>
        <w:ind w:left="1080" w:right="0"/>
        <w:rPr>
          <w:rFonts w:ascii="Verdana" w:eastAsia="Times New Roman" w:hAnsi="Verdana" w:cs="Calibri"/>
          <w:color w:val="000000"/>
          <w:sz w:val="22"/>
          <w:szCs w:val="22"/>
        </w:rPr>
      </w:pPr>
      <w:r w:rsidRPr="00694B24">
        <w:rPr>
          <w:rFonts w:ascii="Verdana" w:eastAsia="Times New Roman" w:hAnsi="Verdana" w:cs="Calibri"/>
          <w:color w:val="000000"/>
          <w:sz w:val="22"/>
          <w:szCs w:val="22"/>
        </w:rPr>
        <w:t xml:space="preserve">I can confirm that no audits were performed in this </w:t>
      </w:r>
      <w:proofErr w:type="gramStart"/>
      <w:r w:rsidRPr="00694B24">
        <w:rPr>
          <w:rFonts w:ascii="Verdana" w:eastAsia="Times New Roman" w:hAnsi="Verdana" w:cs="Calibri"/>
          <w:color w:val="000000"/>
          <w:sz w:val="22"/>
          <w:szCs w:val="22"/>
        </w:rPr>
        <w:t>time period</w:t>
      </w:r>
      <w:proofErr w:type="gramEnd"/>
      <w:r w:rsidRPr="00694B24">
        <w:rPr>
          <w:rFonts w:ascii="Verdana" w:eastAsia="Times New Roman" w:hAnsi="Verdana" w:cs="Calibri"/>
          <w:color w:val="000000"/>
          <w:sz w:val="22"/>
          <w:szCs w:val="22"/>
        </w:rPr>
        <w:t xml:space="preserve"> relating to the topics listed above. However</w:t>
      </w:r>
      <w:r w:rsidR="00694B24">
        <w:rPr>
          <w:rFonts w:ascii="Verdana" w:eastAsia="Times New Roman" w:hAnsi="Verdana" w:cs="Calibri"/>
          <w:color w:val="000000"/>
          <w:sz w:val="22"/>
          <w:szCs w:val="22"/>
        </w:rPr>
        <w:t>,</w:t>
      </w:r>
      <w:r w:rsidRPr="00694B24">
        <w:rPr>
          <w:rFonts w:ascii="Verdana" w:eastAsia="Times New Roman" w:hAnsi="Verdana" w:cs="Calibri"/>
          <w:color w:val="000000"/>
          <w:sz w:val="22"/>
          <w:szCs w:val="22"/>
        </w:rPr>
        <w:t xml:space="preserve"> I can confirm that any </w:t>
      </w:r>
      <w:proofErr w:type="spellStart"/>
      <w:r w:rsidRPr="00694B24">
        <w:rPr>
          <w:rFonts w:ascii="Verdana" w:eastAsia="Times New Roman" w:hAnsi="Verdana" w:cs="Calibri"/>
          <w:color w:val="000000"/>
          <w:sz w:val="22"/>
          <w:szCs w:val="22"/>
        </w:rPr>
        <w:t>fetal</w:t>
      </w:r>
      <w:proofErr w:type="spellEnd"/>
      <w:r w:rsidRPr="00694B24">
        <w:rPr>
          <w:rFonts w:ascii="Verdana" w:eastAsia="Times New Roman" w:hAnsi="Verdana" w:cs="Calibri"/>
          <w:color w:val="000000"/>
          <w:sz w:val="22"/>
          <w:szCs w:val="22"/>
        </w:rPr>
        <w:t xml:space="preserve"> growth below the 10</w:t>
      </w:r>
      <w:r w:rsidRPr="00694B24">
        <w:rPr>
          <w:rFonts w:ascii="Verdana" w:eastAsia="Times New Roman" w:hAnsi="Verdana" w:cs="Calibri"/>
          <w:color w:val="000000"/>
          <w:sz w:val="22"/>
          <w:szCs w:val="22"/>
          <w:vertAlign w:val="superscript"/>
        </w:rPr>
        <w:t>th</w:t>
      </w:r>
      <w:r w:rsidRPr="00694B24">
        <w:rPr>
          <w:rFonts w:ascii="Verdana" w:eastAsia="Times New Roman" w:hAnsi="Verdana" w:cs="Calibri"/>
          <w:color w:val="000000"/>
          <w:sz w:val="22"/>
          <w:szCs w:val="22"/>
        </w:rPr>
        <w:t xml:space="preserve"> centile is</w:t>
      </w:r>
      <w:r w:rsidR="00DC4F87">
        <w:rPr>
          <w:rFonts w:ascii="Verdana" w:eastAsia="Times New Roman" w:hAnsi="Verdana" w:cs="Calibri"/>
          <w:color w:val="000000"/>
          <w:sz w:val="22"/>
          <w:szCs w:val="22"/>
        </w:rPr>
        <w:t xml:space="preserve"> and was</w:t>
      </w:r>
      <w:r w:rsidRPr="00694B24">
        <w:rPr>
          <w:rFonts w:ascii="Verdana" w:eastAsia="Times New Roman" w:hAnsi="Verdana" w:cs="Calibri"/>
          <w:color w:val="000000"/>
          <w:sz w:val="22"/>
          <w:szCs w:val="22"/>
        </w:rPr>
        <w:t xml:space="preserve"> routinely logged on our Datix incident reporting system </w:t>
      </w:r>
      <w:r w:rsidR="00694B24">
        <w:rPr>
          <w:rFonts w:ascii="Verdana" w:eastAsia="Times New Roman" w:hAnsi="Verdana" w:cs="Calibri"/>
          <w:color w:val="000000"/>
          <w:sz w:val="22"/>
          <w:szCs w:val="22"/>
        </w:rPr>
        <w:t>in</w:t>
      </w:r>
      <w:r w:rsidRPr="00694B24">
        <w:rPr>
          <w:rFonts w:ascii="Verdana" w:eastAsia="Times New Roman" w:hAnsi="Verdana" w:cs="Calibri"/>
          <w:color w:val="000000"/>
          <w:sz w:val="22"/>
          <w:szCs w:val="22"/>
        </w:rPr>
        <w:t xml:space="preserve"> accordance with our </w:t>
      </w:r>
      <w:r w:rsidR="00694B24" w:rsidRPr="00694B24">
        <w:rPr>
          <w:rFonts w:ascii="Verdana" w:eastAsia="Times New Roman" w:hAnsi="Verdana" w:cs="Calibri"/>
          <w:color w:val="000000"/>
          <w:sz w:val="22"/>
          <w:szCs w:val="22"/>
        </w:rPr>
        <w:t>Datix Maternity Trigger List.</w:t>
      </w:r>
    </w:p>
    <w:p w14:paraId="2C615B61" w14:textId="5DDD7FBF" w:rsidR="003D3EDD" w:rsidRPr="003D3EDD" w:rsidRDefault="003D3EDD" w:rsidP="0081678F">
      <w:pPr>
        <w:numPr>
          <w:ilvl w:val="0"/>
          <w:numId w:val="22"/>
        </w:numPr>
        <w:tabs>
          <w:tab w:val="clear" w:pos="720"/>
          <w:tab w:val="num" w:pos="851"/>
        </w:tabs>
        <w:spacing w:before="100" w:beforeAutospacing="1" w:after="100" w:afterAutospacing="1" w:line="240" w:lineRule="auto"/>
        <w:ind w:right="0" w:hanging="578"/>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Please provide copies of any Serious Incident reports, HSIB/MNSI submissions, or learning summaries from 2018–2020 relating to term stillbirths associated with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concerns.</w:t>
      </w:r>
      <w:r w:rsidR="00C67057">
        <w:rPr>
          <w:rFonts w:ascii="Verdana" w:eastAsia="Times New Roman" w:hAnsi="Verdana" w:cs="Calibri"/>
          <w:b/>
          <w:bCs/>
          <w:color w:val="000000"/>
          <w:sz w:val="22"/>
          <w:szCs w:val="22"/>
        </w:rPr>
        <w:br/>
      </w:r>
      <w:r w:rsidR="001F7CFC" w:rsidRPr="001F7CFC">
        <w:rPr>
          <w:rFonts w:ascii="Verdana" w:eastAsia="Times New Roman" w:hAnsi="Verdana" w:cs="Calibri"/>
          <w:sz w:val="22"/>
          <w:szCs w:val="22"/>
        </w:rPr>
        <w:t xml:space="preserve">I can confirm that this information is not held centrally. Serious Incident reports relating to stillbirths are not categorised by </w:t>
      </w:r>
      <w:proofErr w:type="spellStart"/>
      <w:r w:rsidR="001F7CFC" w:rsidRPr="001F7CFC">
        <w:rPr>
          <w:rFonts w:ascii="Verdana" w:eastAsia="Times New Roman" w:hAnsi="Verdana" w:cs="Calibri"/>
          <w:sz w:val="22"/>
          <w:szCs w:val="22"/>
        </w:rPr>
        <w:t>fetal</w:t>
      </w:r>
      <w:proofErr w:type="spellEnd"/>
      <w:r w:rsidR="001F7CFC" w:rsidRPr="001F7CFC">
        <w:rPr>
          <w:rFonts w:ascii="Verdana" w:eastAsia="Times New Roman" w:hAnsi="Verdana" w:cs="Calibri"/>
          <w:sz w:val="22"/>
          <w:szCs w:val="22"/>
        </w:rPr>
        <w:t xml:space="preserve"> growth concerns</w:t>
      </w:r>
      <w:bookmarkStart w:id="0" w:name="_Hlk216440947"/>
      <w:r w:rsidR="00DC4F87">
        <w:rPr>
          <w:rFonts w:ascii="Verdana" w:eastAsia="Times New Roman" w:hAnsi="Verdana" w:cs="Calibri"/>
          <w:sz w:val="22"/>
          <w:szCs w:val="22"/>
        </w:rPr>
        <w:t>.</w:t>
      </w:r>
      <w:r w:rsidR="001F7CFC" w:rsidRPr="001F7CFC">
        <w:rPr>
          <w:rFonts w:ascii="Verdana" w:hAnsi="Verdana"/>
          <w:b/>
          <w:bCs/>
          <w:noProof/>
          <w:sz w:val="22"/>
          <w:szCs w:val="22"/>
        </w:rPr>
        <w:t xml:space="preserve"> </w:t>
      </w:r>
      <w:r w:rsidR="001F7CFC" w:rsidRPr="001F7CFC">
        <w:rPr>
          <w:rFonts w:ascii="Verdana" w:hAnsi="Verdana"/>
          <w:sz w:val="22"/>
          <w:szCs w:val="22"/>
        </w:rPr>
        <w:t xml:space="preserve">To obtain this information would involve a manual trawl and search of records which </w:t>
      </w:r>
      <w:r w:rsidR="001F7CFC" w:rsidRPr="001F7CFC">
        <w:rPr>
          <w:rFonts w:ascii="Verdana" w:hAnsi="Verdana" w:cs="Times New Roman"/>
          <w:sz w:val="22"/>
          <w:szCs w:val="22"/>
        </w:rPr>
        <w:t xml:space="preserve">we have estimated would significantly exceed the 18 hours limit set down by the FOI Act as the reasonable limit. </w:t>
      </w:r>
      <w:r w:rsidR="001F7CFC" w:rsidRPr="001F7CFC">
        <w:rPr>
          <w:rFonts w:ascii="Verdana" w:hAnsi="Verdana" w:cs="Tahoma"/>
          <w:sz w:val="22"/>
          <w:szCs w:val="22"/>
        </w:rPr>
        <w:t>Section 12 of the FOI Act and T</w:t>
      </w:r>
      <w:r w:rsidR="001F7CFC" w:rsidRPr="001F7CFC">
        <w:rPr>
          <w:rFonts w:ascii="Verdana" w:hAnsi="Verdana"/>
          <w:sz w:val="22"/>
          <w:szCs w:val="22"/>
        </w:rPr>
        <w:t xml:space="preserve">he Freedom of Information and Data Protection (Appropriate Limit and Fees) Regulation 2004 </w:t>
      </w:r>
      <w:r w:rsidR="001F7CFC" w:rsidRPr="001F7CFC">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001F7CFC" w:rsidRPr="001F7CFC">
        <w:rPr>
          <w:rFonts w:ascii="Verdana" w:hAnsi="Verdana" w:cs="Times New Roman"/>
          <w:sz w:val="22"/>
          <w:szCs w:val="22"/>
        </w:rPr>
        <w:t xml:space="preserve"> </w:t>
      </w:r>
    </w:p>
    <w:p w14:paraId="2DFB61AB" w14:textId="77777777" w:rsidR="003D3EDD" w:rsidRPr="003D3EDD" w:rsidRDefault="001049AD" w:rsidP="003D3EDD">
      <w:pPr>
        <w:jc w:val="center"/>
        <w:rPr>
          <w:rFonts w:ascii="Verdana" w:eastAsia="Times New Roman" w:hAnsi="Verdana" w:cs="Aptos"/>
          <w:b/>
          <w:bCs/>
          <w:sz w:val="22"/>
          <w:szCs w:val="22"/>
        </w:rPr>
      </w:pPr>
      <w:r>
        <w:rPr>
          <w:rFonts w:ascii="Verdana" w:eastAsia="Times New Roman" w:hAnsi="Verdana"/>
          <w:b/>
          <w:bCs/>
          <w:sz w:val="22"/>
          <w:szCs w:val="22"/>
        </w:rPr>
        <w:pict w14:anchorId="4E5EC7E6">
          <v:rect id="_x0000_i1037" style="width:468pt;height:1.5pt" o:hralign="center" o:hrstd="t" o:hr="t" fillcolor="#a0a0a0" stroked="f"/>
        </w:pict>
      </w:r>
    </w:p>
    <w:p w14:paraId="1FDEB743" w14:textId="2E928D52" w:rsidR="003D3EDD" w:rsidRPr="003D3EDD" w:rsidRDefault="003D3EDD" w:rsidP="003D3EDD">
      <w:pPr>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E. Operational data</w:t>
      </w:r>
      <w:r w:rsidR="00CA25F7">
        <w:rPr>
          <w:rFonts w:ascii="Verdana" w:eastAsia="Times New Roman" w:hAnsi="Verdana" w:cs="Calibri"/>
          <w:b/>
          <w:bCs/>
          <w:color w:val="000000"/>
          <w:sz w:val="22"/>
          <w:szCs w:val="22"/>
        </w:rPr>
        <w:t xml:space="preserve"> </w:t>
      </w:r>
    </w:p>
    <w:p w14:paraId="3E294C86" w14:textId="77777777" w:rsidR="003D3EDD" w:rsidRPr="003D3EDD" w:rsidRDefault="003D3EDD" w:rsidP="0081678F">
      <w:pPr>
        <w:numPr>
          <w:ilvl w:val="0"/>
          <w:numId w:val="23"/>
        </w:numPr>
        <w:spacing w:before="100" w:beforeAutospacing="1" w:after="100" w:afterAutospacing="1" w:line="240" w:lineRule="auto"/>
        <w:ind w:right="0" w:hanging="578"/>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Please provide:</w:t>
      </w:r>
    </w:p>
    <w:p w14:paraId="51697996" w14:textId="266BBCDC" w:rsidR="003D3EDD" w:rsidRPr="003D3EDD" w:rsidRDefault="003D3EDD" w:rsidP="003D3EDD">
      <w:pPr>
        <w:numPr>
          <w:ilvl w:val="0"/>
          <w:numId w:val="24"/>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The number of umbilical artery Doppler assessments performed in October–November 2019</w:t>
      </w:r>
      <w:r w:rsidR="001F7CFC">
        <w:rPr>
          <w:rFonts w:ascii="Verdana" w:eastAsia="Times New Roman" w:hAnsi="Verdana" w:cs="Calibri"/>
          <w:b/>
          <w:bCs/>
          <w:color w:val="000000"/>
          <w:sz w:val="22"/>
          <w:szCs w:val="22"/>
        </w:rPr>
        <w:br/>
      </w:r>
      <w:r w:rsidR="001F7CFC" w:rsidRPr="001F7CFC">
        <w:rPr>
          <w:rFonts w:ascii="Verdana" w:eastAsia="Times New Roman" w:hAnsi="Verdana" w:cs="Calibri"/>
          <w:color w:val="000000"/>
          <w:sz w:val="22"/>
          <w:szCs w:val="22"/>
        </w:rPr>
        <w:t>October 2019 – 208</w:t>
      </w:r>
      <w:r w:rsidR="001F7CFC" w:rsidRPr="001F7CFC">
        <w:rPr>
          <w:rFonts w:ascii="Verdana" w:eastAsia="Times New Roman" w:hAnsi="Verdana" w:cs="Calibri"/>
          <w:color w:val="000000"/>
          <w:sz w:val="22"/>
          <w:szCs w:val="22"/>
        </w:rPr>
        <w:br/>
        <w:t>November 2019 - 175</w:t>
      </w:r>
      <w:r w:rsidR="001F7CFC">
        <w:rPr>
          <w:rFonts w:ascii="Verdana" w:eastAsia="Times New Roman" w:hAnsi="Verdana" w:cs="Calibri"/>
          <w:b/>
          <w:bCs/>
          <w:color w:val="000000"/>
          <w:sz w:val="22"/>
          <w:szCs w:val="22"/>
        </w:rPr>
        <w:br/>
      </w:r>
    </w:p>
    <w:p w14:paraId="566A3F37" w14:textId="3205A738" w:rsidR="003D3EDD" w:rsidRPr="003D3EDD" w:rsidRDefault="003D3EDD" w:rsidP="003D3EDD">
      <w:pPr>
        <w:numPr>
          <w:ilvl w:val="0"/>
          <w:numId w:val="24"/>
        </w:numPr>
        <w:spacing w:before="100" w:beforeAutospacing="1" w:after="100" w:afterAutospacing="1" w:line="240" w:lineRule="auto"/>
        <w:ind w:right="0"/>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The total number of third-trimester growth scans performed in the same period</w:t>
      </w:r>
      <w:r w:rsidR="001F7CFC">
        <w:rPr>
          <w:rFonts w:ascii="Verdana" w:eastAsia="Times New Roman" w:hAnsi="Verdana" w:cs="Calibri"/>
          <w:b/>
          <w:bCs/>
          <w:color w:val="000000"/>
          <w:sz w:val="22"/>
          <w:szCs w:val="22"/>
        </w:rPr>
        <w:br/>
      </w:r>
      <w:r w:rsidR="001F7CFC" w:rsidRPr="001F7CFC">
        <w:rPr>
          <w:rFonts w:ascii="Verdana" w:eastAsia="Times New Roman" w:hAnsi="Verdana" w:cs="Calibri"/>
          <w:color w:val="000000"/>
          <w:sz w:val="22"/>
          <w:szCs w:val="22"/>
        </w:rPr>
        <w:lastRenderedPageBreak/>
        <w:t xml:space="preserve">October 2019 – </w:t>
      </w:r>
      <w:r w:rsidR="001F7CFC">
        <w:rPr>
          <w:rFonts w:ascii="Verdana" w:eastAsia="Times New Roman" w:hAnsi="Verdana" w:cs="Calibri"/>
          <w:color w:val="000000"/>
          <w:sz w:val="22"/>
          <w:szCs w:val="22"/>
        </w:rPr>
        <w:t>498</w:t>
      </w:r>
      <w:r w:rsidR="001F7CFC" w:rsidRPr="001F7CFC">
        <w:rPr>
          <w:rFonts w:ascii="Verdana" w:eastAsia="Times New Roman" w:hAnsi="Verdana" w:cs="Calibri"/>
          <w:color w:val="000000"/>
          <w:sz w:val="22"/>
          <w:szCs w:val="22"/>
        </w:rPr>
        <w:br/>
        <w:t xml:space="preserve">November 2019 - </w:t>
      </w:r>
      <w:r w:rsidR="001F7CFC">
        <w:rPr>
          <w:rFonts w:ascii="Verdana" w:eastAsia="Times New Roman" w:hAnsi="Verdana" w:cs="Calibri"/>
          <w:color w:val="000000"/>
          <w:sz w:val="22"/>
          <w:szCs w:val="22"/>
        </w:rPr>
        <w:t>448</w:t>
      </w:r>
    </w:p>
    <w:p w14:paraId="45080502" w14:textId="46BD0E61" w:rsidR="003D3EDD" w:rsidRPr="003D3EDD" w:rsidRDefault="003D3EDD" w:rsidP="0081678F">
      <w:pPr>
        <w:numPr>
          <w:ilvl w:val="0"/>
          <w:numId w:val="25"/>
        </w:numPr>
        <w:spacing w:before="100" w:beforeAutospacing="1" w:after="100" w:afterAutospacing="1" w:line="240" w:lineRule="auto"/>
        <w:ind w:right="0" w:hanging="578"/>
        <w:rPr>
          <w:rFonts w:ascii="Verdana" w:eastAsia="Times New Roman" w:hAnsi="Verdana" w:cs="Calibri"/>
          <w:b/>
          <w:bCs/>
          <w:color w:val="000000"/>
          <w:sz w:val="22"/>
          <w:szCs w:val="22"/>
        </w:rPr>
      </w:pPr>
      <w:r w:rsidRPr="003D3EDD">
        <w:rPr>
          <w:rFonts w:ascii="Verdana" w:eastAsia="Times New Roman" w:hAnsi="Verdana" w:cs="Calibri"/>
          <w:b/>
          <w:bCs/>
          <w:color w:val="000000"/>
          <w:sz w:val="22"/>
          <w:szCs w:val="22"/>
        </w:rPr>
        <w:t xml:space="preserve">Please provide any data or guidance from 2019 describing expected actions following consultant review for </w:t>
      </w:r>
      <w:proofErr w:type="spellStart"/>
      <w:r w:rsidRPr="003D3EDD">
        <w:rPr>
          <w:rFonts w:ascii="Verdana" w:eastAsia="Times New Roman" w:hAnsi="Verdana" w:cs="Calibri"/>
          <w:b/>
          <w:bCs/>
          <w:color w:val="000000"/>
          <w:sz w:val="22"/>
          <w:szCs w:val="22"/>
        </w:rPr>
        <w:t>fetal</w:t>
      </w:r>
      <w:proofErr w:type="spellEnd"/>
      <w:r w:rsidRPr="003D3EDD">
        <w:rPr>
          <w:rFonts w:ascii="Verdana" w:eastAsia="Times New Roman" w:hAnsi="Verdana" w:cs="Calibri"/>
          <w:b/>
          <w:bCs/>
          <w:color w:val="000000"/>
          <w:sz w:val="22"/>
          <w:szCs w:val="22"/>
        </w:rPr>
        <w:t xml:space="preserve"> growth concerns.</w:t>
      </w:r>
      <w:r w:rsidR="001F7CFC">
        <w:rPr>
          <w:rFonts w:ascii="Verdana" w:eastAsia="Times New Roman" w:hAnsi="Verdana" w:cs="Calibri"/>
          <w:b/>
          <w:bCs/>
          <w:color w:val="000000"/>
          <w:sz w:val="22"/>
          <w:szCs w:val="22"/>
        </w:rPr>
        <w:br/>
      </w:r>
      <w:r w:rsidR="001F7CFC" w:rsidRPr="001F7CFC">
        <w:rPr>
          <w:rFonts w:ascii="Verdana" w:eastAsia="Times New Roman" w:hAnsi="Verdana" w:cs="Calibri"/>
          <w:color w:val="000000"/>
          <w:sz w:val="22"/>
          <w:szCs w:val="22"/>
        </w:rPr>
        <w:t xml:space="preserve">Please see attachment </w:t>
      </w:r>
      <w:r w:rsidR="001F7CFC" w:rsidRPr="001F7CFC">
        <w:rPr>
          <w:rFonts w:ascii="Verdana" w:eastAsia="Times New Roman" w:hAnsi="Verdana" w:cs="Calibri"/>
          <w:color w:val="000000"/>
          <w:sz w:val="22"/>
          <w:szCs w:val="22"/>
        </w:rPr>
        <w:t>Ultrasound Growth Assessment Protocols</w:t>
      </w:r>
      <w:r w:rsidR="00DC4F87">
        <w:rPr>
          <w:rFonts w:ascii="Verdana" w:eastAsia="Times New Roman" w:hAnsi="Verdana" w:cs="Calibri"/>
          <w:color w:val="000000"/>
          <w:sz w:val="22"/>
          <w:szCs w:val="22"/>
        </w:rPr>
        <w:t xml:space="preserve"> that was in place at the time.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1C0BDA"/>
    <w:multiLevelType w:val="multilevel"/>
    <w:tmpl w:val="BC64C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C062E52"/>
    <w:multiLevelType w:val="multilevel"/>
    <w:tmpl w:val="52C828B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18353BC"/>
    <w:multiLevelType w:val="multilevel"/>
    <w:tmpl w:val="4D4CC2F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E219C5"/>
    <w:multiLevelType w:val="multilevel"/>
    <w:tmpl w:val="C6A88D1E"/>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361406C"/>
    <w:multiLevelType w:val="multilevel"/>
    <w:tmpl w:val="6C12814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6F22792"/>
    <w:multiLevelType w:val="multilevel"/>
    <w:tmpl w:val="8FF668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BA71146"/>
    <w:multiLevelType w:val="multilevel"/>
    <w:tmpl w:val="D464AC5E"/>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21"/>
  </w:num>
  <w:num w:numId="5" w16cid:durableId="1143425367">
    <w:abstractNumId w:val="5"/>
  </w:num>
  <w:num w:numId="6" w16cid:durableId="1293360629">
    <w:abstractNumId w:val="4"/>
  </w:num>
  <w:num w:numId="7" w16cid:durableId="479228409">
    <w:abstractNumId w:val="12"/>
  </w:num>
  <w:num w:numId="8" w16cid:durableId="1553300907">
    <w:abstractNumId w:val="18"/>
  </w:num>
  <w:num w:numId="9" w16cid:durableId="687946864">
    <w:abstractNumId w:val="24"/>
  </w:num>
  <w:num w:numId="10" w16cid:durableId="993416643">
    <w:abstractNumId w:val="1"/>
  </w:num>
  <w:num w:numId="11" w16cid:durableId="1541481371">
    <w:abstractNumId w:val="11"/>
  </w:num>
  <w:num w:numId="12" w16cid:durableId="1525171868">
    <w:abstractNumId w:val="15"/>
  </w:num>
  <w:num w:numId="13" w16cid:durableId="200629463">
    <w:abstractNumId w:val="22"/>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880946226">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6372351">
    <w:abstractNumId w:val="14"/>
    <w:lvlOverride w:ilvl="0">
      <w:startOverride w:val="4"/>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5559108">
    <w:abstractNumId w:val="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5944235">
    <w:abstractNumId w:val="23"/>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6526037">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5753238">
    <w:abstractNumId w:val="3"/>
  </w:num>
  <w:num w:numId="25" w16cid:durableId="537400123">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5452"/>
    <w:rsid w:val="00145BF7"/>
    <w:rsid w:val="001508FC"/>
    <w:rsid w:val="00185784"/>
    <w:rsid w:val="001B1339"/>
    <w:rsid w:val="001E2D50"/>
    <w:rsid w:val="001F7CFC"/>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D3EDD"/>
    <w:rsid w:val="003F2312"/>
    <w:rsid w:val="004039EB"/>
    <w:rsid w:val="00421E7F"/>
    <w:rsid w:val="00442A3A"/>
    <w:rsid w:val="00453C57"/>
    <w:rsid w:val="0047028C"/>
    <w:rsid w:val="0048724F"/>
    <w:rsid w:val="004C59CA"/>
    <w:rsid w:val="004C7B47"/>
    <w:rsid w:val="004E1954"/>
    <w:rsid w:val="004F001A"/>
    <w:rsid w:val="004F1E5A"/>
    <w:rsid w:val="004F2DEE"/>
    <w:rsid w:val="004F4D32"/>
    <w:rsid w:val="005029F2"/>
    <w:rsid w:val="005317D4"/>
    <w:rsid w:val="00534D7A"/>
    <w:rsid w:val="00553E1D"/>
    <w:rsid w:val="0059250D"/>
    <w:rsid w:val="005925B8"/>
    <w:rsid w:val="0059485C"/>
    <w:rsid w:val="005F0E79"/>
    <w:rsid w:val="00602EE5"/>
    <w:rsid w:val="006137E4"/>
    <w:rsid w:val="00635BDA"/>
    <w:rsid w:val="00650895"/>
    <w:rsid w:val="006564DF"/>
    <w:rsid w:val="00684641"/>
    <w:rsid w:val="00694B24"/>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1678F"/>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28D8"/>
    <w:rsid w:val="009F7815"/>
    <w:rsid w:val="00A10460"/>
    <w:rsid w:val="00A17614"/>
    <w:rsid w:val="00A56076"/>
    <w:rsid w:val="00A84640"/>
    <w:rsid w:val="00AB4D54"/>
    <w:rsid w:val="00AC7F3C"/>
    <w:rsid w:val="00AF0E8B"/>
    <w:rsid w:val="00AF691A"/>
    <w:rsid w:val="00B031C2"/>
    <w:rsid w:val="00B2265D"/>
    <w:rsid w:val="00B34966"/>
    <w:rsid w:val="00B61DE2"/>
    <w:rsid w:val="00B73D24"/>
    <w:rsid w:val="00B82C9E"/>
    <w:rsid w:val="00B8458F"/>
    <w:rsid w:val="00BB4931"/>
    <w:rsid w:val="00BC67E1"/>
    <w:rsid w:val="00C021A4"/>
    <w:rsid w:val="00C050BE"/>
    <w:rsid w:val="00C21013"/>
    <w:rsid w:val="00C67057"/>
    <w:rsid w:val="00C75A00"/>
    <w:rsid w:val="00C83036"/>
    <w:rsid w:val="00CA07E3"/>
    <w:rsid w:val="00CA25F7"/>
    <w:rsid w:val="00CB2BBE"/>
    <w:rsid w:val="00CD5A6B"/>
    <w:rsid w:val="00CE1516"/>
    <w:rsid w:val="00CE325E"/>
    <w:rsid w:val="00CE3DBC"/>
    <w:rsid w:val="00D15865"/>
    <w:rsid w:val="00D62A67"/>
    <w:rsid w:val="00D64AED"/>
    <w:rsid w:val="00DC0D5A"/>
    <w:rsid w:val="00DC47F3"/>
    <w:rsid w:val="00DC4F87"/>
    <w:rsid w:val="00DC7FA9"/>
    <w:rsid w:val="00DD5E37"/>
    <w:rsid w:val="00DE3B55"/>
    <w:rsid w:val="00DF2EA1"/>
    <w:rsid w:val="00E11F2D"/>
    <w:rsid w:val="00E26720"/>
    <w:rsid w:val="00E545D8"/>
    <w:rsid w:val="00E817B3"/>
    <w:rsid w:val="00E90BC7"/>
    <w:rsid w:val="00EE0615"/>
    <w:rsid w:val="00F14F1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133</TotalTime>
  <Pages>4</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38</cp:revision>
  <cp:lastPrinted>2019-03-26T11:11:00Z</cp:lastPrinted>
  <dcterms:created xsi:type="dcterms:W3CDTF">2021-09-13T07:38:00Z</dcterms:created>
  <dcterms:modified xsi:type="dcterms:W3CDTF">2026-04-20T12:38:00Z</dcterms:modified>
</cp:coreProperties>
</file>