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004C21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DB4CE9">
                              <w:rPr>
                                <w:rFonts w:ascii="Verdana" w:hAnsi="Verdana"/>
                                <w:b/>
                                <w:sz w:val="22"/>
                                <w:szCs w:val="22"/>
                              </w:rPr>
                              <w:t>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004C21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DB4CE9">
                        <w:rPr>
                          <w:rFonts w:ascii="Verdana" w:hAnsi="Verdana"/>
                          <w:b/>
                          <w:sz w:val="22"/>
                          <w:szCs w:val="22"/>
                        </w:rPr>
                        <w:t>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AFE11DE" w14:textId="77777777" w:rsidR="00DB4CE9" w:rsidRPr="00DB4CE9" w:rsidRDefault="00DB4CE9" w:rsidP="00DB4CE9">
      <w:pPr>
        <w:pStyle w:val="PlainText"/>
        <w:ind w:left="505"/>
        <w:rPr>
          <w:rFonts w:ascii="Verdana" w:hAnsi="Verdana"/>
          <w:b/>
          <w:bCs/>
          <w:sz w:val="22"/>
          <w:szCs w:val="22"/>
        </w:rPr>
      </w:pPr>
      <w:r w:rsidRPr="00DB4CE9">
        <w:rPr>
          <w:rFonts w:ascii="Verdana" w:hAnsi="Verdana"/>
          <w:b/>
          <w:bCs/>
          <w:sz w:val="22"/>
          <w:szCs w:val="22"/>
        </w:rPr>
        <w:t>Please provide the following information.</w:t>
      </w:r>
    </w:p>
    <w:p w14:paraId="20001F6F" w14:textId="77777777" w:rsidR="00DB4CE9" w:rsidRPr="00DB4CE9" w:rsidRDefault="00DB4CE9" w:rsidP="00DB4CE9">
      <w:pPr>
        <w:pStyle w:val="PlainText"/>
        <w:ind w:left="505"/>
        <w:rPr>
          <w:rFonts w:ascii="Verdana" w:hAnsi="Verdana"/>
          <w:b/>
          <w:bCs/>
          <w:sz w:val="22"/>
          <w:szCs w:val="22"/>
        </w:rPr>
      </w:pPr>
    </w:p>
    <w:p w14:paraId="3FC29820" w14:textId="13646C39"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record from the organisation's Contract Register or equivalent procurement log entry pertaining to the current contract for the Endpoint Detection and Response (EDR) solution (Include Supplier, Product Name, Start Date, Expiry Date, Annual spend 2025/2026 [£], Additional notes [including any framework used])</w:t>
      </w:r>
    </w:p>
    <w:p w14:paraId="2752E34F" w14:textId="540139EA"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DEFINITION:  The practice of securing organisational assets such as laptops, desktops, mobile phones, and servers against malicious activity. It encompasses tools and strategies designed to detect, prevent, and respond to threats directly on the device itself.</w:t>
      </w:r>
    </w:p>
    <w:p w14:paraId="31E725D1" w14:textId="77777777" w:rsidR="00DB4CE9" w:rsidRPr="00DB4CE9" w:rsidRDefault="00DB4CE9" w:rsidP="00DB4CE9">
      <w:pPr>
        <w:pStyle w:val="PlainText"/>
        <w:ind w:left="505"/>
        <w:rPr>
          <w:rFonts w:ascii="Verdana" w:hAnsi="Verdana"/>
          <w:b/>
          <w:bCs/>
          <w:sz w:val="22"/>
          <w:szCs w:val="22"/>
        </w:rPr>
      </w:pPr>
    </w:p>
    <w:p w14:paraId="0BA28DC8" w14:textId="3CD54014"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following information for the current maintenance and licensing agreement for the primary Perimeter Firewall/Intrusion Prevention System (IPS) solution (Include Supplier, Product Name, Start Date, Expiry Date, Annual spend 2025/2026 [£], Additional notes [including any framework used])</w:t>
      </w:r>
    </w:p>
    <w:p w14:paraId="7625F6BD" w14:textId="48FCE7F7"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DEFINITION: The processes and technologies used to protect the boundaries (the perimeter) of an organisation's internal network from unauthorised external access. It involves monitoring and controlling incoming and outgoing network traffic.</w:t>
      </w:r>
    </w:p>
    <w:p w14:paraId="29779CA2" w14:textId="77777777" w:rsidR="00DB4CE9" w:rsidRPr="00DB4CE9" w:rsidRDefault="00DB4CE9" w:rsidP="00DB4CE9">
      <w:pPr>
        <w:pStyle w:val="PlainText"/>
        <w:ind w:left="505"/>
        <w:rPr>
          <w:rFonts w:ascii="Verdana" w:hAnsi="Verdana"/>
          <w:b/>
          <w:bCs/>
          <w:sz w:val="22"/>
          <w:szCs w:val="22"/>
        </w:rPr>
      </w:pPr>
    </w:p>
    <w:p w14:paraId="6CC0C2F3" w14:textId="3ADA9E57"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following information for the service agreement covering the Cloud Security Posture Management (CSPM) platform or equivalent third-party cloud security monitoring too (Include Supplier, Product Name, Start Date, Expiry Date, Annual spend 2025/2026 [£], Additional notes [including any framework used])</w:t>
      </w:r>
    </w:p>
    <w:p w14:paraId="3A03C4C9" w14:textId="55BE7BE1"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DEFINITION: The set of security measures designed to protect data, applications, and infrastructure running in cloud environments (e.g., AWS, Azure, GCP). It also includes securing internally and externally facing applications themselves (application security).</w:t>
      </w:r>
    </w:p>
    <w:p w14:paraId="3DA12B10" w14:textId="77777777" w:rsidR="00DB4CE9" w:rsidRPr="00DB4CE9" w:rsidRDefault="00DB4CE9" w:rsidP="00DB4CE9">
      <w:pPr>
        <w:pStyle w:val="PlainText"/>
        <w:ind w:left="505"/>
        <w:rPr>
          <w:rFonts w:ascii="Verdana" w:hAnsi="Verdana"/>
          <w:b/>
          <w:bCs/>
          <w:sz w:val="22"/>
          <w:szCs w:val="22"/>
        </w:rPr>
      </w:pPr>
    </w:p>
    <w:p w14:paraId="6AFDC8B2" w14:textId="5F1A8BDC"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following information for the service agreement covering your Identity &amp; Access Management (IAM) software (Include Supplier, Product Name, Start Date, Expiry Date, Annual spend 2025/2026 [£], Additional notes [including any framework used])</w:t>
      </w:r>
    </w:p>
    <w:p w14:paraId="2509443C" w14:textId="1B5EB1E1"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DEFINITION: A framework of policies and technologies that ensures the right users have the appropriate access to the right resources at the right time. It involves managing digital identities, authentication (verifying identity), and authorisation (granting access).</w:t>
      </w:r>
    </w:p>
    <w:p w14:paraId="6F8B771A" w14:textId="77777777" w:rsidR="00DB4CE9" w:rsidRPr="00DB4CE9" w:rsidRDefault="00DB4CE9" w:rsidP="00DB4CE9">
      <w:pPr>
        <w:pStyle w:val="PlainText"/>
        <w:ind w:left="505"/>
        <w:rPr>
          <w:rFonts w:ascii="Verdana" w:hAnsi="Verdana"/>
          <w:b/>
          <w:bCs/>
          <w:sz w:val="22"/>
          <w:szCs w:val="22"/>
        </w:rPr>
      </w:pPr>
    </w:p>
    <w:p w14:paraId="54652152" w14:textId="7B7D491D"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record from the organisation's Contract Register or equivalent procurement log entry pertaining to the current contract for your current Managed Security / SOC Services (Include Supplier, Product Name, Start Date, Expiry Date, Annual spend 2025/2026 [£], Additional notes [including any framework used])</w:t>
      </w:r>
    </w:p>
    <w:p w14:paraId="46BC30D0" w14:textId="5E1A0E4C"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 xml:space="preserve">DEFINITION: The outsourcing of security monitoring and management to a third-party expert. A Security Operations </w:t>
      </w:r>
      <w:proofErr w:type="spellStart"/>
      <w:r w:rsidRPr="00DB4CE9">
        <w:rPr>
          <w:rFonts w:ascii="Verdana" w:hAnsi="Verdana"/>
          <w:b/>
          <w:bCs/>
          <w:sz w:val="22"/>
          <w:szCs w:val="22"/>
        </w:rPr>
        <w:t>Center</w:t>
      </w:r>
      <w:proofErr w:type="spellEnd"/>
      <w:r w:rsidRPr="00DB4CE9">
        <w:rPr>
          <w:rFonts w:ascii="Verdana" w:hAnsi="Verdana"/>
          <w:b/>
          <w:bCs/>
          <w:sz w:val="22"/>
          <w:szCs w:val="22"/>
        </w:rPr>
        <w:t xml:space="preserve"> (SOC) is a centralised function (internal or outsourced) responsible for continuous monitoring, threat analysis, and managing security incidents.</w:t>
      </w:r>
    </w:p>
    <w:p w14:paraId="3CA9763A" w14:textId="77777777" w:rsidR="00DB4CE9" w:rsidRPr="00DB4CE9" w:rsidRDefault="00DB4CE9" w:rsidP="00DB4CE9">
      <w:pPr>
        <w:pStyle w:val="PlainText"/>
        <w:ind w:left="505"/>
        <w:rPr>
          <w:rFonts w:ascii="Verdana" w:hAnsi="Verdana"/>
          <w:b/>
          <w:bCs/>
          <w:sz w:val="22"/>
          <w:szCs w:val="22"/>
        </w:rPr>
      </w:pPr>
    </w:p>
    <w:p w14:paraId="4C2960AB" w14:textId="3287D699" w:rsidR="00DB4CE9" w:rsidRPr="00DB4CE9" w:rsidRDefault="00DB4CE9" w:rsidP="00DB4CE9">
      <w:pPr>
        <w:pStyle w:val="PlainText"/>
        <w:numPr>
          <w:ilvl w:val="0"/>
          <w:numId w:val="21"/>
        </w:numPr>
        <w:ind w:left="865"/>
        <w:rPr>
          <w:rFonts w:ascii="Verdana" w:hAnsi="Verdana"/>
          <w:b/>
          <w:bCs/>
          <w:sz w:val="22"/>
          <w:szCs w:val="22"/>
        </w:rPr>
      </w:pPr>
      <w:r w:rsidRPr="00DB4CE9">
        <w:rPr>
          <w:rFonts w:ascii="Verdana" w:hAnsi="Verdana"/>
          <w:b/>
          <w:bCs/>
          <w:sz w:val="22"/>
          <w:szCs w:val="22"/>
        </w:rPr>
        <w:t>Please provide the record from the organisation's Contract Register or equivalent procurement log entry pertaining to the current contract for your current Vulnerability &amp; Compliance Management service (Include Supplier, Product Name, Start Date, Expiry Date, Annual spend 2025/2026 [£], Additional notes [including any framework used])</w:t>
      </w:r>
    </w:p>
    <w:p w14:paraId="6A6E528A" w14:textId="1E033C32" w:rsidR="00DB4CE9" w:rsidRPr="00DB4CE9" w:rsidRDefault="00DB4CE9" w:rsidP="00DB4CE9">
      <w:pPr>
        <w:pStyle w:val="PlainText"/>
        <w:numPr>
          <w:ilvl w:val="0"/>
          <w:numId w:val="19"/>
        </w:numPr>
        <w:ind w:left="1225"/>
        <w:rPr>
          <w:rFonts w:ascii="Verdana" w:hAnsi="Verdana"/>
          <w:b/>
          <w:bCs/>
          <w:sz w:val="22"/>
          <w:szCs w:val="22"/>
        </w:rPr>
      </w:pPr>
      <w:r w:rsidRPr="00DB4CE9">
        <w:rPr>
          <w:rFonts w:ascii="Verdana" w:hAnsi="Verdana"/>
          <w:b/>
          <w:bCs/>
          <w:sz w:val="22"/>
          <w:szCs w:val="22"/>
        </w:rPr>
        <w:t>DEFINITION: The continuous, cyclical practice of identifying, classifying, prioritising, remediating, and mitigating software weaknesses (vulnerabilities). Compliance Management ensures that security practices adhere to specific internal policies, regulatory requirements (like GDPR), and industry standards.</w:t>
      </w:r>
    </w:p>
    <w:p w14:paraId="78C2B453" w14:textId="2AF47D46" w:rsidR="00DB4CE9" w:rsidRPr="00FC3B42" w:rsidRDefault="00DB4CE9" w:rsidP="00DB4CE9">
      <w:pPr>
        <w:ind w:right="281"/>
        <w:rPr>
          <w:rFonts w:ascii="Verdana" w:hAnsi="Verdana"/>
          <w:color w:val="000000"/>
          <w:sz w:val="22"/>
          <w:szCs w:val="22"/>
        </w:rPr>
      </w:pPr>
      <w:r>
        <w:rPr>
          <w:rFonts w:ascii="Verdana" w:hAnsi="Verdana"/>
          <w:b/>
          <w:bCs/>
          <w:noProof/>
          <w:sz w:val="22"/>
          <w:szCs w:val="22"/>
        </w:rPr>
        <w:br/>
      </w:r>
      <w:r w:rsidRPr="00FC3B42">
        <w:rPr>
          <w:rFonts w:ascii="Verdana" w:hAnsi="Verdana"/>
          <w:color w:val="000000"/>
          <w:sz w:val="22"/>
          <w:szCs w:val="22"/>
        </w:rPr>
        <w:t xml:space="preserve">Disclosure of information on the </w:t>
      </w:r>
      <w:r>
        <w:rPr>
          <w:rFonts w:ascii="Verdana" w:hAnsi="Verdana"/>
          <w:color w:val="000000"/>
          <w:sz w:val="22"/>
          <w:szCs w:val="22"/>
        </w:rPr>
        <w:t>software</w:t>
      </w:r>
      <w:r w:rsidRPr="00FC3B42">
        <w:rPr>
          <w:rFonts w:ascii="Verdana" w:hAnsi="Verdana"/>
          <w:color w:val="000000"/>
          <w:sz w:val="22"/>
          <w:szCs w:val="22"/>
        </w:rPr>
        <w:t xml:space="preserve"> used by the Health Board for </w:t>
      </w:r>
      <w:r>
        <w:rPr>
          <w:rFonts w:ascii="Verdana" w:hAnsi="Verdana"/>
          <w:color w:val="000000"/>
          <w:sz w:val="22"/>
          <w:szCs w:val="22"/>
        </w:rPr>
        <w:t>security, vulnerability protection, cloud security, identity and access, firewall and endpoint detection and response</w:t>
      </w:r>
      <w:r w:rsidRPr="00FC3B42">
        <w:rPr>
          <w:rFonts w:ascii="Verdana" w:hAnsi="Verdana"/>
          <w:color w:val="000000"/>
          <w:sz w:val="22"/>
          <w:szCs w:val="22"/>
        </w:rPr>
        <w:t xml:space="preserve"> would constitute a security risk by leaving the health boards networked computer systems more vulnerable to a malicious attack</w:t>
      </w:r>
      <w:r w:rsidR="00071000">
        <w:rPr>
          <w:rFonts w:ascii="Verdana" w:hAnsi="Verdana"/>
          <w:color w:val="000000"/>
          <w:sz w:val="22"/>
          <w:szCs w:val="22"/>
        </w:rPr>
        <w:t xml:space="preserve"> and therefore we are withholding this information under Section 31(1)(a) of the Freedom of Information Act.</w:t>
      </w:r>
    </w:p>
    <w:p w14:paraId="608CC01F" w14:textId="77777777" w:rsidR="00DB4CE9" w:rsidRPr="00FC3B42" w:rsidRDefault="00DB4CE9" w:rsidP="00DB4CE9">
      <w:pPr>
        <w:ind w:right="281"/>
        <w:rPr>
          <w:rFonts w:ascii="Verdana" w:hAnsi="Verdana"/>
          <w:color w:val="000000"/>
          <w:sz w:val="22"/>
          <w:szCs w:val="22"/>
        </w:rPr>
      </w:pPr>
      <w:r w:rsidRPr="00FC3B42">
        <w:rPr>
          <w:rFonts w:ascii="Verdana" w:hAnsi="Verdana"/>
          <w:color w:val="000000"/>
          <w:sz w:val="22"/>
          <w:szCs w:val="22"/>
        </w:rPr>
        <w:t>Section 31(1)(a) 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w:t>
      </w:r>
    </w:p>
    <w:p w14:paraId="12B35BBA" w14:textId="77777777" w:rsidR="00DB4CE9" w:rsidRPr="00FC3B42" w:rsidRDefault="00DB4CE9" w:rsidP="00DB4CE9">
      <w:pPr>
        <w:numPr>
          <w:ilvl w:val="0"/>
          <w:numId w:val="22"/>
        </w:numPr>
        <w:spacing w:before="0" w:after="0" w:line="240" w:lineRule="auto"/>
        <w:ind w:right="281"/>
        <w:rPr>
          <w:rFonts w:ascii="Verdana" w:hAnsi="Verdana"/>
          <w:color w:val="000000"/>
          <w:sz w:val="22"/>
          <w:szCs w:val="22"/>
        </w:rPr>
      </w:pPr>
      <w:r w:rsidRPr="00FC3B42">
        <w:rPr>
          <w:rFonts w:ascii="Verdana" w:hAnsi="Verdana"/>
          <w:color w:val="000000"/>
          <w:sz w:val="22"/>
          <w:szCs w:val="22"/>
        </w:rPr>
        <w:t>To protect the work of one that does.</w:t>
      </w:r>
    </w:p>
    <w:p w14:paraId="7D9F4C85" w14:textId="78349C68" w:rsidR="00DB4CE9" w:rsidRPr="00DB4CE9" w:rsidRDefault="00DB4CE9" w:rsidP="00DB4CE9">
      <w:pPr>
        <w:numPr>
          <w:ilvl w:val="0"/>
          <w:numId w:val="22"/>
        </w:numPr>
        <w:spacing w:before="0" w:after="0" w:line="240" w:lineRule="auto"/>
        <w:ind w:right="281"/>
        <w:rPr>
          <w:rFonts w:ascii="Verdana" w:hAnsi="Verdana"/>
          <w:color w:val="000000"/>
          <w:sz w:val="22"/>
          <w:szCs w:val="22"/>
        </w:rPr>
      </w:pPr>
      <w:r w:rsidRPr="00FC3B42">
        <w:rPr>
          <w:rFonts w:ascii="Verdana" w:hAnsi="Verdana"/>
          <w:color w:val="000000"/>
          <w:sz w:val="22"/>
          <w:szCs w:val="22"/>
        </w:rPr>
        <w:t>To withhold information that would make anyone, including the public authority itself, more vulnerable to crime.</w:t>
      </w:r>
      <w:r>
        <w:rPr>
          <w:rFonts w:ascii="Verdana" w:hAnsi="Verdana"/>
          <w:color w:val="000000"/>
          <w:sz w:val="22"/>
          <w:szCs w:val="22"/>
        </w:rPr>
        <w:br/>
      </w:r>
    </w:p>
    <w:p w14:paraId="474FA808" w14:textId="15612883" w:rsidR="00DB4CE9" w:rsidRPr="00FC3B42" w:rsidRDefault="00DB4CE9" w:rsidP="00DB4CE9">
      <w:pPr>
        <w:ind w:right="281"/>
        <w:rPr>
          <w:rFonts w:ascii="Verdana" w:hAnsi="Verdana"/>
          <w:color w:val="000000"/>
          <w:sz w:val="22"/>
          <w:szCs w:val="22"/>
        </w:rPr>
      </w:pPr>
      <w:r w:rsidRPr="00FC3B42">
        <w:rPr>
          <w:rFonts w:ascii="Verdana" w:hAnsi="Verdana"/>
          <w:color w:val="000000"/>
          <w:sz w:val="22"/>
          <w:szCs w:val="22"/>
        </w:rPr>
        <w:t>The crime in question here would be a malicious attack on the health boards computer systems.  Since the disclosure of the withheld information would make the health boards systems more vulnerable to much crime this review finds that the exemption is engaged.</w:t>
      </w:r>
    </w:p>
    <w:p w14:paraId="75970B72" w14:textId="1F0E4B52" w:rsidR="00A10460" w:rsidRPr="00D16790" w:rsidRDefault="00DB4CE9" w:rsidP="00D16790">
      <w:pPr>
        <w:ind w:right="281"/>
        <w:rPr>
          <w:rFonts w:ascii="Verdana" w:hAnsi="Verdana"/>
          <w:color w:val="000000"/>
          <w:sz w:val="22"/>
          <w:szCs w:val="22"/>
        </w:rPr>
      </w:pPr>
      <w:r w:rsidRPr="00FC3B42">
        <w:rPr>
          <w:rFonts w:ascii="Verdana" w:hAnsi="Verdana"/>
          <w:color w:val="000000"/>
          <w:sz w:val="22"/>
          <w:szCs w:val="22"/>
        </w:rPr>
        <w:t xml:space="preserve">The exemption is subject to the public interest test.  There is an overwhelming public interest in keeping </w:t>
      </w:r>
      <w:r>
        <w:rPr>
          <w:rFonts w:ascii="Verdana" w:hAnsi="Verdana"/>
          <w:color w:val="000000"/>
          <w:sz w:val="22"/>
          <w:szCs w:val="22"/>
        </w:rPr>
        <w:t>Health Board</w:t>
      </w:r>
      <w:r w:rsidRPr="00FC3B42">
        <w:rPr>
          <w:rFonts w:ascii="Verdana" w:hAnsi="Verdana"/>
          <w:color w:val="000000"/>
          <w:sz w:val="22"/>
          <w:szCs w:val="22"/>
        </w:rPr>
        <w:t xml:space="preserve"> systems secure which would be served by non-disclosure.  This outweighs the public interest in accountability and transparent which would be served by disclosure.</w:t>
      </w:r>
      <w:r w:rsidR="00421E7F">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FBA7291"/>
    <w:multiLevelType w:val="hybridMultilevel"/>
    <w:tmpl w:val="C450B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D73566E"/>
    <w:multiLevelType w:val="hybridMultilevel"/>
    <w:tmpl w:val="C7FA71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8235F04"/>
    <w:multiLevelType w:val="hybridMultilevel"/>
    <w:tmpl w:val="167A8544"/>
    <w:lvl w:ilvl="0" w:tplc="A4C6BFC2">
      <w:start w:val="3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420E3"/>
    <w:multiLevelType w:val="hybridMultilevel"/>
    <w:tmpl w:val="FC5033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20"/>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287810397">
    <w:abstractNumId w:val="19"/>
  </w:num>
  <w:num w:numId="20" w16cid:durableId="801390482">
    <w:abstractNumId w:val="3"/>
  </w:num>
  <w:num w:numId="21" w16cid:durableId="534316209">
    <w:abstractNumId w:val="15"/>
  </w:num>
  <w:num w:numId="22" w16cid:durableId="8043979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100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876FD"/>
    <w:rsid w:val="00296FDA"/>
    <w:rsid w:val="002B74C8"/>
    <w:rsid w:val="002C252B"/>
    <w:rsid w:val="002C647A"/>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6437C"/>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16790"/>
    <w:rsid w:val="00D62A67"/>
    <w:rsid w:val="00DB4CE9"/>
    <w:rsid w:val="00DC0D5A"/>
    <w:rsid w:val="00DC47F3"/>
    <w:rsid w:val="00DC7FA9"/>
    <w:rsid w:val="00DD5E37"/>
    <w:rsid w:val="00DE3B55"/>
    <w:rsid w:val="00DF2EA1"/>
    <w:rsid w:val="00E11F2D"/>
    <w:rsid w:val="00E26720"/>
    <w:rsid w:val="00E545D8"/>
    <w:rsid w:val="00E817B3"/>
    <w:rsid w:val="00E90BC7"/>
    <w:rsid w:val="00EE0615"/>
    <w:rsid w:val="00F26B29"/>
    <w:rsid w:val="00F62161"/>
    <w:rsid w:val="00F82F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DB4CE9"/>
    <w:pPr>
      <w:spacing w:before="0" w:after="0" w:line="240" w:lineRule="auto"/>
      <w:ind w:left="0" w:right="0"/>
    </w:pPr>
    <w:rPr>
      <w:rFonts w:ascii="Calibri" w:eastAsia="Times New Roman" w:hAnsi="Calibri" w:cstheme="minorBidi"/>
      <w:kern w:val="2"/>
      <w:szCs w:val="21"/>
      <w:lang w:eastAsia="en-US"/>
      <w14:ligatures w14:val="standardContextual"/>
    </w:rPr>
  </w:style>
  <w:style w:type="character" w:customStyle="1" w:styleId="PlainTextChar">
    <w:name w:val="Plain Text Char"/>
    <w:basedOn w:val="DefaultParagraphFont"/>
    <w:link w:val="PlainText"/>
    <w:uiPriority w:val="99"/>
    <w:semiHidden/>
    <w:rsid w:val="00DB4CE9"/>
    <w:rPr>
      <w:rFonts w:ascii="Calibri" w:eastAsia="Times New Roman" w:hAnsi="Calibri" w:cstheme="minorBidi"/>
      <w:kern w:val="2"/>
      <w:sz w:val="24"/>
      <w:szCs w:val="21"/>
      <w:lang w:eastAsia="en-US"/>
      <w14:ligatures w14:val="standardContextual"/>
    </w:rPr>
  </w:style>
  <w:style w:type="character" w:styleId="CommentReference">
    <w:name w:val="annotation reference"/>
    <w:basedOn w:val="DefaultParagraphFont"/>
    <w:uiPriority w:val="99"/>
    <w:semiHidden/>
    <w:unhideWhenUsed/>
    <w:rsid w:val="00B6437C"/>
    <w:rPr>
      <w:sz w:val="16"/>
      <w:szCs w:val="16"/>
    </w:rPr>
  </w:style>
  <w:style w:type="paragraph" w:styleId="CommentText">
    <w:name w:val="annotation text"/>
    <w:basedOn w:val="Normal"/>
    <w:link w:val="CommentTextChar"/>
    <w:uiPriority w:val="99"/>
    <w:unhideWhenUsed/>
    <w:rsid w:val="00B6437C"/>
    <w:pPr>
      <w:spacing w:line="240" w:lineRule="auto"/>
    </w:pPr>
    <w:rPr>
      <w:sz w:val="20"/>
      <w:szCs w:val="20"/>
    </w:rPr>
  </w:style>
  <w:style w:type="character" w:customStyle="1" w:styleId="CommentTextChar">
    <w:name w:val="Comment Text Char"/>
    <w:basedOn w:val="DefaultParagraphFont"/>
    <w:link w:val="CommentText"/>
    <w:uiPriority w:val="99"/>
    <w:rsid w:val="00B6437C"/>
  </w:style>
  <w:style w:type="paragraph" w:styleId="CommentSubject">
    <w:name w:val="annotation subject"/>
    <w:basedOn w:val="CommentText"/>
    <w:next w:val="CommentText"/>
    <w:link w:val="CommentSubjectChar"/>
    <w:uiPriority w:val="99"/>
    <w:semiHidden/>
    <w:unhideWhenUsed/>
    <w:rsid w:val="00B6437C"/>
    <w:rPr>
      <w:b/>
      <w:bCs/>
    </w:rPr>
  </w:style>
  <w:style w:type="character" w:customStyle="1" w:styleId="CommentSubjectChar">
    <w:name w:val="Comment Subject Char"/>
    <w:basedOn w:val="CommentTextChar"/>
    <w:link w:val="CommentSubject"/>
    <w:uiPriority w:val="99"/>
    <w:semiHidden/>
    <w:rsid w:val="00B64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3</Pages>
  <Words>701</Words>
  <Characters>4380</Characters>
  <Application>Microsoft Office Word</Application>
  <DocSecurity>0</DocSecurity>
  <Lines>93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2026-03-23T06:35:00Z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f9a880bf-f7ea-4de7-9493-6fcec3657709</vt:lpwstr>
  </property>
</Properties>
</file>