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65CDFE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8436C6">
                              <w:rPr>
                                <w:rFonts w:ascii="Verdana" w:hAnsi="Verdana"/>
                                <w:b/>
                                <w:sz w:val="22"/>
                                <w:szCs w:val="22"/>
                              </w:rPr>
                              <w:t>065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65CDFE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8436C6">
                        <w:rPr>
                          <w:rFonts w:ascii="Verdana" w:hAnsi="Verdana"/>
                          <w:b/>
                          <w:sz w:val="22"/>
                          <w:szCs w:val="22"/>
                        </w:rPr>
                        <w:t>065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D981D69" w14:textId="03C426EE" w:rsidR="008436C6" w:rsidRPr="008436C6" w:rsidRDefault="008436C6" w:rsidP="008436C6">
      <w:pPr>
        <w:rPr>
          <w:rFonts w:ascii="Verdana" w:hAnsi="Verdana"/>
          <w:b/>
          <w:bCs/>
          <w:noProof/>
          <w:sz w:val="22"/>
          <w:szCs w:val="22"/>
        </w:rPr>
      </w:pPr>
      <w:r w:rsidRPr="008436C6">
        <w:rPr>
          <w:rFonts w:ascii="Verdana" w:hAnsi="Verdana"/>
          <w:b/>
          <w:bCs/>
          <w:noProof/>
          <w:sz w:val="22"/>
          <w:szCs w:val="22"/>
        </w:rPr>
        <w:t>Can you please provide the following information:</w:t>
      </w:r>
    </w:p>
    <w:p w14:paraId="4FAD4007" w14:textId="4C161FAB" w:rsidR="008436C6" w:rsidRPr="008436C6" w:rsidRDefault="008436C6" w:rsidP="008436C6">
      <w:pPr>
        <w:pStyle w:val="ListParagraph"/>
        <w:numPr>
          <w:ilvl w:val="0"/>
          <w:numId w:val="19"/>
        </w:numPr>
        <w:rPr>
          <w:rFonts w:ascii="Verdana" w:hAnsi="Verdana"/>
          <w:b/>
          <w:bCs/>
          <w:noProof/>
          <w:sz w:val="22"/>
          <w:szCs w:val="22"/>
        </w:rPr>
      </w:pPr>
      <w:r w:rsidRPr="008436C6">
        <w:rPr>
          <w:rFonts w:ascii="Verdana" w:hAnsi="Verdana"/>
          <w:b/>
          <w:bCs/>
          <w:noProof/>
          <w:sz w:val="22"/>
          <w:szCs w:val="22"/>
        </w:rPr>
        <w:t>How much in total was spent by maternity departments you are responsible for, for each calendar year dating back to 2016? Including all staffing, equipment and other costs.</w:t>
      </w:r>
    </w:p>
    <w:p w14:paraId="447E2230" w14:textId="1BE8B297" w:rsidR="008436C6" w:rsidRPr="008436C6" w:rsidRDefault="008436C6" w:rsidP="008436C6">
      <w:pPr>
        <w:pStyle w:val="ListParagraph"/>
        <w:numPr>
          <w:ilvl w:val="0"/>
          <w:numId w:val="22"/>
        </w:numPr>
        <w:rPr>
          <w:rFonts w:ascii="Verdana" w:hAnsi="Verdana"/>
          <w:b/>
          <w:bCs/>
          <w:noProof/>
          <w:sz w:val="22"/>
          <w:szCs w:val="22"/>
        </w:rPr>
      </w:pPr>
      <w:r w:rsidRPr="008436C6">
        <w:rPr>
          <w:rFonts w:ascii="Verdana" w:hAnsi="Verdana"/>
          <w:b/>
          <w:bCs/>
          <w:noProof/>
          <w:sz w:val="22"/>
          <w:szCs w:val="22"/>
        </w:rPr>
        <w:t xml:space="preserve">The preference is for calendar years, but if the information is more easily recovered by financial years and converting to calendar years would make the request exceed the Section 12 cost limit, delivering the data by financial year would be okay. </w:t>
      </w:r>
    </w:p>
    <w:p w14:paraId="35F25684" w14:textId="061F10A5" w:rsidR="008436C6" w:rsidRPr="008436C6" w:rsidRDefault="008436C6" w:rsidP="008436C6">
      <w:pPr>
        <w:pStyle w:val="ListParagraph"/>
        <w:numPr>
          <w:ilvl w:val="0"/>
          <w:numId w:val="22"/>
        </w:numPr>
        <w:rPr>
          <w:rFonts w:ascii="Verdana" w:hAnsi="Verdana"/>
          <w:b/>
          <w:bCs/>
          <w:noProof/>
          <w:sz w:val="22"/>
          <w:szCs w:val="22"/>
        </w:rPr>
      </w:pPr>
      <w:r w:rsidRPr="008436C6">
        <w:rPr>
          <w:rFonts w:ascii="Verdana" w:hAnsi="Verdana"/>
          <w:b/>
          <w:bCs/>
          <w:noProof/>
          <w:sz w:val="22"/>
          <w:szCs w:val="22"/>
        </w:rPr>
        <w:t xml:space="preserve">Likewise, if it would exceed the Section 12 cost limit to extract data beyond a certain year, providing data for as many years as would not exceed the limit would be okay. </w:t>
      </w:r>
    </w:p>
    <w:p w14:paraId="04AF7388" w14:textId="322E95B3" w:rsidR="00A13616" w:rsidRPr="00A13616" w:rsidRDefault="00A13616" w:rsidP="00A13616">
      <w:pPr>
        <w:ind w:left="720"/>
        <w:rPr>
          <w:rFonts w:ascii="Verdana" w:hAnsi="Verdana"/>
          <w:noProof/>
          <w:sz w:val="22"/>
          <w:szCs w:val="22"/>
        </w:rPr>
      </w:pPr>
      <w:r w:rsidRPr="00A13616">
        <w:rPr>
          <w:rFonts w:ascii="Verdana" w:hAnsi="Verdana"/>
          <w:noProof/>
          <w:sz w:val="22"/>
          <w:szCs w:val="22"/>
        </w:rPr>
        <w:t xml:space="preserve">Please note that the below information is held in financial years and not calendar years. This </w:t>
      </w:r>
      <w:r>
        <w:rPr>
          <w:rFonts w:ascii="Verdana" w:hAnsi="Verdana"/>
          <w:noProof/>
          <w:sz w:val="22"/>
          <w:szCs w:val="22"/>
        </w:rPr>
        <w:t>reflect</w:t>
      </w:r>
      <w:r w:rsidRPr="00A13616">
        <w:rPr>
          <w:rFonts w:ascii="Verdana" w:hAnsi="Verdana"/>
          <w:noProof/>
          <w:sz w:val="22"/>
          <w:szCs w:val="22"/>
        </w:rPr>
        <w:t xml:space="preserve">s </w:t>
      </w:r>
      <w:r>
        <w:rPr>
          <w:rFonts w:ascii="Verdana" w:hAnsi="Verdana"/>
          <w:noProof/>
          <w:sz w:val="22"/>
          <w:szCs w:val="22"/>
        </w:rPr>
        <w:t>i</w:t>
      </w:r>
      <w:r w:rsidRPr="00A13616">
        <w:rPr>
          <w:rFonts w:ascii="Verdana" w:hAnsi="Verdana"/>
          <w:noProof/>
          <w:sz w:val="22"/>
          <w:szCs w:val="22"/>
        </w:rPr>
        <w:t>ncome and expenditure and will include all income received or externally commissioned Midwifery Services.</w:t>
      </w:r>
      <w:r>
        <w:rPr>
          <w:rFonts w:ascii="Verdana" w:hAnsi="Verdana"/>
          <w:noProof/>
          <w:sz w:val="22"/>
          <w:szCs w:val="22"/>
        </w:rPr>
        <w:t xml:space="preserve"> </w:t>
      </w:r>
      <w:r w:rsidRPr="00A13616">
        <w:rPr>
          <w:rFonts w:ascii="Verdana" w:hAnsi="Verdana"/>
          <w:noProof/>
          <w:sz w:val="22"/>
          <w:szCs w:val="22"/>
        </w:rPr>
        <w:t>The below only includes direct revenue expenditure and does not include capital purchases, overheads or support service costs.</w:t>
      </w:r>
      <w:r>
        <w:rPr>
          <w:rFonts w:ascii="Verdana" w:hAnsi="Verdana"/>
          <w:noProof/>
          <w:sz w:val="22"/>
          <w:szCs w:val="22"/>
        </w:rPr>
        <w:br/>
      </w:r>
      <w:r w:rsidRPr="00A13616">
        <w:rPr>
          <w:rFonts w:ascii="Verdana" w:hAnsi="Verdana"/>
          <w:noProof/>
          <w:sz w:val="22"/>
          <w:szCs w:val="22"/>
        </w:rPr>
        <w:t>Financial year 25</w:t>
      </w:r>
      <w:r>
        <w:rPr>
          <w:rFonts w:ascii="Verdana" w:hAnsi="Verdana"/>
          <w:noProof/>
          <w:sz w:val="22"/>
          <w:szCs w:val="22"/>
        </w:rPr>
        <w:t>/</w:t>
      </w:r>
      <w:r w:rsidRPr="00A13616">
        <w:rPr>
          <w:rFonts w:ascii="Verdana" w:hAnsi="Verdana"/>
          <w:noProof/>
          <w:sz w:val="22"/>
          <w:szCs w:val="22"/>
        </w:rPr>
        <w:t>26 is not included as this is not a complete year</w:t>
      </w:r>
      <w:r>
        <w:rPr>
          <w:rFonts w:ascii="Verdana" w:hAnsi="Verdana"/>
          <w:b/>
          <w:bCs/>
          <w:noProof/>
          <w:sz w:val="22"/>
          <w:szCs w:val="22"/>
        </w:rPr>
        <w:br/>
      </w:r>
      <w:r>
        <w:rPr>
          <w:rFonts w:ascii="Verdana" w:hAnsi="Verdana"/>
          <w:b/>
          <w:bCs/>
          <w:noProof/>
          <w:sz w:val="22"/>
          <w:szCs w:val="22"/>
        </w:rPr>
        <w:fldChar w:fldCharType="begin"/>
      </w:r>
      <w:r>
        <w:rPr>
          <w:rFonts w:ascii="Verdana" w:hAnsi="Verdana"/>
          <w:b/>
          <w:bCs/>
          <w:noProof/>
          <w:sz w:val="22"/>
          <w:szCs w:val="22"/>
        </w:rPr>
        <w:instrText xml:space="preserve"> LINK Excel.SheetMacroEnabled.12 "C:\\Users\\ka182309\\AppData\\Local\\Microsoft\\Windows\\INetCache\\Content.Outlook\\KSE4XF1Z\\26-B-065 Maternity spend FOI.xlsm" "Summary!R3C1:R9C11" \a \f 4 \h  \* MERGEFORMAT </w:instrText>
      </w:r>
      <w:r>
        <w:rPr>
          <w:rFonts w:ascii="Verdana" w:hAnsi="Verdana"/>
          <w:b/>
          <w:bCs/>
          <w:noProof/>
          <w:sz w:val="22"/>
          <w:szCs w:val="22"/>
        </w:rPr>
        <w:fldChar w:fldCharType="separate"/>
      </w:r>
    </w:p>
    <w:tbl>
      <w:tblPr>
        <w:tblW w:w="14543" w:type="dxa"/>
        <w:jc w:val="center"/>
        <w:tblLook w:val="04A0" w:firstRow="1" w:lastRow="0" w:firstColumn="1" w:lastColumn="0" w:noHBand="0" w:noVBand="1"/>
      </w:tblPr>
      <w:tblGrid>
        <w:gridCol w:w="1143"/>
        <w:gridCol w:w="1223"/>
        <w:gridCol w:w="1457"/>
        <w:gridCol w:w="1559"/>
        <w:gridCol w:w="1223"/>
        <w:gridCol w:w="1328"/>
        <w:gridCol w:w="1418"/>
        <w:gridCol w:w="1276"/>
        <w:gridCol w:w="1417"/>
        <w:gridCol w:w="1276"/>
        <w:gridCol w:w="1223"/>
      </w:tblGrid>
      <w:tr w:rsidR="00A13616" w:rsidRPr="00A13616" w14:paraId="1E237356" w14:textId="77777777" w:rsidTr="002A4694">
        <w:trPr>
          <w:trHeight w:val="300"/>
          <w:jc w:val="center"/>
        </w:trPr>
        <w:tc>
          <w:tcPr>
            <w:tcW w:w="1143" w:type="dxa"/>
            <w:tcBorders>
              <w:top w:val="single" w:sz="4" w:space="0" w:color="auto"/>
              <w:left w:val="single" w:sz="4" w:space="0" w:color="auto"/>
              <w:bottom w:val="single" w:sz="4" w:space="0" w:color="auto"/>
              <w:right w:val="single" w:sz="4" w:space="0" w:color="auto"/>
            </w:tcBorders>
            <w:noWrap/>
            <w:vAlign w:val="bottom"/>
            <w:hideMark/>
          </w:tcPr>
          <w:p w14:paraId="3EB4119B" w14:textId="0B3ED649" w:rsidR="00A13616" w:rsidRPr="00A13616" w:rsidRDefault="00A13616">
            <w:pP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223" w:type="dxa"/>
            <w:tcBorders>
              <w:top w:val="single" w:sz="4" w:space="0" w:color="auto"/>
              <w:left w:val="nil"/>
              <w:bottom w:val="single" w:sz="4" w:space="0" w:color="auto"/>
              <w:right w:val="single" w:sz="4" w:space="0" w:color="auto"/>
            </w:tcBorders>
            <w:noWrap/>
            <w:vAlign w:val="bottom"/>
            <w:hideMark/>
          </w:tcPr>
          <w:p w14:paraId="1D143A1B"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15/16</w:t>
            </w:r>
          </w:p>
        </w:tc>
        <w:tc>
          <w:tcPr>
            <w:tcW w:w="1457" w:type="dxa"/>
            <w:tcBorders>
              <w:top w:val="single" w:sz="4" w:space="0" w:color="auto"/>
              <w:left w:val="nil"/>
              <w:bottom w:val="single" w:sz="4" w:space="0" w:color="auto"/>
              <w:right w:val="single" w:sz="4" w:space="0" w:color="auto"/>
            </w:tcBorders>
            <w:noWrap/>
            <w:vAlign w:val="bottom"/>
            <w:hideMark/>
          </w:tcPr>
          <w:p w14:paraId="2C05ECA2"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16/17</w:t>
            </w:r>
          </w:p>
        </w:tc>
        <w:tc>
          <w:tcPr>
            <w:tcW w:w="1559" w:type="dxa"/>
            <w:tcBorders>
              <w:top w:val="single" w:sz="4" w:space="0" w:color="auto"/>
              <w:left w:val="nil"/>
              <w:bottom w:val="single" w:sz="4" w:space="0" w:color="auto"/>
              <w:right w:val="single" w:sz="4" w:space="0" w:color="auto"/>
            </w:tcBorders>
            <w:noWrap/>
            <w:vAlign w:val="bottom"/>
            <w:hideMark/>
          </w:tcPr>
          <w:p w14:paraId="7A53DFFC"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17/18</w:t>
            </w:r>
          </w:p>
        </w:tc>
        <w:tc>
          <w:tcPr>
            <w:tcW w:w="1223" w:type="dxa"/>
            <w:tcBorders>
              <w:top w:val="single" w:sz="4" w:space="0" w:color="auto"/>
              <w:left w:val="nil"/>
              <w:bottom w:val="single" w:sz="4" w:space="0" w:color="auto"/>
              <w:right w:val="single" w:sz="4" w:space="0" w:color="auto"/>
            </w:tcBorders>
            <w:noWrap/>
            <w:vAlign w:val="bottom"/>
            <w:hideMark/>
          </w:tcPr>
          <w:p w14:paraId="7EC4BE47"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18/19</w:t>
            </w:r>
          </w:p>
        </w:tc>
        <w:tc>
          <w:tcPr>
            <w:tcW w:w="1328" w:type="dxa"/>
            <w:tcBorders>
              <w:top w:val="single" w:sz="4" w:space="0" w:color="auto"/>
              <w:left w:val="nil"/>
              <w:bottom w:val="single" w:sz="4" w:space="0" w:color="auto"/>
              <w:right w:val="single" w:sz="4" w:space="0" w:color="auto"/>
            </w:tcBorders>
            <w:noWrap/>
            <w:vAlign w:val="bottom"/>
            <w:hideMark/>
          </w:tcPr>
          <w:p w14:paraId="5CC4B42F"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19/20</w:t>
            </w:r>
          </w:p>
        </w:tc>
        <w:tc>
          <w:tcPr>
            <w:tcW w:w="1418" w:type="dxa"/>
            <w:tcBorders>
              <w:top w:val="single" w:sz="4" w:space="0" w:color="auto"/>
              <w:left w:val="nil"/>
              <w:bottom w:val="single" w:sz="4" w:space="0" w:color="auto"/>
              <w:right w:val="single" w:sz="4" w:space="0" w:color="auto"/>
            </w:tcBorders>
            <w:noWrap/>
            <w:vAlign w:val="bottom"/>
            <w:hideMark/>
          </w:tcPr>
          <w:p w14:paraId="01415BCD"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20/21</w:t>
            </w:r>
          </w:p>
        </w:tc>
        <w:tc>
          <w:tcPr>
            <w:tcW w:w="1276" w:type="dxa"/>
            <w:tcBorders>
              <w:top w:val="single" w:sz="4" w:space="0" w:color="auto"/>
              <w:left w:val="nil"/>
              <w:bottom w:val="single" w:sz="4" w:space="0" w:color="auto"/>
              <w:right w:val="single" w:sz="4" w:space="0" w:color="auto"/>
            </w:tcBorders>
            <w:noWrap/>
            <w:vAlign w:val="bottom"/>
            <w:hideMark/>
          </w:tcPr>
          <w:p w14:paraId="436B6A17"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21/22</w:t>
            </w:r>
          </w:p>
        </w:tc>
        <w:tc>
          <w:tcPr>
            <w:tcW w:w="1417" w:type="dxa"/>
            <w:tcBorders>
              <w:top w:val="single" w:sz="4" w:space="0" w:color="auto"/>
              <w:left w:val="nil"/>
              <w:bottom w:val="single" w:sz="4" w:space="0" w:color="auto"/>
              <w:right w:val="single" w:sz="4" w:space="0" w:color="auto"/>
            </w:tcBorders>
            <w:noWrap/>
            <w:vAlign w:val="bottom"/>
            <w:hideMark/>
          </w:tcPr>
          <w:p w14:paraId="0AD1CB0D"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22/23</w:t>
            </w:r>
          </w:p>
        </w:tc>
        <w:tc>
          <w:tcPr>
            <w:tcW w:w="1276" w:type="dxa"/>
            <w:tcBorders>
              <w:top w:val="single" w:sz="4" w:space="0" w:color="auto"/>
              <w:left w:val="nil"/>
              <w:bottom w:val="single" w:sz="4" w:space="0" w:color="auto"/>
              <w:right w:val="single" w:sz="4" w:space="0" w:color="auto"/>
            </w:tcBorders>
            <w:noWrap/>
            <w:vAlign w:val="bottom"/>
            <w:hideMark/>
          </w:tcPr>
          <w:p w14:paraId="2D6776BC"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23/24</w:t>
            </w:r>
          </w:p>
        </w:tc>
        <w:tc>
          <w:tcPr>
            <w:tcW w:w="1223" w:type="dxa"/>
            <w:tcBorders>
              <w:top w:val="single" w:sz="4" w:space="0" w:color="auto"/>
              <w:left w:val="nil"/>
              <w:bottom w:val="single" w:sz="4" w:space="0" w:color="auto"/>
              <w:right w:val="single" w:sz="4" w:space="0" w:color="auto"/>
            </w:tcBorders>
            <w:noWrap/>
            <w:vAlign w:val="bottom"/>
            <w:hideMark/>
          </w:tcPr>
          <w:p w14:paraId="7542C8EF" w14:textId="77777777" w:rsidR="00A13616" w:rsidRPr="00A13616" w:rsidRDefault="00A13616" w:rsidP="00A13616">
            <w:pPr>
              <w:spacing w:before="0" w:after="0" w:line="240" w:lineRule="auto"/>
              <w:ind w:left="0" w:right="0"/>
              <w:jc w:val="center"/>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24/25</w:t>
            </w:r>
          </w:p>
        </w:tc>
      </w:tr>
      <w:tr w:rsidR="00A13616" w:rsidRPr="00A13616" w14:paraId="6E66BC25" w14:textId="77777777" w:rsidTr="002A4694">
        <w:trPr>
          <w:trHeight w:val="300"/>
          <w:jc w:val="center"/>
        </w:trPr>
        <w:tc>
          <w:tcPr>
            <w:tcW w:w="1143" w:type="dxa"/>
            <w:tcBorders>
              <w:top w:val="nil"/>
              <w:left w:val="single" w:sz="4" w:space="0" w:color="auto"/>
              <w:bottom w:val="single" w:sz="4" w:space="0" w:color="auto"/>
              <w:right w:val="single" w:sz="4" w:space="0" w:color="auto"/>
            </w:tcBorders>
            <w:noWrap/>
            <w:vAlign w:val="bottom"/>
            <w:hideMark/>
          </w:tcPr>
          <w:p w14:paraId="510C5D1E" w14:textId="77777777" w:rsidR="00A13616" w:rsidRPr="00A13616" w:rsidRDefault="00A13616" w:rsidP="00A13616">
            <w:pPr>
              <w:spacing w:before="0" w:after="0" w:line="240" w:lineRule="auto"/>
              <w:ind w:left="0" w:right="0"/>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223" w:type="dxa"/>
            <w:tcBorders>
              <w:top w:val="nil"/>
              <w:left w:val="nil"/>
              <w:bottom w:val="single" w:sz="4" w:space="0" w:color="auto"/>
              <w:right w:val="single" w:sz="4" w:space="0" w:color="auto"/>
            </w:tcBorders>
            <w:noWrap/>
            <w:hideMark/>
          </w:tcPr>
          <w:p w14:paraId="625D2E8C"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c>
          <w:tcPr>
            <w:tcW w:w="1457" w:type="dxa"/>
            <w:tcBorders>
              <w:top w:val="nil"/>
              <w:left w:val="nil"/>
              <w:bottom w:val="single" w:sz="4" w:space="0" w:color="auto"/>
              <w:right w:val="single" w:sz="4" w:space="0" w:color="auto"/>
            </w:tcBorders>
            <w:noWrap/>
            <w:hideMark/>
          </w:tcPr>
          <w:p w14:paraId="2BCFAB38"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c>
          <w:tcPr>
            <w:tcW w:w="1559" w:type="dxa"/>
            <w:tcBorders>
              <w:top w:val="nil"/>
              <w:left w:val="nil"/>
              <w:bottom w:val="single" w:sz="4" w:space="0" w:color="auto"/>
              <w:right w:val="single" w:sz="4" w:space="0" w:color="auto"/>
            </w:tcBorders>
            <w:noWrap/>
            <w:hideMark/>
          </w:tcPr>
          <w:p w14:paraId="58E84E92"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c>
          <w:tcPr>
            <w:tcW w:w="1223" w:type="dxa"/>
            <w:tcBorders>
              <w:top w:val="nil"/>
              <w:left w:val="nil"/>
              <w:bottom w:val="single" w:sz="4" w:space="0" w:color="auto"/>
              <w:right w:val="single" w:sz="4" w:space="0" w:color="auto"/>
            </w:tcBorders>
            <w:noWrap/>
            <w:hideMark/>
          </w:tcPr>
          <w:p w14:paraId="631B1EF6"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c>
          <w:tcPr>
            <w:tcW w:w="1328" w:type="dxa"/>
            <w:tcBorders>
              <w:top w:val="nil"/>
              <w:left w:val="nil"/>
              <w:bottom w:val="single" w:sz="4" w:space="0" w:color="auto"/>
              <w:right w:val="single" w:sz="4" w:space="0" w:color="auto"/>
            </w:tcBorders>
            <w:noWrap/>
            <w:hideMark/>
          </w:tcPr>
          <w:p w14:paraId="227FC119"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c>
          <w:tcPr>
            <w:tcW w:w="1418" w:type="dxa"/>
            <w:tcBorders>
              <w:top w:val="nil"/>
              <w:left w:val="nil"/>
              <w:bottom w:val="single" w:sz="4" w:space="0" w:color="auto"/>
              <w:right w:val="single" w:sz="4" w:space="0" w:color="auto"/>
            </w:tcBorders>
            <w:noWrap/>
            <w:hideMark/>
          </w:tcPr>
          <w:p w14:paraId="1A1FADFB"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c>
          <w:tcPr>
            <w:tcW w:w="1276" w:type="dxa"/>
            <w:tcBorders>
              <w:top w:val="nil"/>
              <w:left w:val="nil"/>
              <w:bottom w:val="single" w:sz="4" w:space="0" w:color="auto"/>
              <w:right w:val="single" w:sz="4" w:space="0" w:color="auto"/>
            </w:tcBorders>
            <w:noWrap/>
            <w:hideMark/>
          </w:tcPr>
          <w:p w14:paraId="4C623E1D"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c>
          <w:tcPr>
            <w:tcW w:w="1417" w:type="dxa"/>
            <w:tcBorders>
              <w:top w:val="nil"/>
              <w:left w:val="nil"/>
              <w:bottom w:val="single" w:sz="4" w:space="0" w:color="auto"/>
              <w:right w:val="single" w:sz="4" w:space="0" w:color="auto"/>
            </w:tcBorders>
            <w:noWrap/>
            <w:hideMark/>
          </w:tcPr>
          <w:p w14:paraId="6FF5C6C2"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c>
          <w:tcPr>
            <w:tcW w:w="1276" w:type="dxa"/>
            <w:tcBorders>
              <w:top w:val="nil"/>
              <w:left w:val="nil"/>
              <w:bottom w:val="single" w:sz="4" w:space="0" w:color="auto"/>
              <w:right w:val="single" w:sz="4" w:space="0" w:color="auto"/>
            </w:tcBorders>
            <w:noWrap/>
            <w:hideMark/>
          </w:tcPr>
          <w:p w14:paraId="42D6F3B7"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c>
          <w:tcPr>
            <w:tcW w:w="1223" w:type="dxa"/>
            <w:tcBorders>
              <w:top w:val="nil"/>
              <w:left w:val="nil"/>
              <w:bottom w:val="single" w:sz="4" w:space="0" w:color="auto"/>
              <w:right w:val="single" w:sz="4" w:space="0" w:color="auto"/>
            </w:tcBorders>
            <w:noWrap/>
            <w:hideMark/>
          </w:tcPr>
          <w:p w14:paraId="4B509B68" w14:textId="77777777" w:rsidR="00A13616" w:rsidRPr="00A13616" w:rsidRDefault="00A13616" w:rsidP="00A13616">
            <w:pPr>
              <w:spacing w:before="0" w:after="0" w:line="240" w:lineRule="auto"/>
              <w:ind w:left="0" w:right="0"/>
              <w:jc w:val="center"/>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w:t>
            </w:r>
          </w:p>
        </w:tc>
      </w:tr>
      <w:tr w:rsidR="00A13616" w:rsidRPr="00A13616" w14:paraId="794F9F07" w14:textId="77777777" w:rsidTr="002A4694">
        <w:trPr>
          <w:trHeight w:val="300"/>
          <w:jc w:val="center"/>
        </w:trPr>
        <w:tc>
          <w:tcPr>
            <w:tcW w:w="1143" w:type="dxa"/>
            <w:tcBorders>
              <w:top w:val="nil"/>
              <w:left w:val="single" w:sz="4" w:space="0" w:color="auto"/>
              <w:bottom w:val="single" w:sz="4" w:space="0" w:color="auto"/>
              <w:right w:val="single" w:sz="4" w:space="0" w:color="auto"/>
            </w:tcBorders>
            <w:noWrap/>
            <w:vAlign w:val="bottom"/>
            <w:hideMark/>
          </w:tcPr>
          <w:p w14:paraId="0AB376DA" w14:textId="77777777" w:rsidR="00A13616" w:rsidRPr="00A13616" w:rsidRDefault="00A13616" w:rsidP="00A13616">
            <w:pPr>
              <w:spacing w:before="0" w:after="0" w:line="240" w:lineRule="auto"/>
              <w:ind w:left="0" w:right="0"/>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Pay</w:t>
            </w:r>
          </w:p>
        </w:tc>
        <w:tc>
          <w:tcPr>
            <w:tcW w:w="1223" w:type="dxa"/>
            <w:tcBorders>
              <w:top w:val="nil"/>
              <w:left w:val="nil"/>
              <w:bottom w:val="single" w:sz="4" w:space="0" w:color="auto"/>
              <w:right w:val="single" w:sz="4" w:space="0" w:color="auto"/>
            </w:tcBorders>
            <w:noWrap/>
            <w:vAlign w:val="bottom"/>
            <w:hideMark/>
          </w:tcPr>
          <w:p w14:paraId="21E350C1"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9,640,139 </w:t>
            </w:r>
          </w:p>
        </w:tc>
        <w:tc>
          <w:tcPr>
            <w:tcW w:w="1457" w:type="dxa"/>
            <w:tcBorders>
              <w:top w:val="nil"/>
              <w:left w:val="nil"/>
              <w:bottom w:val="single" w:sz="4" w:space="0" w:color="auto"/>
              <w:right w:val="single" w:sz="4" w:space="0" w:color="auto"/>
            </w:tcBorders>
            <w:noWrap/>
            <w:vAlign w:val="bottom"/>
            <w:hideMark/>
          </w:tcPr>
          <w:p w14:paraId="289DC180"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10,368,269 </w:t>
            </w:r>
          </w:p>
        </w:tc>
        <w:tc>
          <w:tcPr>
            <w:tcW w:w="1559" w:type="dxa"/>
            <w:tcBorders>
              <w:top w:val="nil"/>
              <w:left w:val="nil"/>
              <w:bottom w:val="single" w:sz="4" w:space="0" w:color="auto"/>
              <w:right w:val="single" w:sz="4" w:space="0" w:color="auto"/>
            </w:tcBorders>
            <w:noWrap/>
            <w:vAlign w:val="bottom"/>
            <w:hideMark/>
          </w:tcPr>
          <w:p w14:paraId="4715069E"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10,020,537 </w:t>
            </w:r>
          </w:p>
        </w:tc>
        <w:tc>
          <w:tcPr>
            <w:tcW w:w="1223" w:type="dxa"/>
            <w:tcBorders>
              <w:top w:val="nil"/>
              <w:left w:val="nil"/>
              <w:bottom w:val="single" w:sz="4" w:space="0" w:color="auto"/>
              <w:right w:val="single" w:sz="4" w:space="0" w:color="auto"/>
            </w:tcBorders>
            <w:noWrap/>
            <w:vAlign w:val="bottom"/>
            <w:hideMark/>
          </w:tcPr>
          <w:p w14:paraId="0CABC14E"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9,876,862 </w:t>
            </w:r>
          </w:p>
        </w:tc>
        <w:tc>
          <w:tcPr>
            <w:tcW w:w="1328" w:type="dxa"/>
            <w:tcBorders>
              <w:top w:val="nil"/>
              <w:left w:val="nil"/>
              <w:bottom w:val="single" w:sz="4" w:space="0" w:color="auto"/>
              <w:right w:val="single" w:sz="4" w:space="0" w:color="auto"/>
            </w:tcBorders>
            <w:noWrap/>
            <w:vAlign w:val="bottom"/>
            <w:hideMark/>
          </w:tcPr>
          <w:p w14:paraId="34238203"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10,264,998 </w:t>
            </w:r>
          </w:p>
        </w:tc>
        <w:tc>
          <w:tcPr>
            <w:tcW w:w="1418" w:type="dxa"/>
            <w:tcBorders>
              <w:top w:val="nil"/>
              <w:left w:val="nil"/>
              <w:bottom w:val="single" w:sz="4" w:space="0" w:color="auto"/>
              <w:right w:val="single" w:sz="4" w:space="0" w:color="auto"/>
            </w:tcBorders>
            <w:noWrap/>
            <w:vAlign w:val="bottom"/>
            <w:hideMark/>
          </w:tcPr>
          <w:p w14:paraId="513F7B2A"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11,371,664 </w:t>
            </w:r>
          </w:p>
        </w:tc>
        <w:tc>
          <w:tcPr>
            <w:tcW w:w="1276" w:type="dxa"/>
            <w:tcBorders>
              <w:top w:val="nil"/>
              <w:left w:val="nil"/>
              <w:bottom w:val="single" w:sz="4" w:space="0" w:color="auto"/>
              <w:right w:val="single" w:sz="4" w:space="0" w:color="auto"/>
            </w:tcBorders>
            <w:noWrap/>
            <w:vAlign w:val="bottom"/>
            <w:hideMark/>
          </w:tcPr>
          <w:p w14:paraId="0B64DE71"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11,971,598 </w:t>
            </w:r>
          </w:p>
        </w:tc>
        <w:tc>
          <w:tcPr>
            <w:tcW w:w="1417" w:type="dxa"/>
            <w:tcBorders>
              <w:top w:val="nil"/>
              <w:left w:val="nil"/>
              <w:bottom w:val="single" w:sz="4" w:space="0" w:color="auto"/>
              <w:right w:val="single" w:sz="4" w:space="0" w:color="auto"/>
            </w:tcBorders>
            <w:noWrap/>
            <w:vAlign w:val="bottom"/>
            <w:hideMark/>
          </w:tcPr>
          <w:p w14:paraId="37B642E8"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12,628,746 </w:t>
            </w:r>
          </w:p>
        </w:tc>
        <w:tc>
          <w:tcPr>
            <w:tcW w:w="1276" w:type="dxa"/>
            <w:tcBorders>
              <w:top w:val="nil"/>
              <w:left w:val="nil"/>
              <w:bottom w:val="single" w:sz="4" w:space="0" w:color="auto"/>
              <w:right w:val="single" w:sz="4" w:space="0" w:color="auto"/>
            </w:tcBorders>
            <w:noWrap/>
            <w:vAlign w:val="bottom"/>
            <w:hideMark/>
          </w:tcPr>
          <w:p w14:paraId="66319E6A"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13,837,499 </w:t>
            </w:r>
          </w:p>
        </w:tc>
        <w:tc>
          <w:tcPr>
            <w:tcW w:w="1223" w:type="dxa"/>
            <w:tcBorders>
              <w:top w:val="nil"/>
              <w:left w:val="nil"/>
              <w:bottom w:val="single" w:sz="4" w:space="0" w:color="auto"/>
              <w:right w:val="single" w:sz="4" w:space="0" w:color="auto"/>
            </w:tcBorders>
            <w:noWrap/>
            <w:vAlign w:val="bottom"/>
            <w:hideMark/>
          </w:tcPr>
          <w:p w14:paraId="18972413"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15,002,683 </w:t>
            </w:r>
          </w:p>
        </w:tc>
      </w:tr>
      <w:tr w:rsidR="00A13616" w:rsidRPr="00A13616" w14:paraId="0E97F7D5" w14:textId="77777777" w:rsidTr="002A4694">
        <w:trPr>
          <w:trHeight w:val="300"/>
          <w:jc w:val="center"/>
        </w:trPr>
        <w:tc>
          <w:tcPr>
            <w:tcW w:w="1143" w:type="dxa"/>
            <w:tcBorders>
              <w:top w:val="nil"/>
              <w:left w:val="single" w:sz="4" w:space="0" w:color="auto"/>
              <w:bottom w:val="single" w:sz="4" w:space="0" w:color="auto"/>
              <w:right w:val="single" w:sz="4" w:space="0" w:color="auto"/>
            </w:tcBorders>
            <w:noWrap/>
            <w:vAlign w:val="bottom"/>
            <w:hideMark/>
          </w:tcPr>
          <w:p w14:paraId="7E94BD3C" w14:textId="77777777" w:rsidR="00A13616" w:rsidRPr="00A13616" w:rsidRDefault="00A13616" w:rsidP="00A13616">
            <w:pPr>
              <w:spacing w:before="0" w:after="0" w:line="240" w:lineRule="auto"/>
              <w:ind w:left="0" w:right="0"/>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lastRenderedPageBreak/>
              <w:t>Non pay</w:t>
            </w:r>
          </w:p>
        </w:tc>
        <w:tc>
          <w:tcPr>
            <w:tcW w:w="1223" w:type="dxa"/>
            <w:tcBorders>
              <w:top w:val="nil"/>
              <w:left w:val="nil"/>
              <w:bottom w:val="single" w:sz="4" w:space="0" w:color="auto"/>
              <w:right w:val="single" w:sz="4" w:space="0" w:color="auto"/>
            </w:tcBorders>
            <w:noWrap/>
            <w:vAlign w:val="bottom"/>
            <w:hideMark/>
          </w:tcPr>
          <w:p w14:paraId="2B2CA401"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731,675 </w:t>
            </w:r>
          </w:p>
        </w:tc>
        <w:tc>
          <w:tcPr>
            <w:tcW w:w="1457" w:type="dxa"/>
            <w:tcBorders>
              <w:top w:val="nil"/>
              <w:left w:val="nil"/>
              <w:bottom w:val="single" w:sz="4" w:space="0" w:color="auto"/>
              <w:right w:val="single" w:sz="4" w:space="0" w:color="auto"/>
            </w:tcBorders>
            <w:noWrap/>
            <w:vAlign w:val="bottom"/>
            <w:hideMark/>
          </w:tcPr>
          <w:p w14:paraId="6A9C81EB"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825,189 </w:t>
            </w:r>
          </w:p>
        </w:tc>
        <w:tc>
          <w:tcPr>
            <w:tcW w:w="1559" w:type="dxa"/>
            <w:tcBorders>
              <w:top w:val="nil"/>
              <w:left w:val="nil"/>
              <w:bottom w:val="single" w:sz="4" w:space="0" w:color="auto"/>
              <w:right w:val="single" w:sz="4" w:space="0" w:color="auto"/>
            </w:tcBorders>
            <w:noWrap/>
            <w:vAlign w:val="bottom"/>
            <w:hideMark/>
          </w:tcPr>
          <w:p w14:paraId="1131001F"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749,380 </w:t>
            </w:r>
          </w:p>
        </w:tc>
        <w:tc>
          <w:tcPr>
            <w:tcW w:w="1223" w:type="dxa"/>
            <w:tcBorders>
              <w:top w:val="nil"/>
              <w:left w:val="nil"/>
              <w:bottom w:val="single" w:sz="4" w:space="0" w:color="auto"/>
              <w:right w:val="single" w:sz="4" w:space="0" w:color="auto"/>
            </w:tcBorders>
            <w:noWrap/>
            <w:vAlign w:val="bottom"/>
            <w:hideMark/>
          </w:tcPr>
          <w:p w14:paraId="1FDE6062"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722,281 </w:t>
            </w:r>
          </w:p>
        </w:tc>
        <w:tc>
          <w:tcPr>
            <w:tcW w:w="1328" w:type="dxa"/>
            <w:tcBorders>
              <w:top w:val="nil"/>
              <w:left w:val="nil"/>
              <w:bottom w:val="single" w:sz="4" w:space="0" w:color="auto"/>
              <w:right w:val="single" w:sz="4" w:space="0" w:color="auto"/>
            </w:tcBorders>
            <w:noWrap/>
            <w:vAlign w:val="bottom"/>
            <w:hideMark/>
          </w:tcPr>
          <w:p w14:paraId="31244F24"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830,893 </w:t>
            </w:r>
          </w:p>
        </w:tc>
        <w:tc>
          <w:tcPr>
            <w:tcW w:w="1418" w:type="dxa"/>
            <w:tcBorders>
              <w:top w:val="nil"/>
              <w:left w:val="nil"/>
              <w:bottom w:val="single" w:sz="4" w:space="0" w:color="auto"/>
              <w:right w:val="single" w:sz="4" w:space="0" w:color="auto"/>
            </w:tcBorders>
            <w:noWrap/>
            <w:vAlign w:val="bottom"/>
            <w:hideMark/>
          </w:tcPr>
          <w:p w14:paraId="58FCF31D"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916,770 </w:t>
            </w:r>
          </w:p>
        </w:tc>
        <w:tc>
          <w:tcPr>
            <w:tcW w:w="1276" w:type="dxa"/>
            <w:tcBorders>
              <w:top w:val="nil"/>
              <w:left w:val="nil"/>
              <w:bottom w:val="single" w:sz="4" w:space="0" w:color="auto"/>
              <w:right w:val="single" w:sz="4" w:space="0" w:color="auto"/>
            </w:tcBorders>
            <w:noWrap/>
            <w:vAlign w:val="bottom"/>
            <w:hideMark/>
          </w:tcPr>
          <w:p w14:paraId="7B0793F8"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893,729 </w:t>
            </w:r>
          </w:p>
        </w:tc>
        <w:tc>
          <w:tcPr>
            <w:tcW w:w="1417" w:type="dxa"/>
            <w:tcBorders>
              <w:top w:val="nil"/>
              <w:left w:val="nil"/>
              <w:bottom w:val="single" w:sz="4" w:space="0" w:color="auto"/>
              <w:right w:val="single" w:sz="4" w:space="0" w:color="auto"/>
            </w:tcBorders>
            <w:noWrap/>
            <w:vAlign w:val="bottom"/>
            <w:hideMark/>
          </w:tcPr>
          <w:p w14:paraId="6CC49BA2"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874,684 </w:t>
            </w:r>
          </w:p>
        </w:tc>
        <w:tc>
          <w:tcPr>
            <w:tcW w:w="1276" w:type="dxa"/>
            <w:tcBorders>
              <w:top w:val="nil"/>
              <w:left w:val="nil"/>
              <w:bottom w:val="single" w:sz="4" w:space="0" w:color="auto"/>
              <w:right w:val="single" w:sz="4" w:space="0" w:color="auto"/>
            </w:tcBorders>
            <w:noWrap/>
            <w:vAlign w:val="bottom"/>
            <w:hideMark/>
          </w:tcPr>
          <w:p w14:paraId="4D939082"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907,485 </w:t>
            </w:r>
          </w:p>
        </w:tc>
        <w:tc>
          <w:tcPr>
            <w:tcW w:w="1223" w:type="dxa"/>
            <w:tcBorders>
              <w:top w:val="nil"/>
              <w:left w:val="nil"/>
              <w:bottom w:val="single" w:sz="4" w:space="0" w:color="auto"/>
              <w:right w:val="single" w:sz="4" w:space="0" w:color="auto"/>
            </w:tcBorders>
            <w:noWrap/>
            <w:vAlign w:val="bottom"/>
            <w:hideMark/>
          </w:tcPr>
          <w:p w14:paraId="311BB267"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1,092,013 </w:t>
            </w:r>
          </w:p>
        </w:tc>
      </w:tr>
      <w:tr w:rsidR="00A13616" w:rsidRPr="00A13616" w14:paraId="2A642089" w14:textId="77777777" w:rsidTr="002A4694">
        <w:trPr>
          <w:trHeight w:val="300"/>
          <w:jc w:val="center"/>
        </w:trPr>
        <w:tc>
          <w:tcPr>
            <w:tcW w:w="1143" w:type="dxa"/>
            <w:tcBorders>
              <w:top w:val="nil"/>
              <w:left w:val="single" w:sz="4" w:space="0" w:color="auto"/>
              <w:bottom w:val="single" w:sz="4" w:space="0" w:color="auto"/>
              <w:right w:val="single" w:sz="4" w:space="0" w:color="auto"/>
            </w:tcBorders>
            <w:noWrap/>
            <w:vAlign w:val="bottom"/>
            <w:hideMark/>
          </w:tcPr>
          <w:p w14:paraId="770B54C2" w14:textId="77777777" w:rsidR="00A13616" w:rsidRPr="00A13616" w:rsidRDefault="00A13616" w:rsidP="00A13616">
            <w:pPr>
              <w:spacing w:before="0" w:after="0" w:line="240" w:lineRule="auto"/>
              <w:ind w:left="0" w:right="0"/>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 </w:t>
            </w:r>
          </w:p>
        </w:tc>
        <w:tc>
          <w:tcPr>
            <w:tcW w:w="1223" w:type="dxa"/>
            <w:tcBorders>
              <w:top w:val="nil"/>
              <w:left w:val="nil"/>
              <w:bottom w:val="single" w:sz="4" w:space="0" w:color="auto"/>
              <w:right w:val="single" w:sz="4" w:space="0" w:color="auto"/>
            </w:tcBorders>
            <w:noWrap/>
            <w:vAlign w:val="bottom"/>
            <w:hideMark/>
          </w:tcPr>
          <w:p w14:paraId="08BF8107"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457" w:type="dxa"/>
            <w:tcBorders>
              <w:top w:val="nil"/>
              <w:left w:val="nil"/>
              <w:bottom w:val="single" w:sz="4" w:space="0" w:color="auto"/>
              <w:right w:val="single" w:sz="4" w:space="0" w:color="auto"/>
            </w:tcBorders>
            <w:noWrap/>
            <w:vAlign w:val="bottom"/>
            <w:hideMark/>
          </w:tcPr>
          <w:p w14:paraId="35C5A869"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559" w:type="dxa"/>
            <w:tcBorders>
              <w:top w:val="nil"/>
              <w:left w:val="nil"/>
              <w:bottom w:val="single" w:sz="4" w:space="0" w:color="auto"/>
              <w:right w:val="single" w:sz="4" w:space="0" w:color="auto"/>
            </w:tcBorders>
            <w:noWrap/>
            <w:vAlign w:val="bottom"/>
            <w:hideMark/>
          </w:tcPr>
          <w:p w14:paraId="7ADA86D4"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223" w:type="dxa"/>
            <w:tcBorders>
              <w:top w:val="nil"/>
              <w:left w:val="nil"/>
              <w:bottom w:val="single" w:sz="4" w:space="0" w:color="auto"/>
              <w:right w:val="single" w:sz="4" w:space="0" w:color="auto"/>
            </w:tcBorders>
            <w:noWrap/>
            <w:vAlign w:val="bottom"/>
            <w:hideMark/>
          </w:tcPr>
          <w:p w14:paraId="2C73662F"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328" w:type="dxa"/>
            <w:tcBorders>
              <w:top w:val="nil"/>
              <w:left w:val="nil"/>
              <w:bottom w:val="single" w:sz="4" w:space="0" w:color="auto"/>
              <w:right w:val="single" w:sz="4" w:space="0" w:color="auto"/>
            </w:tcBorders>
            <w:noWrap/>
            <w:vAlign w:val="bottom"/>
            <w:hideMark/>
          </w:tcPr>
          <w:p w14:paraId="6223D397"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418" w:type="dxa"/>
            <w:tcBorders>
              <w:top w:val="nil"/>
              <w:left w:val="nil"/>
              <w:bottom w:val="single" w:sz="4" w:space="0" w:color="auto"/>
              <w:right w:val="single" w:sz="4" w:space="0" w:color="auto"/>
            </w:tcBorders>
            <w:noWrap/>
            <w:vAlign w:val="bottom"/>
            <w:hideMark/>
          </w:tcPr>
          <w:p w14:paraId="137942BE"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2E02224E"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417" w:type="dxa"/>
            <w:tcBorders>
              <w:top w:val="nil"/>
              <w:left w:val="nil"/>
              <w:bottom w:val="single" w:sz="4" w:space="0" w:color="auto"/>
              <w:right w:val="single" w:sz="4" w:space="0" w:color="auto"/>
            </w:tcBorders>
            <w:noWrap/>
            <w:vAlign w:val="bottom"/>
            <w:hideMark/>
          </w:tcPr>
          <w:p w14:paraId="22EAD56B"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260A1D80"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c>
          <w:tcPr>
            <w:tcW w:w="1223" w:type="dxa"/>
            <w:tcBorders>
              <w:top w:val="nil"/>
              <w:left w:val="nil"/>
              <w:bottom w:val="single" w:sz="4" w:space="0" w:color="auto"/>
              <w:right w:val="single" w:sz="4" w:space="0" w:color="auto"/>
            </w:tcBorders>
            <w:noWrap/>
            <w:vAlign w:val="bottom"/>
            <w:hideMark/>
          </w:tcPr>
          <w:p w14:paraId="6D1A70BE"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w:t>
            </w:r>
          </w:p>
        </w:tc>
      </w:tr>
      <w:tr w:rsidR="00A13616" w:rsidRPr="00A13616" w14:paraId="04180B03" w14:textId="77777777" w:rsidTr="002A4694">
        <w:trPr>
          <w:trHeight w:val="300"/>
          <w:jc w:val="center"/>
        </w:trPr>
        <w:tc>
          <w:tcPr>
            <w:tcW w:w="1143" w:type="dxa"/>
            <w:tcBorders>
              <w:top w:val="nil"/>
              <w:left w:val="single" w:sz="4" w:space="0" w:color="auto"/>
              <w:bottom w:val="single" w:sz="4" w:space="0" w:color="auto"/>
              <w:right w:val="single" w:sz="4" w:space="0" w:color="auto"/>
            </w:tcBorders>
            <w:noWrap/>
            <w:vAlign w:val="bottom"/>
            <w:hideMark/>
          </w:tcPr>
          <w:p w14:paraId="5E40F6D1" w14:textId="77777777" w:rsidR="00A13616" w:rsidRPr="00A13616" w:rsidRDefault="00A13616" w:rsidP="00A13616">
            <w:pPr>
              <w:spacing w:before="0" w:after="0" w:line="240" w:lineRule="auto"/>
              <w:ind w:left="0" w:right="0"/>
              <w:rPr>
                <w:rFonts w:ascii="Aptos Narrow" w:eastAsia="Times New Roman" w:hAnsi="Aptos Narrow" w:cs="Times New Roman"/>
                <w:b/>
                <w:bCs/>
                <w:color w:val="000000"/>
                <w:sz w:val="22"/>
                <w:szCs w:val="22"/>
              </w:rPr>
            </w:pPr>
            <w:r w:rsidRPr="00A13616">
              <w:rPr>
                <w:rFonts w:ascii="Aptos Narrow" w:eastAsia="Times New Roman" w:hAnsi="Aptos Narrow" w:cs="Times New Roman"/>
                <w:b/>
                <w:bCs/>
                <w:color w:val="000000"/>
                <w:sz w:val="22"/>
                <w:szCs w:val="22"/>
              </w:rPr>
              <w:t>Total</w:t>
            </w:r>
          </w:p>
        </w:tc>
        <w:tc>
          <w:tcPr>
            <w:tcW w:w="1223" w:type="dxa"/>
            <w:tcBorders>
              <w:top w:val="nil"/>
              <w:left w:val="nil"/>
              <w:bottom w:val="single" w:sz="4" w:space="0" w:color="auto"/>
              <w:right w:val="single" w:sz="4" w:space="0" w:color="auto"/>
            </w:tcBorders>
            <w:noWrap/>
            <w:vAlign w:val="bottom"/>
            <w:hideMark/>
          </w:tcPr>
          <w:p w14:paraId="7D49A1F7"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10,371,814 </w:t>
            </w:r>
          </w:p>
        </w:tc>
        <w:tc>
          <w:tcPr>
            <w:tcW w:w="1457" w:type="dxa"/>
            <w:tcBorders>
              <w:top w:val="nil"/>
              <w:left w:val="nil"/>
              <w:bottom w:val="single" w:sz="4" w:space="0" w:color="auto"/>
              <w:right w:val="single" w:sz="4" w:space="0" w:color="auto"/>
            </w:tcBorders>
            <w:noWrap/>
            <w:vAlign w:val="bottom"/>
            <w:hideMark/>
          </w:tcPr>
          <w:p w14:paraId="0CD76C1B"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11,193,458 </w:t>
            </w:r>
          </w:p>
        </w:tc>
        <w:tc>
          <w:tcPr>
            <w:tcW w:w="1559" w:type="dxa"/>
            <w:tcBorders>
              <w:top w:val="nil"/>
              <w:left w:val="nil"/>
              <w:bottom w:val="single" w:sz="4" w:space="0" w:color="auto"/>
              <w:right w:val="single" w:sz="4" w:space="0" w:color="auto"/>
            </w:tcBorders>
            <w:noWrap/>
            <w:vAlign w:val="bottom"/>
            <w:hideMark/>
          </w:tcPr>
          <w:p w14:paraId="3F5B0686"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10,769,917 </w:t>
            </w:r>
          </w:p>
        </w:tc>
        <w:tc>
          <w:tcPr>
            <w:tcW w:w="1223" w:type="dxa"/>
            <w:tcBorders>
              <w:top w:val="nil"/>
              <w:left w:val="nil"/>
              <w:bottom w:val="single" w:sz="4" w:space="0" w:color="auto"/>
              <w:right w:val="single" w:sz="4" w:space="0" w:color="auto"/>
            </w:tcBorders>
            <w:noWrap/>
            <w:vAlign w:val="bottom"/>
            <w:hideMark/>
          </w:tcPr>
          <w:p w14:paraId="22161DCB"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10,599,144 </w:t>
            </w:r>
          </w:p>
        </w:tc>
        <w:tc>
          <w:tcPr>
            <w:tcW w:w="1328" w:type="dxa"/>
            <w:tcBorders>
              <w:top w:val="nil"/>
              <w:left w:val="nil"/>
              <w:bottom w:val="single" w:sz="4" w:space="0" w:color="auto"/>
              <w:right w:val="single" w:sz="4" w:space="0" w:color="auto"/>
            </w:tcBorders>
            <w:noWrap/>
            <w:vAlign w:val="bottom"/>
            <w:hideMark/>
          </w:tcPr>
          <w:p w14:paraId="4581C9CA"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11,095,891 </w:t>
            </w:r>
          </w:p>
        </w:tc>
        <w:tc>
          <w:tcPr>
            <w:tcW w:w="1418" w:type="dxa"/>
            <w:tcBorders>
              <w:top w:val="nil"/>
              <w:left w:val="nil"/>
              <w:bottom w:val="single" w:sz="4" w:space="0" w:color="auto"/>
              <w:right w:val="single" w:sz="4" w:space="0" w:color="auto"/>
            </w:tcBorders>
            <w:noWrap/>
            <w:vAlign w:val="bottom"/>
            <w:hideMark/>
          </w:tcPr>
          <w:p w14:paraId="1F272A71"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12,288,434 </w:t>
            </w:r>
          </w:p>
        </w:tc>
        <w:tc>
          <w:tcPr>
            <w:tcW w:w="1276" w:type="dxa"/>
            <w:tcBorders>
              <w:top w:val="nil"/>
              <w:left w:val="nil"/>
              <w:bottom w:val="single" w:sz="4" w:space="0" w:color="auto"/>
              <w:right w:val="single" w:sz="4" w:space="0" w:color="auto"/>
            </w:tcBorders>
            <w:noWrap/>
            <w:vAlign w:val="bottom"/>
            <w:hideMark/>
          </w:tcPr>
          <w:p w14:paraId="3C9405A5"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12,865,327 </w:t>
            </w:r>
          </w:p>
        </w:tc>
        <w:tc>
          <w:tcPr>
            <w:tcW w:w="1417" w:type="dxa"/>
            <w:tcBorders>
              <w:top w:val="nil"/>
              <w:left w:val="nil"/>
              <w:bottom w:val="single" w:sz="4" w:space="0" w:color="auto"/>
              <w:right w:val="single" w:sz="4" w:space="0" w:color="auto"/>
            </w:tcBorders>
            <w:noWrap/>
            <w:vAlign w:val="bottom"/>
            <w:hideMark/>
          </w:tcPr>
          <w:p w14:paraId="15A9678E"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13,503,429 </w:t>
            </w:r>
          </w:p>
        </w:tc>
        <w:tc>
          <w:tcPr>
            <w:tcW w:w="1276" w:type="dxa"/>
            <w:tcBorders>
              <w:top w:val="nil"/>
              <w:left w:val="nil"/>
              <w:bottom w:val="single" w:sz="4" w:space="0" w:color="auto"/>
              <w:right w:val="single" w:sz="4" w:space="0" w:color="auto"/>
            </w:tcBorders>
            <w:noWrap/>
            <w:vAlign w:val="bottom"/>
            <w:hideMark/>
          </w:tcPr>
          <w:p w14:paraId="1EF6798C"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14,744,984 </w:t>
            </w:r>
          </w:p>
        </w:tc>
        <w:tc>
          <w:tcPr>
            <w:tcW w:w="1223" w:type="dxa"/>
            <w:tcBorders>
              <w:top w:val="nil"/>
              <w:left w:val="nil"/>
              <w:bottom w:val="single" w:sz="4" w:space="0" w:color="auto"/>
              <w:right w:val="single" w:sz="4" w:space="0" w:color="auto"/>
            </w:tcBorders>
            <w:noWrap/>
            <w:vAlign w:val="bottom"/>
            <w:hideMark/>
          </w:tcPr>
          <w:p w14:paraId="70A1A3DB" w14:textId="77777777" w:rsidR="00A13616" w:rsidRPr="00A13616" w:rsidRDefault="00A13616" w:rsidP="00A13616">
            <w:pPr>
              <w:spacing w:before="0" w:after="0" w:line="240" w:lineRule="auto"/>
              <w:ind w:left="0" w:right="0"/>
              <w:jc w:val="right"/>
              <w:rPr>
                <w:rFonts w:ascii="Aptos Narrow" w:eastAsia="Times New Roman" w:hAnsi="Aptos Narrow" w:cs="Times New Roman"/>
                <w:color w:val="000000"/>
                <w:sz w:val="22"/>
                <w:szCs w:val="22"/>
              </w:rPr>
            </w:pPr>
            <w:r w:rsidRPr="00A13616">
              <w:rPr>
                <w:rFonts w:ascii="Aptos Narrow" w:eastAsia="Times New Roman" w:hAnsi="Aptos Narrow" w:cs="Times New Roman"/>
                <w:color w:val="000000"/>
                <w:sz w:val="22"/>
                <w:szCs w:val="22"/>
              </w:rPr>
              <w:t xml:space="preserve">          16,094,696 </w:t>
            </w:r>
          </w:p>
        </w:tc>
      </w:tr>
    </w:tbl>
    <w:p w14:paraId="2CEDDFF2" w14:textId="296B2EB5" w:rsidR="008436C6" w:rsidRPr="008436C6" w:rsidRDefault="00A13616" w:rsidP="008436C6">
      <w:pPr>
        <w:rPr>
          <w:rFonts w:ascii="Verdana" w:hAnsi="Verdana"/>
          <w:b/>
          <w:bCs/>
          <w:noProof/>
          <w:sz w:val="22"/>
          <w:szCs w:val="22"/>
        </w:rPr>
      </w:pPr>
      <w:r>
        <w:rPr>
          <w:rFonts w:ascii="Verdana" w:hAnsi="Verdana"/>
          <w:b/>
          <w:bCs/>
          <w:noProof/>
          <w:sz w:val="22"/>
          <w:szCs w:val="22"/>
        </w:rPr>
        <w:fldChar w:fldCharType="end"/>
      </w:r>
      <w:r>
        <w:rPr>
          <w:rFonts w:ascii="Verdana" w:hAnsi="Verdana"/>
          <w:b/>
          <w:bCs/>
          <w:noProof/>
          <w:sz w:val="22"/>
          <w:szCs w:val="22"/>
        </w:rPr>
        <w:br/>
      </w:r>
    </w:p>
    <w:p w14:paraId="0D02E858" w14:textId="5F6610C7" w:rsidR="008436C6" w:rsidRPr="008436C6" w:rsidRDefault="008436C6" w:rsidP="008436C6">
      <w:pPr>
        <w:pStyle w:val="ListParagraph"/>
        <w:numPr>
          <w:ilvl w:val="0"/>
          <w:numId w:val="19"/>
        </w:numPr>
        <w:rPr>
          <w:rFonts w:ascii="Verdana" w:hAnsi="Verdana"/>
          <w:noProof/>
          <w:sz w:val="22"/>
          <w:szCs w:val="22"/>
        </w:rPr>
      </w:pPr>
      <w:r w:rsidRPr="008436C6">
        <w:rPr>
          <w:rFonts w:ascii="Verdana" w:hAnsi="Verdana"/>
          <w:b/>
          <w:bCs/>
          <w:noProof/>
          <w:sz w:val="22"/>
          <w:szCs w:val="22"/>
        </w:rPr>
        <w:t>How many cycles of IVF treatment do you offer to eligible patients?</w:t>
      </w:r>
      <w:r>
        <w:rPr>
          <w:rFonts w:ascii="Verdana" w:hAnsi="Verdana"/>
          <w:b/>
          <w:bCs/>
          <w:noProof/>
          <w:sz w:val="22"/>
          <w:szCs w:val="22"/>
        </w:rPr>
        <w:br/>
      </w:r>
      <w:r w:rsidRPr="008436C6">
        <w:rPr>
          <w:rFonts w:ascii="Verdana" w:hAnsi="Verdana"/>
          <w:noProof/>
          <w:sz w:val="22"/>
          <w:szCs w:val="22"/>
        </w:rPr>
        <w:t>The number of cycles offered to eligible patients is commissioned by the Welsh Joint Commissioning Committee and is established as per their policy for Fertility Services CP38.  Patients who reside in Wales can be offered up to two cycles of IVF treatment if they remain clinically appropriate.  The policy can be found at</w:t>
      </w:r>
      <w:r>
        <w:rPr>
          <w:rFonts w:ascii="Verdana" w:hAnsi="Verdana"/>
          <w:noProof/>
          <w:sz w:val="22"/>
          <w:szCs w:val="22"/>
        </w:rPr>
        <w:t>;</w:t>
      </w:r>
    </w:p>
    <w:p w14:paraId="23DF621B" w14:textId="23323991" w:rsidR="00873328" w:rsidRPr="008436C6" w:rsidRDefault="008436C6" w:rsidP="008436C6">
      <w:pPr>
        <w:pStyle w:val="ListParagraph"/>
        <w:ind w:left="865"/>
        <w:rPr>
          <w:rFonts w:ascii="Verdana" w:hAnsi="Verdana"/>
          <w:noProof/>
          <w:sz w:val="22"/>
          <w:szCs w:val="22"/>
        </w:rPr>
      </w:pPr>
      <w:hyperlink r:id="rId8" w:history="1">
        <w:r w:rsidRPr="00417E15">
          <w:rPr>
            <w:rStyle w:val="Hyperlink"/>
            <w:rFonts w:ascii="Verdana" w:hAnsi="Verdana" w:cs="Arial"/>
            <w:noProof/>
            <w:sz w:val="22"/>
            <w:szCs w:val="22"/>
          </w:rPr>
          <w:t>http://jcc.nhs.wales/clinical-policies/fertility/specialist-fertility-services-commissioning-policy-cp38-january-2017-pdf/?ts=1772010885146</w:t>
        </w:r>
      </w:hyperlink>
      <w:r>
        <w:rPr>
          <w:rFonts w:ascii="Verdana" w:hAnsi="Verdana"/>
          <w:noProof/>
          <w:sz w:val="22"/>
          <w:szCs w:val="22"/>
        </w:rPr>
        <w:t xml:space="preserve"> </w:t>
      </w:r>
    </w:p>
    <w:p w14:paraId="2178A95B" w14:textId="77777777" w:rsidR="00873328" w:rsidRDefault="00873328" w:rsidP="00421E7F">
      <w:pPr>
        <w:rPr>
          <w:rFonts w:ascii="Verdana" w:hAnsi="Verdana"/>
          <w:b/>
          <w:bCs/>
          <w:noProof/>
          <w:sz w:val="22"/>
          <w:szCs w:val="22"/>
        </w:rPr>
      </w:pPr>
    </w:p>
    <w:p w14:paraId="75970B72" w14:textId="45BF2847" w:rsidR="00A10460" w:rsidRDefault="00421E7F" w:rsidP="00A13616">
      <w:pPr>
        <w:jc w:val="center"/>
        <w:rPr>
          <w:rFonts w:ascii="Verdana" w:hAnsi="Verdana"/>
          <w:b/>
          <w:bCs/>
          <w:noProof/>
          <w:sz w:val="22"/>
          <w:szCs w:val="22"/>
        </w:rPr>
      </w:pPr>
      <w:r>
        <w:rPr>
          <w:rFonts w:ascii="Verdana" w:hAnsi="Verdana"/>
          <w:b/>
          <w:bCs/>
          <w:noProof/>
          <w:sz w:val="22"/>
          <w:szCs w:val="22"/>
        </w:rPr>
        <w:br/>
        <w:t>_____________________________________________________________</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A13616">
      <w:footerReference w:type="default" r:id="rId9"/>
      <w:headerReference w:type="first" r:id="rId10"/>
      <w:footerReference w:type="first" r:id="rId11"/>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6E06F2E4">
          <wp:simplePos x="0" y="0"/>
          <wp:positionH relativeFrom="column">
            <wp:posOffset>4857750</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244BCEBE">
          <wp:simplePos x="0" y="0"/>
          <wp:positionH relativeFrom="column">
            <wp:posOffset>4976683</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58DADB09" w:rsidR="0097092D" w:rsidRDefault="00A13616"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5161796D">
              <wp:simplePos x="0" y="0"/>
              <wp:positionH relativeFrom="page">
                <wp:posOffset>7143750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2.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50B3F848">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EC7384"/>
    <w:multiLevelType w:val="hybridMultilevel"/>
    <w:tmpl w:val="B38A275E"/>
    <w:lvl w:ilvl="0" w:tplc="8E7EDFF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6A44CE1"/>
    <w:multiLevelType w:val="hybridMultilevel"/>
    <w:tmpl w:val="3F540D54"/>
    <w:lvl w:ilvl="0" w:tplc="8E7EDFF4">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25E4D97"/>
    <w:multiLevelType w:val="hybridMultilevel"/>
    <w:tmpl w:val="33966F5A"/>
    <w:lvl w:ilvl="0" w:tplc="8E7EDFF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1485136"/>
    <w:multiLevelType w:val="hybridMultilevel"/>
    <w:tmpl w:val="9E88515E"/>
    <w:lvl w:ilvl="0" w:tplc="57CA4D0E">
      <w:numFmt w:val="bullet"/>
      <w:lvlText w:val=""/>
      <w:lvlJc w:val="left"/>
      <w:pPr>
        <w:ind w:left="1225"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9E93752"/>
    <w:multiLevelType w:val="hybridMultilevel"/>
    <w:tmpl w:val="E68897B0"/>
    <w:lvl w:ilvl="0" w:tplc="B7780882">
      <w:start w:val="1"/>
      <w:numFmt w:val="decimal"/>
      <w:lvlText w:val="%1."/>
      <w:lvlJc w:val="left"/>
      <w:pPr>
        <w:ind w:left="865" w:hanging="360"/>
      </w:pPr>
      <w:rPr>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9"/>
  </w:num>
  <w:num w:numId="5" w16cid:durableId="1143425367">
    <w:abstractNumId w:val="6"/>
  </w:num>
  <w:num w:numId="6" w16cid:durableId="1293360629">
    <w:abstractNumId w:val="5"/>
  </w:num>
  <w:num w:numId="7" w16cid:durableId="479228409">
    <w:abstractNumId w:val="13"/>
  </w:num>
  <w:num w:numId="8" w16cid:durableId="1553300907">
    <w:abstractNumId w:val="18"/>
  </w:num>
  <w:num w:numId="9" w16cid:durableId="687946864">
    <w:abstractNumId w:val="22"/>
  </w:num>
  <w:num w:numId="10" w16cid:durableId="993416643">
    <w:abstractNumId w:val="2"/>
  </w:num>
  <w:num w:numId="11" w16cid:durableId="1541481371">
    <w:abstractNumId w:val="11"/>
  </w:num>
  <w:num w:numId="12" w16cid:durableId="1525171868">
    <w:abstractNumId w:val="15"/>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3"/>
  </w:num>
  <w:num w:numId="19" w16cid:durableId="1184513197">
    <w:abstractNumId w:val="21"/>
  </w:num>
  <w:num w:numId="20" w16cid:durableId="2130467427">
    <w:abstractNumId w:val="12"/>
  </w:num>
  <w:num w:numId="21" w16cid:durableId="909579138">
    <w:abstractNumId w:val="4"/>
  </w:num>
  <w:num w:numId="22" w16cid:durableId="86582418">
    <w:abstractNumId w:val="17"/>
  </w:num>
  <w:num w:numId="23" w16cid:durableId="1911579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1F69"/>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A4694"/>
    <w:rsid w:val="002B74C8"/>
    <w:rsid w:val="002C252B"/>
    <w:rsid w:val="002D32B6"/>
    <w:rsid w:val="002E02A9"/>
    <w:rsid w:val="00304A21"/>
    <w:rsid w:val="0035435D"/>
    <w:rsid w:val="00355B9A"/>
    <w:rsid w:val="003648A8"/>
    <w:rsid w:val="0039422D"/>
    <w:rsid w:val="003B09B5"/>
    <w:rsid w:val="003C3C5C"/>
    <w:rsid w:val="003F2312"/>
    <w:rsid w:val="004039EB"/>
    <w:rsid w:val="00421E7F"/>
    <w:rsid w:val="00442A3A"/>
    <w:rsid w:val="00453C57"/>
    <w:rsid w:val="0047028C"/>
    <w:rsid w:val="0048724F"/>
    <w:rsid w:val="004A276B"/>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36C6"/>
    <w:rsid w:val="00846C1D"/>
    <w:rsid w:val="00873328"/>
    <w:rsid w:val="00876349"/>
    <w:rsid w:val="0089491A"/>
    <w:rsid w:val="008A2D60"/>
    <w:rsid w:val="0090178A"/>
    <w:rsid w:val="00912B14"/>
    <w:rsid w:val="00923C07"/>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3616"/>
    <w:rsid w:val="00A17614"/>
    <w:rsid w:val="00A40822"/>
    <w:rsid w:val="00A51ABD"/>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3B55"/>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8436C6"/>
    <w:rPr>
      <w:color w:val="605E5C"/>
      <w:shd w:val="clear" w:color="auto" w:fill="E1DFDD"/>
    </w:rPr>
  </w:style>
  <w:style w:type="character" w:styleId="FollowedHyperlink">
    <w:name w:val="FollowedHyperlink"/>
    <w:basedOn w:val="DefaultParagraphFont"/>
    <w:uiPriority w:val="99"/>
    <w:semiHidden/>
    <w:unhideWhenUsed/>
    <w:rsid w:val="008436C6"/>
    <w:rPr>
      <w:color w:val="B26B02" w:themeColor="followedHyperlink"/>
      <w:u w:val="single"/>
    </w:rPr>
  </w:style>
  <w:style w:type="character" w:styleId="CommentReference">
    <w:name w:val="annotation reference"/>
    <w:basedOn w:val="DefaultParagraphFont"/>
    <w:uiPriority w:val="99"/>
    <w:semiHidden/>
    <w:unhideWhenUsed/>
    <w:rsid w:val="00A13616"/>
    <w:rPr>
      <w:sz w:val="16"/>
      <w:szCs w:val="16"/>
    </w:rPr>
  </w:style>
  <w:style w:type="paragraph" w:styleId="CommentText">
    <w:name w:val="annotation text"/>
    <w:basedOn w:val="Normal"/>
    <w:link w:val="CommentTextChar"/>
    <w:uiPriority w:val="99"/>
    <w:unhideWhenUsed/>
    <w:rsid w:val="00A13616"/>
    <w:pPr>
      <w:spacing w:line="240" w:lineRule="auto"/>
    </w:pPr>
    <w:rPr>
      <w:sz w:val="20"/>
      <w:szCs w:val="20"/>
    </w:rPr>
  </w:style>
  <w:style w:type="character" w:customStyle="1" w:styleId="CommentTextChar">
    <w:name w:val="Comment Text Char"/>
    <w:basedOn w:val="DefaultParagraphFont"/>
    <w:link w:val="CommentText"/>
    <w:uiPriority w:val="99"/>
    <w:rsid w:val="00A13616"/>
  </w:style>
  <w:style w:type="paragraph" w:styleId="CommentSubject">
    <w:name w:val="annotation subject"/>
    <w:basedOn w:val="CommentText"/>
    <w:next w:val="CommentText"/>
    <w:link w:val="CommentSubjectChar"/>
    <w:uiPriority w:val="99"/>
    <w:semiHidden/>
    <w:unhideWhenUsed/>
    <w:rsid w:val="00A13616"/>
    <w:rPr>
      <w:b/>
      <w:bCs/>
    </w:rPr>
  </w:style>
  <w:style w:type="character" w:customStyle="1" w:styleId="CommentSubjectChar">
    <w:name w:val="Comment Subject Char"/>
    <w:basedOn w:val="CommentTextChar"/>
    <w:link w:val="CommentSubject"/>
    <w:uiPriority w:val="99"/>
    <w:semiHidden/>
    <w:rsid w:val="00A136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cc.nhs.wales/clinical-policies/fertility/specialist-fertility-services-commissioning-policy-cp38-january-2017-pdf/?ts=17720108851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2</Pages>
  <Words>295</Words>
  <Characters>1763</Characters>
  <Application>Microsoft Office Word</Application>
  <DocSecurity>0</DocSecurity>
  <Lines>126</Lines>
  <Paragraphs>62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2026-03-23T10:57:00Z</cp:lastPrinted>
  <dcterms:created xsi:type="dcterms:W3CDTF">2021-09-13T07:38:00Z</dcterms:created>
  <dcterms:modified xsi:type="dcterms:W3CDTF">2026-03-23T10:58:00Z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b9cdea46-9219-4db0-870a-06eaae054bbb</vt:lpwstr>
  </property>
</Properties>
</file>