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966ACB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86E23">
                              <w:rPr>
                                <w:rFonts w:ascii="Verdana" w:hAnsi="Verdana"/>
                                <w:b/>
                                <w:sz w:val="22"/>
                                <w:szCs w:val="22"/>
                              </w:rPr>
                              <w:t>26-F-001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26465">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966ACB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86E23">
                        <w:rPr>
                          <w:rFonts w:ascii="Verdana" w:hAnsi="Verdana"/>
                          <w:b/>
                          <w:sz w:val="22"/>
                          <w:szCs w:val="22"/>
                        </w:rPr>
                        <w:t>26-F-001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26465">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3046D66E" w14:textId="77777777" w:rsidR="00726465" w:rsidRDefault="00726465" w:rsidP="00DC0D5A">
      <w:pPr>
        <w:spacing w:before="280"/>
        <w:rPr>
          <w:rFonts w:ascii="Verdana" w:hAnsi="Verdana"/>
          <w:sz w:val="22"/>
        </w:rPr>
      </w:pPr>
      <w:r>
        <w:rPr>
          <w:rFonts w:ascii="Verdana" w:hAnsi="Verdana"/>
          <w:sz w:val="22"/>
        </w:rPr>
        <w:t>Please note that this information reflects the period March-May 2026.</w:t>
      </w:r>
    </w:p>
    <w:p w14:paraId="635CAE49" w14:textId="30D68205"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169D2F9" w14:textId="5A1F2F89" w:rsidR="00A86E23" w:rsidRPr="00A86E23" w:rsidRDefault="00A86E23" w:rsidP="00A86E23">
      <w:pPr>
        <w:pStyle w:val="ListParagraph"/>
        <w:numPr>
          <w:ilvl w:val="0"/>
          <w:numId w:val="20"/>
        </w:numPr>
        <w:rPr>
          <w:rFonts w:ascii="Verdana" w:hAnsi="Verdana"/>
          <w:b/>
          <w:bCs/>
          <w:noProof/>
          <w:sz w:val="22"/>
          <w:szCs w:val="22"/>
        </w:rPr>
      </w:pPr>
      <w:r w:rsidRPr="00A86E23">
        <w:rPr>
          <w:rFonts w:ascii="Verdana" w:hAnsi="Verdana"/>
          <w:b/>
          <w:bCs/>
          <w:noProof/>
          <w:sz w:val="22"/>
          <w:szCs w:val="22"/>
        </w:rPr>
        <w:t>How many patients were treated in the last 3 months by the Gastroenterology department (for any medical condition) with the following biologic drugs:</w:t>
      </w:r>
      <w:r>
        <w:rPr>
          <w:rFonts w:ascii="Verdana" w:hAnsi="Verdana"/>
          <w:b/>
          <w:bCs/>
          <w:noProof/>
          <w:sz w:val="22"/>
          <w:szCs w:val="22"/>
        </w:rPr>
        <w:br/>
      </w:r>
    </w:p>
    <w:p w14:paraId="671859C8" w14:textId="76152340"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Adalimumab - Humira - </w:t>
      </w:r>
      <w:r w:rsidRPr="00A86E23">
        <w:rPr>
          <w:rFonts w:ascii="Verdana" w:hAnsi="Verdana"/>
          <w:noProof/>
          <w:sz w:val="22"/>
          <w:szCs w:val="22"/>
        </w:rPr>
        <w:t>7</w:t>
      </w:r>
    </w:p>
    <w:p w14:paraId="2C393150" w14:textId="56309892"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Adalimumab Biosimilar - </w:t>
      </w:r>
      <w:r w:rsidRPr="00A86E23">
        <w:rPr>
          <w:rFonts w:ascii="Verdana" w:hAnsi="Verdana"/>
          <w:noProof/>
          <w:sz w:val="22"/>
          <w:szCs w:val="22"/>
        </w:rPr>
        <w:t>112</w:t>
      </w:r>
    </w:p>
    <w:p w14:paraId="292593DE" w14:textId="0E00D2C5"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Etrasimod - </w:t>
      </w:r>
      <w:r w:rsidRPr="00A86E23">
        <w:rPr>
          <w:rFonts w:ascii="Verdana" w:hAnsi="Verdana"/>
          <w:noProof/>
          <w:sz w:val="22"/>
          <w:szCs w:val="22"/>
        </w:rPr>
        <w:t>0</w:t>
      </w:r>
    </w:p>
    <w:p w14:paraId="21A68245" w14:textId="2476F711"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Filgotinib -</w:t>
      </w:r>
      <w:r w:rsidRPr="00A86E23">
        <w:rPr>
          <w:rFonts w:ascii="Verdana" w:hAnsi="Verdana"/>
          <w:noProof/>
          <w:sz w:val="22"/>
          <w:szCs w:val="22"/>
        </w:rPr>
        <w:t xml:space="preserve"> 0</w:t>
      </w:r>
    </w:p>
    <w:p w14:paraId="0BE043A6" w14:textId="7449F84B"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Golimumab - Simponi -</w:t>
      </w:r>
      <w:r w:rsidRPr="00A86E23">
        <w:rPr>
          <w:rFonts w:ascii="Verdana" w:hAnsi="Verdana"/>
          <w:noProof/>
          <w:sz w:val="22"/>
          <w:szCs w:val="22"/>
        </w:rPr>
        <w:t xml:space="preserve"> 0</w:t>
      </w:r>
    </w:p>
    <w:p w14:paraId="358FDBB9" w14:textId="48631E5A"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Golimumab Biosimilar -</w:t>
      </w:r>
      <w:r w:rsidRPr="00A86E23">
        <w:rPr>
          <w:rFonts w:ascii="Verdana" w:hAnsi="Verdana"/>
          <w:noProof/>
          <w:sz w:val="22"/>
          <w:szCs w:val="22"/>
        </w:rPr>
        <w:t xml:space="preserve"> 0</w:t>
      </w:r>
    </w:p>
    <w:p w14:paraId="6AED0652" w14:textId="7B206711"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Infliximab - Remicade -</w:t>
      </w:r>
      <w:r w:rsidRPr="00A86E23">
        <w:rPr>
          <w:rFonts w:ascii="Verdana" w:hAnsi="Verdana"/>
          <w:noProof/>
          <w:sz w:val="22"/>
          <w:szCs w:val="22"/>
        </w:rPr>
        <w:t xml:space="preserve"> 0</w:t>
      </w:r>
    </w:p>
    <w:p w14:paraId="221867E2" w14:textId="79D5D16A"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Infliximab Biosimilar - </w:t>
      </w:r>
      <w:r w:rsidRPr="00A86E23">
        <w:rPr>
          <w:rFonts w:ascii="Verdana" w:hAnsi="Verdana"/>
          <w:noProof/>
          <w:sz w:val="22"/>
          <w:szCs w:val="22"/>
        </w:rPr>
        <w:t>23</w:t>
      </w:r>
    </w:p>
    <w:p w14:paraId="1D5618C1" w14:textId="626BF7D6"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Mirikizumab - </w:t>
      </w:r>
      <w:r w:rsidRPr="00A86E23">
        <w:rPr>
          <w:rFonts w:ascii="Verdana" w:hAnsi="Verdana"/>
          <w:noProof/>
          <w:sz w:val="22"/>
          <w:szCs w:val="22"/>
        </w:rPr>
        <w:t>11</w:t>
      </w:r>
    </w:p>
    <w:p w14:paraId="0B005AD1" w14:textId="010734DC"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Ozanimod - </w:t>
      </w:r>
      <w:r w:rsidRPr="00A86E23">
        <w:rPr>
          <w:rFonts w:ascii="Verdana" w:hAnsi="Verdana"/>
          <w:noProof/>
          <w:sz w:val="22"/>
          <w:szCs w:val="22"/>
        </w:rPr>
        <w:t>0</w:t>
      </w:r>
    </w:p>
    <w:p w14:paraId="27A8A7F8" w14:textId="577CF769"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Risankizumab - </w:t>
      </w:r>
      <w:r w:rsidRPr="00A86E23">
        <w:rPr>
          <w:rFonts w:ascii="Verdana" w:hAnsi="Verdana"/>
          <w:noProof/>
          <w:sz w:val="22"/>
          <w:szCs w:val="22"/>
        </w:rPr>
        <w:t>28</w:t>
      </w:r>
    </w:p>
    <w:p w14:paraId="0C4096BC" w14:textId="3B997506"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Tofacitinib -</w:t>
      </w:r>
      <w:r w:rsidRPr="00A86E23">
        <w:rPr>
          <w:rFonts w:ascii="Verdana" w:hAnsi="Verdana"/>
          <w:noProof/>
          <w:sz w:val="22"/>
          <w:szCs w:val="22"/>
        </w:rPr>
        <w:t xml:space="preserve"> 0</w:t>
      </w:r>
    </w:p>
    <w:p w14:paraId="24E36245" w14:textId="5870E7A3"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Upadacitinib - </w:t>
      </w:r>
      <w:r w:rsidRPr="00A86E23">
        <w:rPr>
          <w:rFonts w:ascii="Verdana" w:hAnsi="Verdana"/>
          <w:noProof/>
          <w:sz w:val="22"/>
          <w:szCs w:val="22"/>
        </w:rPr>
        <w:t>58</w:t>
      </w:r>
    </w:p>
    <w:p w14:paraId="423DBED8" w14:textId="4814AF5C"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Ustekinumab - Stelara - </w:t>
      </w:r>
      <w:r w:rsidRPr="00A86E23">
        <w:rPr>
          <w:rFonts w:ascii="Verdana" w:hAnsi="Verdana"/>
          <w:noProof/>
          <w:sz w:val="22"/>
          <w:szCs w:val="22"/>
        </w:rPr>
        <w:t>7</w:t>
      </w:r>
    </w:p>
    <w:p w14:paraId="55CF2CC6" w14:textId="2A7BF29F"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Ustekinumab Biosimilar - </w:t>
      </w:r>
      <w:r w:rsidRPr="00A86E23">
        <w:rPr>
          <w:rFonts w:ascii="Verdana" w:hAnsi="Verdana"/>
          <w:noProof/>
          <w:sz w:val="22"/>
          <w:szCs w:val="22"/>
        </w:rPr>
        <w:t>116</w:t>
      </w:r>
    </w:p>
    <w:p w14:paraId="07F58CA3" w14:textId="17DEDCFF"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Vedolizumab - </w:t>
      </w:r>
      <w:r w:rsidRPr="00A86E23">
        <w:rPr>
          <w:rFonts w:ascii="Verdana" w:hAnsi="Verdana"/>
          <w:noProof/>
          <w:sz w:val="22"/>
          <w:szCs w:val="22"/>
        </w:rPr>
        <w:t>31</w:t>
      </w:r>
    </w:p>
    <w:p w14:paraId="1EEF3D59" w14:textId="1C516A70"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Guselkumab – </w:t>
      </w:r>
      <w:r>
        <w:rPr>
          <w:rFonts w:ascii="Verdana" w:hAnsi="Verdana"/>
          <w:noProof/>
          <w:sz w:val="22"/>
          <w:szCs w:val="22"/>
        </w:rPr>
        <w:t>&lt;5*</w:t>
      </w:r>
    </w:p>
    <w:p w14:paraId="5AF319FF" w14:textId="77777777" w:rsidR="00A86E23" w:rsidRPr="00A86E23" w:rsidRDefault="00A86E23" w:rsidP="00A86E23">
      <w:pPr>
        <w:rPr>
          <w:rFonts w:ascii="Verdana" w:hAnsi="Verdana"/>
          <w:b/>
          <w:bCs/>
          <w:noProof/>
          <w:sz w:val="22"/>
          <w:szCs w:val="22"/>
        </w:rPr>
      </w:pPr>
    </w:p>
    <w:p w14:paraId="400787A7" w14:textId="717F980F" w:rsidR="00A86E23" w:rsidRPr="00A86E23" w:rsidRDefault="00A86E23" w:rsidP="00A86E23">
      <w:pPr>
        <w:pStyle w:val="ListParagraph"/>
        <w:numPr>
          <w:ilvl w:val="0"/>
          <w:numId w:val="20"/>
        </w:numPr>
        <w:rPr>
          <w:rFonts w:ascii="Verdana" w:hAnsi="Verdana"/>
          <w:b/>
          <w:bCs/>
          <w:noProof/>
          <w:sz w:val="22"/>
          <w:szCs w:val="22"/>
        </w:rPr>
      </w:pPr>
      <w:r w:rsidRPr="00A86E23">
        <w:rPr>
          <w:rFonts w:ascii="Verdana" w:hAnsi="Verdana"/>
          <w:b/>
          <w:bCs/>
          <w:noProof/>
          <w:sz w:val="22"/>
          <w:szCs w:val="22"/>
        </w:rPr>
        <w:t>Could you please provide the numbers of patients treated for Crohn’s Disease in the last 3 months with the following biologic drugs:</w:t>
      </w:r>
      <w:r>
        <w:rPr>
          <w:rFonts w:ascii="Verdana" w:hAnsi="Verdana"/>
          <w:b/>
          <w:bCs/>
          <w:noProof/>
          <w:sz w:val="22"/>
          <w:szCs w:val="22"/>
        </w:rPr>
        <w:br/>
      </w:r>
    </w:p>
    <w:p w14:paraId="45E7DFE5" w14:textId="146A91C9"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Adalimumab - Humira - </w:t>
      </w:r>
      <w:r>
        <w:rPr>
          <w:rFonts w:ascii="Verdana" w:hAnsi="Verdana"/>
          <w:noProof/>
          <w:sz w:val="22"/>
          <w:szCs w:val="22"/>
        </w:rPr>
        <w:t>&lt;5*</w:t>
      </w:r>
    </w:p>
    <w:p w14:paraId="6B85305A" w14:textId="7E114680"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Adalimumab Biosimilars - </w:t>
      </w:r>
      <w:r w:rsidRPr="00A86E23">
        <w:rPr>
          <w:rFonts w:ascii="Verdana" w:hAnsi="Verdana"/>
          <w:noProof/>
          <w:sz w:val="22"/>
          <w:szCs w:val="22"/>
        </w:rPr>
        <w:t>84</w:t>
      </w:r>
    </w:p>
    <w:p w14:paraId="6F9CD691" w14:textId="392B936B"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Golimumab - Simponi - </w:t>
      </w:r>
      <w:r w:rsidRPr="00A86E23">
        <w:rPr>
          <w:rFonts w:ascii="Verdana" w:hAnsi="Verdana"/>
          <w:noProof/>
          <w:sz w:val="22"/>
          <w:szCs w:val="22"/>
        </w:rPr>
        <w:t>0</w:t>
      </w:r>
    </w:p>
    <w:p w14:paraId="6EE06BD7" w14:textId="16C5B15D"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Golimumab Biosimilar -</w:t>
      </w:r>
      <w:r w:rsidRPr="00A86E23">
        <w:rPr>
          <w:rFonts w:ascii="Verdana" w:hAnsi="Verdana"/>
          <w:noProof/>
          <w:sz w:val="22"/>
          <w:szCs w:val="22"/>
        </w:rPr>
        <w:t xml:space="preserve"> 0</w:t>
      </w:r>
    </w:p>
    <w:p w14:paraId="3295F7FD" w14:textId="0E272FD9"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Infliximab - Remicade - </w:t>
      </w:r>
      <w:r w:rsidRPr="00A86E23">
        <w:rPr>
          <w:rFonts w:ascii="Verdana" w:hAnsi="Verdana"/>
          <w:noProof/>
          <w:sz w:val="22"/>
          <w:szCs w:val="22"/>
        </w:rPr>
        <w:t>0</w:t>
      </w:r>
    </w:p>
    <w:p w14:paraId="3E577981" w14:textId="2618258D"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Infliximab Biosimilars - </w:t>
      </w:r>
      <w:r w:rsidRPr="00A86E23">
        <w:rPr>
          <w:rFonts w:ascii="Verdana" w:hAnsi="Verdana"/>
          <w:noProof/>
          <w:sz w:val="22"/>
          <w:szCs w:val="22"/>
        </w:rPr>
        <w:t>14</w:t>
      </w:r>
    </w:p>
    <w:p w14:paraId="3CDD267A" w14:textId="6B5B342A"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lastRenderedPageBreak/>
        <w:t xml:space="preserve">Risankizumab - </w:t>
      </w:r>
      <w:r w:rsidRPr="00A86E23">
        <w:rPr>
          <w:rFonts w:ascii="Verdana" w:hAnsi="Verdana"/>
          <w:noProof/>
          <w:sz w:val="22"/>
          <w:szCs w:val="22"/>
        </w:rPr>
        <w:t>22</w:t>
      </w:r>
    </w:p>
    <w:p w14:paraId="0B19DD48" w14:textId="1382331B"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Upadacitinib - </w:t>
      </w:r>
      <w:r w:rsidRPr="00A86E23">
        <w:rPr>
          <w:rFonts w:ascii="Verdana" w:hAnsi="Verdana"/>
          <w:noProof/>
          <w:sz w:val="22"/>
          <w:szCs w:val="22"/>
        </w:rPr>
        <w:t>24</w:t>
      </w:r>
    </w:p>
    <w:p w14:paraId="7A4AC727" w14:textId="5E515D41"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Ustekinumab - Stelara - </w:t>
      </w:r>
      <w:r w:rsidRPr="00A86E23">
        <w:rPr>
          <w:rFonts w:ascii="Verdana" w:hAnsi="Verdana"/>
          <w:noProof/>
          <w:sz w:val="22"/>
          <w:szCs w:val="22"/>
        </w:rPr>
        <w:t>5</w:t>
      </w:r>
    </w:p>
    <w:p w14:paraId="21C7259F" w14:textId="27D58586"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Ustekinumab Biosimilar - </w:t>
      </w:r>
      <w:r w:rsidRPr="00A86E23">
        <w:rPr>
          <w:rFonts w:ascii="Verdana" w:hAnsi="Verdana"/>
          <w:noProof/>
          <w:sz w:val="22"/>
          <w:szCs w:val="22"/>
        </w:rPr>
        <w:t>86</w:t>
      </w:r>
    </w:p>
    <w:p w14:paraId="6FFB0160" w14:textId="19979F1B"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Vedolizumab - </w:t>
      </w:r>
      <w:r w:rsidRPr="00A86E23">
        <w:rPr>
          <w:rFonts w:ascii="Verdana" w:hAnsi="Verdana"/>
          <w:noProof/>
          <w:sz w:val="22"/>
          <w:szCs w:val="22"/>
        </w:rPr>
        <w:t>18</w:t>
      </w:r>
    </w:p>
    <w:p w14:paraId="0B70BE0F" w14:textId="37697A32" w:rsidR="00A86E23"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Mirikizumab - </w:t>
      </w:r>
      <w:r>
        <w:rPr>
          <w:rFonts w:ascii="Verdana" w:hAnsi="Verdana"/>
          <w:noProof/>
          <w:sz w:val="22"/>
          <w:szCs w:val="22"/>
        </w:rPr>
        <w:t>&lt;5*</w:t>
      </w:r>
    </w:p>
    <w:p w14:paraId="2178A95B" w14:textId="5B21F407" w:rsidR="00873328" w:rsidRPr="00A86E23" w:rsidRDefault="00A86E23" w:rsidP="00A86E23">
      <w:pPr>
        <w:pStyle w:val="ListParagraph"/>
        <w:numPr>
          <w:ilvl w:val="0"/>
          <w:numId w:val="22"/>
        </w:numPr>
        <w:rPr>
          <w:rFonts w:ascii="Verdana" w:hAnsi="Verdana"/>
          <w:b/>
          <w:bCs/>
          <w:noProof/>
          <w:sz w:val="22"/>
          <w:szCs w:val="22"/>
        </w:rPr>
      </w:pPr>
      <w:r w:rsidRPr="00A86E23">
        <w:rPr>
          <w:rFonts w:ascii="Verdana" w:hAnsi="Verdana"/>
          <w:b/>
          <w:bCs/>
          <w:noProof/>
          <w:sz w:val="22"/>
          <w:szCs w:val="22"/>
        </w:rPr>
        <w:t xml:space="preserve">Guselkumab - </w:t>
      </w:r>
      <w:r>
        <w:rPr>
          <w:rFonts w:ascii="Verdana" w:hAnsi="Verdana"/>
          <w:noProof/>
          <w:sz w:val="22"/>
          <w:szCs w:val="22"/>
        </w:rPr>
        <w:t>&lt;5*</w:t>
      </w:r>
    </w:p>
    <w:p w14:paraId="7F202BA5" w14:textId="4AB02914" w:rsidR="00A115C7" w:rsidRPr="00A86E23" w:rsidRDefault="00421E7F" w:rsidP="00A86E23">
      <w:pPr>
        <w:pStyle w:val="ListParagraph"/>
        <w:ind w:left="284"/>
        <w:rPr>
          <w:rFonts w:ascii="Verdana" w:hAnsi="Verdana"/>
          <w:sz w:val="22"/>
          <w:szCs w:val="22"/>
        </w:rPr>
      </w:pPr>
      <w:r w:rsidRPr="00A86E23">
        <w:rPr>
          <w:rFonts w:ascii="Verdana" w:hAnsi="Verdana"/>
          <w:b/>
          <w:bCs/>
          <w:noProof/>
          <w:sz w:val="22"/>
          <w:szCs w:val="22"/>
        </w:rPr>
        <w:br/>
      </w:r>
      <w:r w:rsidR="00A115C7" w:rsidRPr="00A86E23">
        <w:rPr>
          <w:rFonts w:ascii="Verdana" w:hAnsi="Verdana"/>
          <w:b/>
          <w:bCs/>
          <w:noProof/>
          <w:sz w:val="22"/>
          <w:szCs w:val="22"/>
        </w:rPr>
        <w:br/>
      </w:r>
      <w:r w:rsidR="00A86E23">
        <w:rPr>
          <w:rFonts w:ascii="Verdana" w:hAnsi="Verdana"/>
          <w:sz w:val="22"/>
          <w:szCs w:val="22"/>
        </w:rPr>
        <w:t>*</w:t>
      </w:r>
      <w:r w:rsidR="00A86E23" w:rsidRPr="00A86E23">
        <w:rPr>
          <w:rFonts w:ascii="Verdana" w:hAnsi="Verdana"/>
          <w:sz w:val="22"/>
          <w:szCs w:val="22"/>
        </w:rPr>
        <w:t xml:space="preserve"> </w:t>
      </w:r>
      <w:r w:rsidR="00A86E23" w:rsidRPr="00FC3B42">
        <w:rPr>
          <w:rFonts w:ascii="Verdana" w:hAnsi="Verdana"/>
          <w:sz w:val="22"/>
          <w:szCs w:val="22"/>
        </w:rPr>
        <w:t xml:space="preserve">Where fewer than 5 has been indicated we are unable to provide you with the exact number of </w:t>
      </w:r>
      <w:r w:rsidR="00A86E23" w:rsidRPr="00A86E23">
        <w:rPr>
          <w:rFonts w:ascii="Verdana" w:hAnsi="Verdana"/>
          <w:sz w:val="22"/>
          <w:szCs w:val="22"/>
        </w:rPr>
        <w:t>patients</w:t>
      </w:r>
      <w:r w:rsidR="00A86E23" w:rsidRPr="00FC3B42">
        <w:rPr>
          <w:rFonts w:ascii="Verdana" w:hAnsi="Verdana"/>
          <w:sz w:val="22"/>
          <w:szCs w:val="22"/>
        </w:rPr>
        <w:t xml:space="preserve"> as due to the low numbers, </w:t>
      </w:r>
      <w:bookmarkStart w:id="0" w:name="_Hlk222922831"/>
      <w:r w:rsidR="00A86E23"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00A86E23" w:rsidRPr="00FC3B42">
          <w:rPr>
            <w:rFonts w:ascii="Verdana" w:hAnsi="Verdana"/>
            <w:sz w:val="22"/>
            <w:szCs w:val="22"/>
          </w:rPr>
          <w:t>Freedom of Information</w:t>
        </w:r>
      </w:smartTag>
      <w:r w:rsidR="00A86E23" w:rsidRPr="00FC3B42">
        <w:rPr>
          <w:rFonts w:ascii="Verdana" w:hAnsi="Verdana"/>
          <w:sz w:val="22"/>
          <w:szCs w:val="22"/>
        </w:rPr>
        <w:t xml:space="preserve"> Act 2000.  This information is protected by the </w:t>
      </w:r>
      <w:r w:rsidR="00A86E23"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A86E23" w:rsidRPr="00FC3B42">
        <w:rPr>
          <w:rFonts w:ascii="Verdana" w:hAnsi="Verdana"/>
          <w:bCs/>
          <w:iCs/>
          <w:sz w:val="22"/>
          <w:szCs w:val="22"/>
        </w:rPr>
        <w:t>in regard to</w:t>
      </w:r>
      <w:r w:rsidR="00A86E23" w:rsidRPr="00FC3B42">
        <w:rPr>
          <w:rFonts w:ascii="Verdana" w:hAnsi="Verdana"/>
          <w:iCs/>
          <w:sz w:val="22"/>
          <w:szCs w:val="22"/>
        </w:rPr>
        <w:t xml:space="preserve"> Articles 5, 6, and 9 of GDPR.  </w:t>
      </w:r>
      <w:r w:rsidR="00A86E23" w:rsidRPr="00FC3B42">
        <w:rPr>
          <w:rFonts w:ascii="Verdana" w:hAnsi="Verdana"/>
          <w:sz w:val="22"/>
          <w:szCs w:val="22"/>
        </w:rPr>
        <w:t>This exemption is absolute and therefore there is no requirement to apply the public interest test.</w:t>
      </w:r>
      <w:bookmarkEnd w:id="0"/>
      <w:r w:rsidR="00A86E23" w:rsidRPr="00FC3B42">
        <w:rPr>
          <w:rFonts w:ascii="Verdana" w:hAnsi="Verdana"/>
          <w:sz w:val="22"/>
          <w:szCs w:val="22"/>
        </w:rPr>
        <w:br/>
      </w:r>
      <w:r w:rsidR="00A86E23" w:rsidRPr="00FC3B42">
        <w:rPr>
          <w:rFonts w:ascii="Verdana" w:hAnsi="Verdana"/>
          <w:sz w:val="22"/>
          <w:szCs w:val="22"/>
        </w:rPr>
        <w:br/>
      </w:r>
      <w:r w:rsidR="00A86E23">
        <w:rPr>
          <w:rFonts w:ascii="Verdana" w:hAnsi="Verdana"/>
          <w:sz w:val="22"/>
          <w:szCs w:val="22"/>
        </w:rPr>
        <w:br/>
      </w:r>
      <w:r w:rsidR="00A115C7" w:rsidRPr="00A86E23">
        <w:rPr>
          <w:rFonts w:ascii="Verdana" w:hAnsi="Verdana"/>
          <w:sz w:val="22"/>
          <w:szCs w:val="22"/>
        </w:rPr>
        <w:t xml:space="preserve">I hope this information is helpful. If you require anything further, please contact us at </w:t>
      </w:r>
      <w:hyperlink r:id="rId8" w:history="1">
        <w:r w:rsidR="00A115C7" w:rsidRPr="00A86E23">
          <w:rPr>
            <w:rStyle w:val="Hyperlink"/>
            <w:rFonts w:ascii="Verdana" w:hAnsi="Verdana"/>
            <w:sz w:val="22"/>
            <w:szCs w:val="22"/>
          </w:rPr>
          <w:t>FOIA.Requests@wales.nhs.uk</w:t>
        </w:r>
      </w:hyperlink>
      <w:r w:rsidR="00A115C7" w:rsidRPr="00A86E23">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2ACB" w14:textId="77777777" w:rsidR="005B7C3D" w:rsidRDefault="005B7C3D" w:rsidP="007D6A3E">
      <w:pPr>
        <w:spacing w:before="0" w:after="0" w:line="240" w:lineRule="auto"/>
      </w:pPr>
      <w:r>
        <w:separator/>
      </w:r>
    </w:p>
  </w:endnote>
  <w:endnote w:type="continuationSeparator" w:id="0">
    <w:p w14:paraId="463A67E8" w14:textId="77777777" w:rsidR="005B7C3D" w:rsidRDefault="005B7C3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B27EE" w14:textId="77777777" w:rsidR="005B7C3D" w:rsidRDefault="005B7C3D" w:rsidP="007D6A3E">
      <w:pPr>
        <w:spacing w:before="0" w:after="0" w:line="240" w:lineRule="auto"/>
      </w:pPr>
      <w:r>
        <w:separator/>
      </w:r>
    </w:p>
  </w:footnote>
  <w:footnote w:type="continuationSeparator" w:id="0">
    <w:p w14:paraId="755FAF4E" w14:textId="77777777" w:rsidR="005B7C3D" w:rsidRDefault="005B7C3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10A1188"/>
    <w:multiLevelType w:val="hybridMultilevel"/>
    <w:tmpl w:val="93F228E8"/>
    <w:lvl w:ilvl="0" w:tplc="F0D6C7BA">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DF2D38"/>
    <w:multiLevelType w:val="hybridMultilevel"/>
    <w:tmpl w:val="BA9A1DB4"/>
    <w:lvl w:ilvl="0" w:tplc="4DAC295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CF400D5"/>
    <w:multiLevelType w:val="hybridMultilevel"/>
    <w:tmpl w:val="4344D3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4C41DED"/>
    <w:multiLevelType w:val="hybridMultilevel"/>
    <w:tmpl w:val="CA268846"/>
    <w:lvl w:ilvl="0" w:tplc="F0D6C7BA">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6152509"/>
    <w:multiLevelType w:val="hybridMultilevel"/>
    <w:tmpl w:val="18C2481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0"/>
  </w:num>
  <w:num w:numId="4" w16cid:durableId="1125923312">
    <w:abstractNumId w:val="20"/>
  </w:num>
  <w:num w:numId="5" w16cid:durableId="1143425367">
    <w:abstractNumId w:val="4"/>
  </w:num>
  <w:num w:numId="6" w16cid:durableId="1293360629">
    <w:abstractNumId w:val="3"/>
  </w:num>
  <w:num w:numId="7" w16cid:durableId="479228409">
    <w:abstractNumId w:val="13"/>
  </w:num>
  <w:num w:numId="8" w16cid:durableId="1553300907">
    <w:abstractNumId w:val="19"/>
  </w:num>
  <w:num w:numId="9" w16cid:durableId="687946864">
    <w:abstractNumId w:val="22"/>
  </w:num>
  <w:num w:numId="10" w16cid:durableId="993416643">
    <w:abstractNumId w:val="1"/>
  </w:num>
  <w:num w:numId="11" w16cid:durableId="1541481371">
    <w:abstractNumId w:val="11"/>
  </w:num>
  <w:num w:numId="12" w16cid:durableId="1525171868">
    <w:abstractNumId w:val="15"/>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5"/>
  </w:num>
  <w:num w:numId="18" w16cid:durableId="949163570">
    <w:abstractNumId w:val="2"/>
  </w:num>
  <w:num w:numId="19" w16cid:durableId="1077635708">
    <w:abstractNumId w:val="17"/>
  </w:num>
  <w:num w:numId="20" w16cid:durableId="1211192613">
    <w:abstractNumId w:val="7"/>
  </w:num>
  <w:num w:numId="21" w16cid:durableId="1711570437">
    <w:abstractNumId w:val="12"/>
  </w:num>
  <w:num w:numId="22" w16cid:durableId="1338382617">
    <w:abstractNumId w:val="16"/>
  </w:num>
  <w:num w:numId="23" w16cid:durableId="44717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0337"/>
    <w:rsid w:val="00304A21"/>
    <w:rsid w:val="0035435D"/>
    <w:rsid w:val="00355B9A"/>
    <w:rsid w:val="003648A8"/>
    <w:rsid w:val="003867BC"/>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73926"/>
    <w:rsid w:val="0059250D"/>
    <w:rsid w:val="005925B8"/>
    <w:rsid w:val="0059485C"/>
    <w:rsid w:val="005B7C3D"/>
    <w:rsid w:val="005D24B3"/>
    <w:rsid w:val="005F0E79"/>
    <w:rsid w:val="00602EE5"/>
    <w:rsid w:val="006137E4"/>
    <w:rsid w:val="00635BDA"/>
    <w:rsid w:val="006564DF"/>
    <w:rsid w:val="00684641"/>
    <w:rsid w:val="006C4048"/>
    <w:rsid w:val="006D5578"/>
    <w:rsid w:val="006F4A69"/>
    <w:rsid w:val="006F5A5D"/>
    <w:rsid w:val="00705C52"/>
    <w:rsid w:val="0072646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05D6"/>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86E23"/>
    <w:rsid w:val="00AB4D54"/>
    <w:rsid w:val="00AC7F3C"/>
    <w:rsid w:val="00AF0E8B"/>
    <w:rsid w:val="00AF1F1F"/>
    <w:rsid w:val="00AF691A"/>
    <w:rsid w:val="00B031C2"/>
    <w:rsid w:val="00B03C8F"/>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E0337"/>
    <w:rPr>
      <w:sz w:val="16"/>
      <w:szCs w:val="16"/>
    </w:rPr>
  </w:style>
  <w:style w:type="paragraph" w:styleId="CommentText">
    <w:name w:val="annotation text"/>
    <w:basedOn w:val="Normal"/>
    <w:link w:val="CommentTextChar"/>
    <w:uiPriority w:val="99"/>
    <w:unhideWhenUsed/>
    <w:rsid w:val="002E0337"/>
    <w:pPr>
      <w:spacing w:line="240" w:lineRule="auto"/>
    </w:pPr>
    <w:rPr>
      <w:sz w:val="20"/>
      <w:szCs w:val="20"/>
    </w:rPr>
  </w:style>
  <w:style w:type="character" w:customStyle="1" w:styleId="CommentTextChar">
    <w:name w:val="Comment Text Char"/>
    <w:basedOn w:val="DefaultParagraphFont"/>
    <w:link w:val="CommentText"/>
    <w:uiPriority w:val="99"/>
    <w:rsid w:val="002E0337"/>
  </w:style>
  <w:style w:type="paragraph" w:styleId="CommentSubject">
    <w:name w:val="annotation subject"/>
    <w:basedOn w:val="CommentText"/>
    <w:next w:val="CommentText"/>
    <w:link w:val="CommentSubjectChar"/>
    <w:uiPriority w:val="99"/>
    <w:semiHidden/>
    <w:unhideWhenUsed/>
    <w:rsid w:val="002E0337"/>
    <w:rPr>
      <w:b/>
      <w:bCs/>
    </w:rPr>
  </w:style>
  <w:style w:type="character" w:customStyle="1" w:styleId="CommentSubjectChar">
    <w:name w:val="Comment Subject Char"/>
    <w:basedOn w:val="CommentTextChar"/>
    <w:link w:val="CommentSubject"/>
    <w:uiPriority w:val="99"/>
    <w:semiHidden/>
    <w:rsid w:val="002E03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88</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2026-06-19T07:39:00Z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23a4f7fe-e54e-4f5d-92f0-24e7952b92ff</vt:lpwstr>
  </property>
</Properties>
</file>