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6170C5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47601">
                              <w:rPr>
                                <w:rFonts w:ascii="Verdana" w:hAnsi="Verdana"/>
                                <w:b/>
                                <w:sz w:val="22"/>
                                <w:szCs w:val="22"/>
                              </w:rPr>
                              <w:t>26-F-002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A606F">
                              <w:rPr>
                                <w:rFonts w:ascii="Verdana" w:hAnsi="Verdana"/>
                                <w:b/>
                                <w:noProof/>
                                <w:sz w:val="22"/>
                                <w:szCs w:val="22"/>
                              </w:rPr>
                              <w:t>17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6170C54"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47601">
                        <w:rPr>
                          <w:rFonts w:ascii="Verdana" w:hAnsi="Verdana"/>
                          <w:b/>
                          <w:sz w:val="22"/>
                          <w:szCs w:val="22"/>
                        </w:rPr>
                        <w:t>26-F-002</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0A606F">
                        <w:rPr>
                          <w:rFonts w:ascii="Verdana" w:hAnsi="Verdana"/>
                          <w:b/>
                          <w:noProof/>
                          <w:sz w:val="22"/>
                          <w:szCs w:val="22"/>
                        </w:rPr>
                        <w:t>17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23DF621B" w14:textId="10C18F16" w:rsidR="00873328" w:rsidRPr="00647601" w:rsidRDefault="00A10460" w:rsidP="00647601">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1F5FD533" w14:textId="77777777" w:rsidR="00647601" w:rsidRPr="00647601" w:rsidRDefault="00647601" w:rsidP="00647601">
      <w:pPr>
        <w:spacing w:line="252" w:lineRule="auto"/>
        <w:jc w:val="both"/>
        <w:rPr>
          <w:rFonts w:ascii="Verdana" w:hAnsi="Verdana"/>
          <w:sz w:val="20"/>
          <w:szCs w:val="20"/>
          <w:lang w:val="en-US"/>
        </w:rPr>
      </w:pPr>
      <w:r w:rsidRPr="00647601">
        <w:rPr>
          <w:rFonts w:ascii="Verdana" w:hAnsi="Verdana"/>
          <w:sz w:val="22"/>
          <w:szCs w:val="22"/>
          <w:lang w:val="en-US"/>
        </w:rPr>
        <w:t>Please could you confirm if Swansea Bay University Local Health Board has any local guidelines for the treatment of these conditions.</w:t>
      </w:r>
    </w:p>
    <w:tbl>
      <w:tblPr>
        <w:tblW w:w="8540" w:type="dxa"/>
        <w:tblInd w:w="612" w:type="dxa"/>
        <w:tblCellMar>
          <w:left w:w="0" w:type="dxa"/>
          <w:right w:w="0" w:type="dxa"/>
        </w:tblCellMar>
        <w:tblLook w:val="04A0" w:firstRow="1" w:lastRow="0" w:firstColumn="1" w:lastColumn="0" w:noHBand="0" w:noVBand="1"/>
      </w:tblPr>
      <w:tblGrid>
        <w:gridCol w:w="5980"/>
        <w:gridCol w:w="2560"/>
      </w:tblGrid>
      <w:tr w:rsidR="00647601" w:rsidRPr="00647601" w14:paraId="4B321161" w14:textId="77777777" w:rsidTr="000A606F">
        <w:trPr>
          <w:trHeight w:val="300"/>
        </w:trPr>
        <w:tc>
          <w:tcPr>
            <w:tcW w:w="5980" w:type="dxa"/>
            <w:tcBorders>
              <w:top w:val="nil"/>
              <w:left w:val="nil"/>
              <w:bottom w:val="single" w:sz="8" w:space="0" w:color="auto"/>
              <w:right w:val="nil"/>
            </w:tcBorders>
            <w:noWrap/>
            <w:tcMar>
              <w:top w:w="0" w:type="dxa"/>
              <w:left w:w="108" w:type="dxa"/>
              <w:bottom w:w="0" w:type="dxa"/>
              <w:right w:w="108" w:type="dxa"/>
            </w:tcMar>
            <w:hideMark/>
          </w:tcPr>
          <w:p w14:paraId="3A82D75A" w14:textId="77777777" w:rsidR="00647601" w:rsidRPr="00647601" w:rsidRDefault="00647601" w:rsidP="00647601">
            <w:pPr>
              <w:ind w:left="131" w:right="0"/>
              <w:rPr>
                <w:rFonts w:ascii="Verdana" w:hAnsi="Verdana" w:cs="Calibri"/>
                <w:b/>
                <w:bCs/>
                <w:color w:val="000000"/>
                <w:sz w:val="20"/>
                <w:szCs w:val="20"/>
                <w:lang w:val="en-US"/>
              </w:rPr>
            </w:pPr>
            <w:r w:rsidRPr="00647601">
              <w:rPr>
                <w:rFonts w:ascii="Verdana" w:hAnsi="Verdana" w:cs="Calibri"/>
                <w:b/>
                <w:bCs/>
                <w:color w:val="000000"/>
                <w:sz w:val="20"/>
                <w:szCs w:val="20"/>
                <w:lang w:val="en-US"/>
              </w:rPr>
              <w:t>Obesity</w:t>
            </w:r>
          </w:p>
        </w:tc>
        <w:tc>
          <w:tcPr>
            <w:tcW w:w="2560" w:type="dxa"/>
            <w:tcBorders>
              <w:top w:val="nil"/>
              <w:left w:val="nil"/>
              <w:bottom w:val="single" w:sz="8" w:space="0" w:color="auto"/>
              <w:right w:val="nil"/>
            </w:tcBorders>
            <w:noWrap/>
            <w:tcMar>
              <w:top w:w="0" w:type="dxa"/>
              <w:left w:w="108" w:type="dxa"/>
              <w:bottom w:w="0" w:type="dxa"/>
              <w:right w:w="108" w:type="dxa"/>
            </w:tcMar>
            <w:hideMark/>
          </w:tcPr>
          <w:p w14:paraId="488C58A8" w14:textId="77777777" w:rsidR="00647601" w:rsidRPr="00647601" w:rsidRDefault="00647601" w:rsidP="00647601">
            <w:pPr>
              <w:ind w:left="99" w:right="-26"/>
              <w:rPr>
                <w:rFonts w:ascii="Verdana" w:hAnsi="Verdana" w:cs="Calibri"/>
                <w:b/>
                <w:bCs/>
                <w:color w:val="000000"/>
                <w:sz w:val="20"/>
                <w:szCs w:val="20"/>
                <w:lang w:val="en-US"/>
              </w:rPr>
            </w:pPr>
          </w:p>
        </w:tc>
      </w:tr>
      <w:tr w:rsidR="000A606F" w:rsidRPr="00647601" w14:paraId="11B3D00B" w14:textId="77777777" w:rsidTr="000A606F">
        <w:trPr>
          <w:trHeight w:val="1910"/>
        </w:trPr>
        <w:tc>
          <w:tcPr>
            <w:tcW w:w="5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D182BD" w14:textId="77777777" w:rsidR="000A606F" w:rsidRPr="000A606F" w:rsidRDefault="000A606F"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t>Has Swansea Bay University Local Health Board published or updated any guidelines for the non-surgical treatment of obesity using oral or injectable medications since June 2024?</w:t>
            </w:r>
          </w:p>
        </w:tc>
        <w:tc>
          <w:tcPr>
            <w:tcW w:w="2560" w:type="dxa"/>
            <w:tcBorders>
              <w:top w:val="single" w:sz="8" w:space="0" w:color="auto"/>
              <w:left w:val="nil"/>
              <w:bottom w:val="single" w:sz="4" w:space="0" w:color="auto"/>
              <w:right w:val="single" w:sz="8" w:space="0" w:color="auto"/>
            </w:tcBorders>
            <w:noWrap/>
            <w:tcMar>
              <w:top w:w="0" w:type="dxa"/>
              <w:left w:w="108" w:type="dxa"/>
              <w:bottom w:w="0" w:type="dxa"/>
              <w:right w:w="108" w:type="dxa"/>
            </w:tcMar>
            <w:hideMark/>
          </w:tcPr>
          <w:p w14:paraId="329177F5" w14:textId="65485AF5" w:rsidR="000A606F" w:rsidRPr="00647601" w:rsidRDefault="000A606F" w:rsidP="00647601">
            <w:pPr>
              <w:ind w:left="99" w:right="-26"/>
              <w:rPr>
                <w:rFonts w:ascii="Verdana" w:hAnsi="Verdana" w:cs="Calibri"/>
                <w:color w:val="000000"/>
                <w:sz w:val="20"/>
                <w:szCs w:val="20"/>
                <w:lang w:val="en-US"/>
              </w:rPr>
            </w:pPr>
            <w:r>
              <w:rPr>
                <w:rFonts w:ascii="Verdana" w:hAnsi="Verdana" w:cs="Calibri"/>
                <w:color w:val="000000"/>
                <w:sz w:val="20"/>
                <w:szCs w:val="20"/>
                <w:lang w:val="en-US"/>
              </w:rPr>
              <w:t>No</w:t>
            </w:r>
          </w:p>
        </w:tc>
      </w:tr>
      <w:tr w:rsidR="00647601" w:rsidRPr="00647601" w14:paraId="4C68D7FA" w14:textId="77777777" w:rsidTr="000A606F">
        <w:trPr>
          <w:trHeight w:val="300"/>
        </w:trPr>
        <w:tc>
          <w:tcPr>
            <w:tcW w:w="5980" w:type="dxa"/>
            <w:noWrap/>
            <w:tcMar>
              <w:top w:w="0" w:type="dxa"/>
              <w:left w:w="108" w:type="dxa"/>
              <w:bottom w:w="0" w:type="dxa"/>
              <w:right w:w="108" w:type="dxa"/>
            </w:tcMar>
            <w:hideMark/>
          </w:tcPr>
          <w:p w14:paraId="3C777E22" w14:textId="77777777" w:rsidR="00647601" w:rsidRPr="000A606F" w:rsidRDefault="00647601" w:rsidP="00647601">
            <w:pPr>
              <w:ind w:left="131" w:right="0"/>
              <w:rPr>
                <w:rFonts w:ascii="Verdana" w:hAnsi="Verdana" w:cs="Calibri"/>
                <w:b/>
                <w:bCs/>
                <w:color w:val="000000"/>
                <w:sz w:val="20"/>
                <w:szCs w:val="20"/>
                <w:lang w:val="en-US"/>
              </w:rPr>
            </w:pPr>
          </w:p>
        </w:tc>
        <w:tc>
          <w:tcPr>
            <w:tcW w:w="2560" w:type="dxa"/>
            <w:tcBorders>
              <w:top w:val="single" w:sz="4" w:space="0" w:color="auto"/>
            </w:tcBorders>
            <w:noWrap/>
            <w:tcMar>
              <w:top w:w="0" w:type="dxa"/>
              <w:left w:w="108" w:type="dxa"/>
              <w:bottom w:w="0" w:type="dxa"/>
              <w:right w:w="108" w:type="dxa"/>
            </w:tcMar>
            <w:hideMark/>
          </w:tcPr>
          <w:p w14:paraId="4F2EAB27" w14:textId="77777777" w:rsidR="00647601" w:rsidRPr="00647601" w:rsidRDefault="00647601" w:rsidP="00647601">
            <w:pPr>
              <w:ind w:left="99" w:right="-26"/>
              <w:rPr>
                <w:rFonts w:ascii="Verdana" w:eastAsia="Times New Roman" w:hAnsi="Verdana" w:cs="Times New Roman"/>
                <w:sz w:val="20"/>
                <w:szCs w:val="20"/>
              </w:rPr>
            </w:pPr>
          </w:p>
        </w:tc>
      </w:tr>
      <w:tr w:rsidR="00647601" w:rsidRPr="00647601" w14:paraId="46E203A5" w14:textId="77777777" w:rsidTr="00647601">
        <w:trPr>
          <w:trHeight w:val="300"/>
        </w:trPr>
        <w:tc>
          <w:tcPr>
            <w:tcW w:w="5980" w:type="dxa"/>
            <w:noWrap/>
            <w:tcMar>
              <w:top w:w="0" w:type="dxa"/>
              <w:left w:w="108" w:type="dxa"/>
              <w:bottom w:w="0" w:type="dxa"/>
              <w:right w:w="108" w:type="dxa"/>
            </w:tcMar>
            <w:hideMark/>
          </w:tcPr>
          <w:p w14:paraId="6D325F5E" w14:textId="77777777" w:rsidR="00647601" w:rsidRPr="000A606F" w:rsidRDefault="00647601" w:rsidP="00647601">
            <w:pPr>
              <w:ind w:left="131" w:right="0"/>
              <w:rPr>
                <w:rFonts w:ascii="Verdana" w:eastAsia="Times New Roman" w:hAnsi="Verdana" w:cs="Times New Roman"/>
                <w:b/>
                <w:bCs/>
                <w:sz w:val="20"/>
                <w:szCs w:val="20"/>
              </w:rPr>
            </w:pPr>
          </w:p>
        </w:tc>
        <w:tc>
          <w:tcPr>
            <w:tcW w:w="2560" w:type="dxa"/>
            <w:noWrap/>
            <w:tcMar>
              <w:top w:w="0" w:type="dxa"/>
              <w:left w:w="108" w:type="dxa"/>
              <w:bottom w:w="0" w:type="dxa"/>
              <w:right w:w="108" w:type="dxa"/>
            </w:tcMar>
            <w:hideMark/>
          </w:tcPr>
          <w:p w14:paraId="40819947" w14:textId="77777777" w:rsidR="00647601" w:rsidRPr="00647601" w:rsidRDefault="00647601" w:rsidP="00647601">
            <w:pPr>
              <w:ind w:left="99" w:right="-26"/>
              <w:rPr>
                <w:rFonts w:ascii="Verdana" w:eastAsia="Times New Roman" w:hAnsi="Verdana" w:cs="Times New Roman"/>
                <w:sz w:val="20"/>
                <w:szCs w:val="20"/>
              </w:rPr>
            </w:pPr>
          </w:p>
        </w:tc>
      </w:tr>
      <w:tr w:rsidR="00647601" w:rsidRPr="00647601" w14:paraId="370D8036" w14:textId="77777777" w:rsidTr="000A606F">
        <w:trPr>
          <w:trHeight w:val="300"/>
        </w:trPr>
        <w:tc>
          <w:tcPr>
            <w:tcW w:w="5980" w:type="dxa"/>
            <w:tcBorders>
              <w:top w:val="nil"/>
              <w:left w:val="nil"/>
              <w:bottom w:val="single" w:sz="8" w:space="0" w:color="auto"/>
              <w:right w:val="nil"/>
            </w:tcBorders>
            <w:noWrap/>
            <w:tcMar>
              <w:top w:w="0" w:type="dxa"/>
              <w:left w:w="108" w:type="dxa"/>
              <w:bottom w:w="0" w:type="dxa"/>
              <w:right w:w="108" w:type="dxa"/>
            </w:tcMar>
            <w:hideMark/>
          </w:tcPr>
          <w:p w14:paraId="67B2BC63" w14:textId="77777777" w:rsidR="00647601" w:rsidRPr="000A606F" w:rsidRDefault="00647601"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t>Chronic Kidney Disease/Diabetic Kidney disease</w:t>
            </w:r>
          </w:p>
        </w:tc>
        <w:tc>
          <w:tcPr>
            <w:tcW w:w="2560" w:type="dxa"/>
            <w:tcBorders>
              <w:top w:val="nil"/>
              <w:left w:val="nil"/>
              <w:bottom w:val="single" w:sz="8" w:space="0" w:color="auto"/>
              <w:right w:val="nil"/>
            </w:tcBorders>
            <w:noWrap/>
            <w:tcMar>
              <w:top w:w="0" w:type="dxa"/>
              <w:left w:w="108" w:type="dxa"/>
              <w:bottom w:w="0" w:type="dxa"/>
              <w:right w:w="108" w:type="dxa"/>
            </w:tcMar>
            <w:hideMark/>
          </w:tcPr>
          <w:p w14:paraId="4EF20DF0" w14:textId="77777777" w:rsidR="00647601" w:rsidRPr="00647601" w:rsidRDefault="00647601" w:rsidP="00647601">
            <w:pPr>
              <w:ind w:left="99" w:right="-26"/>
              <w:rPr>
                <w:rFonts w:ascii="Verdana" w:hAnsi="Verdana" w:cs="Calibri"/>
                <w:b/>
                <w:bCs/>
                <w:color w:val="000000"/>
                <w:sz w:val="20"/>
                <w:szCs w:val="20"/>
                <w:lang w:val="en-US"/>
              </w:rPr>
            </w:pPr>
          </w:p>
        </w:tc>
      </w:tr>
      <w:tr w:rsidR="000A606F" w:rsidRPr="00647601" w14:paraId="64FE5B2C" w14:textId="77777777" w:rsidTr="000A606F">
        <w:trPr>
          <w:trHeight w:val="3546"/>
        </w:trPr>
        <w:tc>
          <w:tcPr>
            <w:tcW w:w="5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C7129" w14:textId="77777777" w:rsidR="000A606F" w:rsidRPr="000A606F" w:rsidRDefault="000A606F"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t>Has Swansea Bay University Local Health Board published or updated any guidelines for the treatment of chronic kidney disease or diabetic kidney disease since June 2023?</w:t>
            </w:r>
          </w:p>
        </w:tc>
        <w:tc>
          <w:tcPr>
            <w:tcW w:w="2560" w:type="dxa"/>
            <w:tcBorders>
              <w:top w:val="single" w:sz="8" w:space="0" w:color="auto"/>
              <w:left w:val="nil"/>
              <w:bottom w:val="single" w:sz="4" w:space="0" w:color="auto"/>
              <w:right w:val="single" w:sz="8" w:space="0" w:color="auto"/>
            </w:tcBorders>
            <w:noWrap/>
            <w:tcMar>
              <w:top w:w="0" w:type="dxa"/>
              <w:left w:w="108" w:type="dxa"/>
              <w:bottom w:w="0" w:type="dxa"/>
              <w:right w:w="108" w:type="dxa"/>
            </w:tcMar>
            <w:hideMark/>
          </w:tcPr>
          <w:p w14:paraId="3E8DE7B2" w14:textId="1257404B" w:rsidR="000A606F" w:rsidRPr="00647601" w:rsidRDefault="000A606F" w:rsidP="00647601">
            <w:pPr>
              <w:ind w:left="99" w:right="-26"/>
              <w:rPr>
                <w:rFonts w:ascii="Verdana" w:hAnsi="Verdana" w:cs="Calibri"/>
                <w:color w:val="000000"/>
                <w:sz w:val="20"/>
                <w:szCs w:val="20"/>
                <w:lang w:val="en-US"/>
              </w:rPr>
            </w:pPr>
            <w:r w:rsidRPr="000A606F">
              <w:rPr>
                <w:rFonts w:ascii="Verdana" w:hAnsi="Verdana" w:cs="Calibri"/>
                <w:sz w:val="20"/>
                <w:szCs w:val="20"/>
                <w:lang w:val="en-US"/>
              </w:rPr>
              <w:t>N</w:t>
            </w:r>
            <w:r w:rsidRPr="000A606F">
              <w:rPr>
                <w:rFonts w:ascii="Verdana" w:hAnsi="Verdana" w:cs="Calibri"/>
                <w:sz w:val="20"/>
                <w:szCs w:val="20"/>
                <w:lang w:val="en-US"/>
              </w:rPr>
              <w:t xml:space="preserve">o - </w:t>
            </w:r>
            <w:r w:rsidRPr="000A606F">
              <w:rPr>
                <w:rFonts w:ascii="Verdana" w:hAnsi="Verdana"/>
                <w:sz w:val="20"/>
                <w:szCs w:val="20"/>
              </w:rPr>
              <w:t>We follow NICE Guidelines and relevant Technology Appraisals for the management of C</w:t>
            </w:r>
            <w:r>
              <w:rPr>
                <w:rFonts w:ascii="Verdana" w:hAnsi="Verdana"/>
                <w:sz w:val="20"/>
                <w:szCs w:val="20"/>
              </w:rPr>
              <w:t xml:space="preserve">hronic </w:t>
            </w:r>
            <w:r w:rsidRPr="000A606F">
              <w:rPr>
                <w:rFonts w:ascii="Verdana" w:hAnsi="Verdana"/>
                <w:sz w:val="20"/>
                <w:szCs w:val="20"/>
              </w:rPr>
              <w:t>K</w:t>
            </w:r>
            <w:r>
              <w:rPr>
                <w:rFonts w:ascii="Verdana" w:hAnsi="Verdana"/>
                <w:sz w:val="20"/>
                <w:szCs w:val="20"/>
              </w:rPr>
              <w:t xml:space="preserve">idney </w:t>
            </w:r>
            <w:r w:rsidRPr="000A606F">
              <w:rPr>
                <w:rFonts w:ascii="Verdana" w:hAnsi="Verdana"/>
                <w:sz w:val="20"/>
                <w:szCs w:val="20"/>
              </w:rPr>
              <w:t>D</w:t>
            </w:r>
            <w:r>
              <w:rPr>
                <w:rFonts w:ascii="Verdana" w:hAnsi="Verdana"/>
                <w:sz w:val="20"/>
                <w:szCs w:val="20"/>
              </w:rPr>
              <w:t>isease</w:t>
            </w:r>
            <w:r w:rsidRPr="000A606F">
              <w:rPr>
                <w:rFonts w:ascii="Verdana" w:hAnsi="Verdana"/>
                <w:sz w:val="20"/>
                <w:szCs w:val="20"/>
              </w:rPr>
              <w:t>, including people with diabetes</w:t>
            </w:r>
          </w:p>
        </w:tc>
      </w:tr>
      <w:tr w:rsidR="00647601" w:rsidRPr="00647601" w14:paraId="0E2F52FF" w14:textId="77777777" w:rsidTr="000A606F">
        <w:trPr>
          <w:trHeight w:val="300"/>
        </w:trPr>
        <w:tc>
          <w:tcPr>
            <w:tcW w:w="5980" w:type="dxa"/>
            <w:noWrap/>
            <w:tcMar>
              <w:top w:w="0" w:type="dxa"/>
              <w:left w:w="108" w:type="dxa"/>
              <w:bottom w:w="0" w:type="dxa"/>
              <w:right w:w="108" w:type="dxa"/>
            </w:tcMar>
            <w:hideMark/>
          </w:tcPr>
          <w:p w14:paraId="311700E8" w14:textId="77777777" w:rsidR="00647601" w:rsidRPr="000A606F" w:rsidRDefault="00647601" w:rsidP="00647601">
            <w:pPr>
              <w:ind w:left="131" w:right="0"/>
              <w:rPr>
                <w:rFonts w:ascii="Verdana" w:hAnsi="Verdana" w:cs="Calibri"/>
                <w:b/>
                <w:bCs/>
                <w:color w:val="000000"/>
                <w:sz w:val="20"/>
                <w:szCs w:val="20"/>
                <w:lang w:val="en-US"/>
              </w:rPr>
            </w:pPr>
          </w:p>
        </w:tc>
        <w:tc>
          <w:tcPr>
            <w:tcW w:w="2560" w:type="dxa"/>
            <w:tcBorders>
              <w:top w:val="single" w:sz="4" w:space="0" w:color="auto"/>
            </w:tcBorders>
            <w:noWrap/>
            <w:tcMar>
              <w:top w:w="0" w:type="dxa"/>
              <w:left w:w="108" w:type="dxa"/>
              <w:bottom w:w="0" w:type="dxa"/>
              <w:right w:w="108" w:type="dxa"/>
            </w:tcMar>
            <w:hideMark/>
          </w:tcPr>
          <w:p w14:paraId="5A8A7ECD" w14:textId="77777777" w:rsidR="00647601" w:rsidRPr="00647601" w:rsidRDefault="00647601" w:rsidP="00647601">
            <w:pPr>
              <w:ind w:left="99" w:right="-26"/>
              <w:rPr>
                <w:rFonts w:ascii="Verdana" w:eastAsia="Times New Roman" w:hAnsi="Verdana" w:cs="Times New Roman"/>
                <w:sz w:val="20"/>
                <w:szCs w:val="20"/>
              </w:rPr>
            </w:pPr>
          </w:p>
        </w:tc>
      </w:tr>
      <w:tr w:rsidR="00647601" w:rsidRPr="00647601" w14:paraId="39DE36C4" w14:textId="77777777" w:rsidTr="000A606F">
        <w:trPr>
          <w:trHeight w:val="300"/>
        </w:trPr>
        <w:tc>
          <w:tcPr>
            <w:tcW w:w="5980" w:type="dxa"/>
            <w:tcBorders>
              <w:top w:val="nil"/>
              <w:left w:val="nil"/>
              <w:bottom w:val="single" w:sz="8" w:space="0" w:color="auto"/>
              <w:right w:val="nil"/>
            </w:tcBorders>
            <w:noWrap/>
            <w:tcMar>
              <w:top w:w="0" w:type="dxa"/>
              <w:left w:w="108" w:type="dxa"/>
              <w:bottom w:w="0" w:type="dxa"/>
              <w:right w:w="108" w:type="dxa"/>
            </w:tcMar>
            <w:hideMark/>
          </w:tcPr>
          <w:p w14:paraId="488FAFEB" w14:textId="77777777" w:rsidR="00647601" w:rsidRPr="000A606F" w:rsidRDefault="00647601"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t>Type 2 Diabetes</w:t>
            </w:r>
          </w:p>
        </w:tc>
        <w:tc>
          <w:tcPr>
            <w:tcW w:w="2560" w:type="dxa"/>
            <w:tcBorders>
              <w:top w:val="nil"/>
              <w:left w:val="nil"/>
              <w:bottom w:val="single" w:sz="8" w:space="0" w:color="auto"/>
              <w:right w:val="nil"/>
            </w:tcBorders>
            <w:noWrap/>
            <w:tcMar>
              <w:top w:w="0" w:type="dxa"/>
              <w:left w:w="108" w:type="dxa"/>
              <w:bottom w:w="0" w:type="dxa"/>
              <w:right w:w="108" w:type="dxa"/>
            </w:tcMar>
            <w:hideMark/>
          </w:tcPr>
          <w:p w14:paraId="4B5C9573" w14:textId="77777777" w:rsidR="00647601" w:rsidRPr="00647601" w:rsidRDefault="00647601" w:rsidP="00647601">
            <w:pPr>
              <w:ind w:left="99" w:right="-26"/>
              <w:rPr>
                <w:rFonts w:ascii="Verdana" w:hAnsi="Verdana" w:cs="Calibri"/>
                <w:b/>
                <w:bCs/>
                <w:color w:val="000000"/>
                <w:sz w:val="20"/>
                <w:szCs w:val="20"/>
                <w:lang w:val="en-US"/>
              </w:rPr>
            </w:pPr>
          </w:p>
        </w:tc>
      </w:tr>
      <w:tr w:rsidR="000A606F" w:rsidRPr="00647601" w14:paraId="05025D18" w14:textId="77777777" w:rsidTr="000A606F">
        <w:trPr>
          <w:trHeight w:val="7891"/>
        </w:trPr>
        <w:tc>
          <w:tcPr>
            <w:tcW w:w="5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7DCD0" w14:textId="77777777" w:rsidR="000A606F" w:rsidRPr="000A606F" w:rsidRDefault="000A606F"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lastRenderedPageBreak/>
              <w:t>Has Swansea Bay University Local Health Board published or updated any guidelines for the treatment type 2 diabetes since June 2023?</w:t>
            </w:r>
            <w:r w:rsidRPr="000A606F">
              <w:rPr>
                <w:rFonts w:ascii="Verdana" w:hAnsi="Verdana" w:cs="Calibri"/>
                <w:b/>
                <w:bCs/>
                <w:color w:val="000000"/>
                <w:sz w:val="20"/>
                <w:szCs w:val="20"/>
                <w:lang w:val="en-US"/>
              </w:rPr>
              <w:br/>
              <w:t>(Note: We are focused on guidelines for the pharmaceutical control of blood sugars rather than guidelines for the management of diabetic patients prior to hospital procedures etc)</w:t>
            </w:r>
          </w:p>
        </w:tc>
        <w:tc>
          <w:tcPr>
            <w:tcW w:w="2560" w:type="dxa"/>
            <w:tcBorders>
              <w:top w:val="single" w:sz="8" w:space="0" w:color="auto"/>
              <w:left w:val="nil"/>
              <w:bottom w:val="single" w:sz="4" w:space="0" w:color="auto"/>
              <w:right w:val="single" w:sz="8" w:space="0" w:color="auto"/>
            </w:tcBorders>
            <w:noWrap/>
            <w:tcMar>
              <w:top w:w="0" w:type="dxa"/>
              <w:left w:w="108" w:type="dxa"/>
              <w:bottom w:w="0" w:type="dxa"/>
              <w:right w:w="108" w:type="dxa"/>
            </w:tcMar>
            <w:hideMark/>
          </w:tcPr>
          <w:p w14:paraId="574DE38F" w14:textId="41F7D626" w:rsidR="000A606F" w:rsidRPr="000A606F" w:rsidRDefault="000A606F" w:rsidP="000A606F">
            <w:pPr>
              <w:ind w:left="99" w:right="-26"/>
              <w:rPr>
                <w:rFonts w:ascii="Verdana" w:hAnsi="Verdana" w:cs="Calibri"/>
                <w:sz w:val="20"/>
                <w:szCs w:val="20"/>
                <w14:ligatures w14:val="standardContextual"/>
              </w:rPr>
            </w:pPr>
            <w:r w:rsidRPr="000A606F">
              <w:rPr>
                <w:rFonts w:ascii="Verdana" w:hAnsi="Verdana" w:cs="Calibri"/>
                <w:sz w:val="20"/>
                <w:szCs w:val="20"/>
                <w:lang w:val="en-US"/>
              </w:rPr>
              <w:t xml:space="preserve">No - </w:t>
            </w:r>
            <w:r w:rsidRPr="000A606F">
              <w:rPr>
                <w:rFonts w:ascii="Verdana" w:hAnsi="Verdana" w:cs="Calibri"/>
                <w:sz w:val="20"/>
                <w:szCs w:val="20"/>
              </w:rPr>
              <w:t xml:space="preserve">we don’t currently have our own general guidelines for the management of Type 2 diabetes, as we’ve generally followed NICE (and previously the ADA until the updated NICE guidance was published earlier this year). </w:t>
            </w:r>
          </w:p>
          <w:p w14:paraId="060EE8B7" w14:textId="621FC1DC" w:rsidR="000A606F" w:rsidRPr="00647601" w:rsidRDefault="000A606F" w:rsidP="000A606F">
            <w:pPr>
              <w:ind w:left="99" w:right="-26"/>
              <w:rPr>
                <w:rFonts w:ascii="Verdana" w:hAnsi="Verdana" w:cs="Calibri"/>
                <w:color w:val="000000"/>
                <w:sz w:val="20"/>
                <w:szCs w:val="20"/>
                <w:lang w:val="en-US"/>
              </w:rPr>
            </w:pPr>
            <w:r w:rsidRPr="000A606F">
              <w:rPr>
                <w:rFonts w:ascii="Verdana" w:hAnsi="Verdana" w:cs="Calibri"/>
                <w:sz w:val="20"/>
                <w:szCs w:val="20"/>
              </w:rPr>
              <w:t>However, since June 2023 we have published guidance on ‘The management of Diabetes in the older adult’, which includes those with T2DM. See attached</w:t>
            </w:r>
          </w:p>
        </w:tc>
      </w:tr>
      <w:tr w:rsidR="00647601" w:rsidRPr="00647601" w14:paraId="57F616AE" w14:textId="77777777" w:rsidTr="000A606F">
        <w:trPr>
          <w:trHeight w:val="300"/>
        </w:trPr>
        <w:tc>
          <w:tcPr>
            <w:tcW w:w="5980" w:type="dxa"/>
            <w:noWrap/>
            <w:tcMar>
              <w:top w:w="0" w:type="dxa"/>
              <w:left w:w="108" w:type="dxa"/>
              <w:bottom w:w="0" w:type="dxa"/>
              <w:right w:w="108" w:type="dxa"/>
            </w:tcMar>
            <w:hideMark/>
          </w:tcPr>
          <w:p w14:paraId="03330148" w14:textId="77777777" w:rsidR="00647601" w:rsidRPr="000A606F" w:rsidRDefault="00647601" w:rsidP="00647601">
            <w:pPr>
              <w:ind w:left="131" w:right="0"/>
              <w:rPr>
                <w:rFonts w:ascii="Verdana" w:hAnsi="Verdana" w:cs="Calibri"/>
                <w:b/>
                <w:bCs/>
                <w:color w:val="000000"/>
                <w:sz w:val="20"/>
                <w:szCs w:val="20"/>
                <w:lang w:val="en-US"/>
              </w:rPr>
            </w:pPr>
          </w:p>
        </w:tc>
        <w:tc>
          <w:tcPr>
            <w:tcW w:w="2560" w:type="dxa"/>
            <w:tcBorders>
              <w:top w:val="single" w:sz="4" w:space="0" w:color="auto"/>
            </w:tcBorders>
            <w:noWrap/>
            <w:tcMar>
              <w:top w:w="0" w:type="dxa"/>
              <w:left w:w="108" w:type="dxa"/>
              <w:bottom w:w="0" w:type="dxa"/>
              <w:right w:w="108" w:type="dxa"/>
            </w:tcMar>
            <w:hideMark/>
          </w:tcPr>
          <w:p w14:paraId="56C4D396" w14:textId="77777777" w:rsidR="00647601" w:rsidRPr="00647601" w:rsidRDefault="00647601" w:rsidP="00647601">
            <w:pPr>
              <w:ind w:left="99" w:right="-26"/>
              <w:rPr>
                <w:rFonts w:ascii="Verdana" w:eastAsia="Times New Roman" w:hAnsi="Verdana" w:cs="Times New Roman"/>
                <w:sz w:val="20"/>
                <w:szCs w:val="20"/>
              </w:rPr>
            </w:pPr>
          </w:p>
        </w:tc>
      </w:tr>
      <w:tr w:rsidR="00647601" w:rsidRPr="00647601" w14:paraId="4FA3E2B4" w14:textId="77777777" w:rsidTr="000A606F">
        <w:trPr>
          <w:trHeight w:val="300"/>
        </w:trPr>
        <w:tc>
          <w:tcPr>
            <w:tcW w:w="5980" w:type="dxa"/>
            <w:tcBorders>
              <w:top w:val="nil"/>
              <w:left w:val="nil"/>
              <w:bottom w:val="single" w:sz="8" w:space="0" w:color="auto"/>
              <w:right w:val="nil"/>
            </w:tcBorders>
            <w:noWrap/>
            <w:tcMar>
              <w:top w:w="0" w:type="dxa"/>
              <w:left w:w="108" w:type="dxa"/>
              <w:bottom w:w="0" w:type="dxa"/>
              <w:right w:w="108" w:type="dxa"/>
            </w:tcMar>
            <w:hideMark/>
          </w:tcPr>
          <w:p w14:paraId="16D1055A" w14:textId="77777777" w:rsidR="00647601" w:rsidRPr="000A606F" w:rsidRDefault="00647601"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t>Heart Failure</w:t>
            </w:r>
          </w:p>
        </w:tc>
        <w:tc>
          <w:tcPr>
            <w:tcW w:w="2560" w:type="dxa"/>
            <w:tcBorders>
              <w:top w:val="nil"/>
              <w:left w:val="nil"/>
              <w:bottom w:val="single" w:sz="8" w:space="0" w:color="auto"/>
              <w:right w:val="nil"/>
            </w:tcBorders>
            <w:noWrap/>
            <w:tcMar>
              <w:top w:w="0" w:type="dxa"/>
              <w:left w:w="108" w:type="dxa"/>
              <w:bottom w:w="0" w:type="dxa"/>
              <w:right w:w="108" w:type="dxa"/>
            </w:tcMar>
            <w:hideMark/>
          </w:tcPr>
          <w:p w14:paraId="6BC71600" w14:textId="77777777" w:rsidR="00647601" w:rsidRPr="00647601" w:rsidRDefault="00647601" w:rsidP="00647601">
            <w:pPr>
              <w:ind w:left="99" w:right="-26"/>
              <w:rPr>
                <w:rFonts w:ascii="Verdana" w:hAnsi="Verdana" w:cs="Calibri"/>
                <w:b/>
                <w:bCs/>
                <w:color w:val="000000"/>
                <w:sz w:val="20"/>
                <w:szCs w:val="20"/>
                <w:lang w:val="en-US"/>
              </w:rPr>
            </w:pPr>
          </w:p>
        </w:tc>
      </w:tr>
      <w:tr w:rsidR="000A606F" w:rsidRPr="00647601" w14:paraId="3D6ED833" w14:textId="77777777" w:rsidTr="000A606F">
        <w:trPr>
          <w:trHeight w:val="1820"/>
        </w:trPr>
        <w:tc>
          <w:tcPr>
            <w:tcW w:w="598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CF206" w14:textId="77777777" w:rsidR="000A606F" w:rsidRPr="000A606F" w:rsidRDefault="000A606F" w:rsidP="00647601">
            <w:pPr>
              <w:ind w:left="131" w:right="0"/>
              <w:rPr>
                <w:rFonts w:ascii="Verdana" w:eastAsiaTheme="minorHAnsi" w:hAnsi="Verdana" w:cs="Calibri"/>
                <w:b/>
                <w:bCs/>
                <w:color w:val="000000"/>
                <w:sz w:val="20"/>
                <w:szCs w:val="20"/>
                <w:lang w:val="en-US" w:eastAsia="en-US"/>
              </w:rPr>
            </w:pPr>
            <w:r w:rsidRPr="000A606F">
              <w:rPr>
                <w:rFonts w:ascii="Verdana" w:hAnsi="Verdana" w:cs="Calibri"/>
                <w:b/>
                <w:bCs/>
                <w:color w:val="000000"/>
                <w:sz w:val="20"/>
                <w:szCs w:val="20"/>
                <w:lang w:val="en-US"/>
              </w:rPr>
              <w:t>Has Swansea Bay University Local Health Board published or updated any guidelines for the treatment of heart failure with reduced, preserved or mildly reduced ejection fraction since June 2023?</w:t>
            </w:r>
          </w:p>
        </w:tc>
        <w:tc>
          <w:tcPr>
            <w:tcW w:w="2560" w:type="dxa"/>
            <w:tcBorders>
              <w:top w:val="single" w:sz="8" w:space="0" w:color="auto"/>
              <w:left w:val="nil"/>
              <w:bottom w:val="single" w:sz="4" w:space="0" w:color="auto"/>
              <w:right w:val="single" w:sz="8" w:space="0" w:color="auto"/>
            </w:tcBorders>
            <w:noWrap/>
            <w:tcMar>
              <w:top w:w="0" w:type="dxa"/>
              <w:left w:w="108" w:type="dxa"/>
              <w:bottom w:w="0" w:type="dxa"/>
              <w:right w:w="108" w:type="dxa"/>
            </w:tcMar>
          </w:tcPr>
          <w:p w14:paraId="061DB9D5" w14:textId="15469527" w:rsidR="000A606F" w:rsidRPr="00647601" w:rsidRDefault="000A606F" w:rsidP="00647601">
            <w:pPr>
              <w:ind w:left="99" w:right="-26"/>
              <w:rPr>
                <w:rFonts w:ascii="Verdana" w:hAnsi="Verdana" w:cs="Calibri"/>
                <w:color w:val="000000"/>
                <w:sz w:val="20"/>
                <w:szCs w:val="20"/>
                <w:lang w:val="en-US"/>
              </w:rPr>
            </w:pPr>
            <w:r>
              <w:rPr>
                <w:rFonts w:ascii="Verdana" w:hAnsi="Verdana" w:cs="Calibri"/>
                <w:color w:val="000000"/>
                <w:sz w:val="20"/>
                <w:szCs w:val="20"/>
                <w:lang w:val="en-US"/>
              </w:rPr>
              <w:t>No</w:t>
            </w:r>
          </w:p>
        </w:tc>
      </w:tr>
    </w:tbl>
    <w:p w14:paraId="2178A95B" w14:textId="77777777" w:rsidR="00873328" w:rsidRDefault="00873328" w:rsidP="00421E7F">
      <w:pPr>
        <w:rPr>
          <w:rFonts w:ascii="Verdana" w:hAnsi="Verdana"/>
          <w:b/>
          <w:bCs/>
          <w:noProof/>
          <w:sz w:val="22"/>
          <w:szCs w:val="22"/>
        </w:rPr>
      </w:pPr>
    </w:p>
    <w:p w14:paraId="7F202BA5" w14:textId="26AEB229"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w:t>
      </w:r>
      <w:r w:rsidRPr="00304A21">
        <w:rPr>
          <w:rFonts w:ascii="Verdana" w:hAnsi="Verdana" w:cs="Times New Roman"/>
          <w:sz w:val="22"/>
          <w:szCs w:val="22"/>
        </w:rPr>
        <w:lastRenderedPageBreak/>
        <w:t xml:space="preserve">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144D2" w14:textId="77777777" w:rsidR="003E1098" w:rsidRDefault="003E1098" w:rsidP="007D6A3E">
      <w:pPr>
        <w:spacing w:before="0" w:after="0" w:line="240" w:lineRule="auto"/>
      </w:pPr>
      <w:r>
        <w:separator/>
      </w:r>
    </w:p>
  </w:endnote>
  <w:endnote w:type="continuationSeparator" w:id="0">
    <w:p w14:paraId="269048BD" w14:textId="77777777" w:rsidR="003E1098" w:rsidRDefault="003E1098"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E1DD" w14:textId="77777777" w:rsidR="003E1098" w:rsidRDefault="003E1098" w:rsidP="007D6A3E">
      <w:pPr>
        <w:spacing w:before="0" w:after="0" w:line="240" w:lineRule="auto"/>
      </w:pPr>
      <w:r>
        <w:separator/>
      </w:r>
    </w:p>
  </w:footnote>
  <w:footnote w:type="continuationSeparator" w:id="0">
    <w:p w14:paraId="707BDFE7" w14:textId="77777777" w:rsidR="003E1098" w:rsidRDefault="003E1098"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3"/>
  </w:num>
  <w:num w:numId="2" w16cid:durableId="828599020">
    <w:abstractNumId w:val="0"/>
  </w:num>
  <w:num w:numId="3" w16cid:durableId="1966037800">
    <w:abstractNumId w:val="8"/>
  </w:num>
  <w:num w:numId="4" w16cid:durableId="1125923312">
    <w:abstractNumId w:val="15"/>
  </w:num>
  <w:num w:numId="5" w16cid:durableId="1143425367">
    <w:abstractNumId w:val="4"/>
  </w:num>
  <w:num w:numId="6" w16cid:durableId="1293360629">
    <w:abstractNumId w:val="3"/>
  </w:num>
  <w:num w:numId="7" w16cid:durableId="479228409">
    <w:abstractNumId w:val="10"/>
  </w:num>
  <w:num w:numId="8" w16cid:durableId="1553300907">
    <w:abstractNumId w:val="14"/>
  </w:num>
  <w:num w:numId="9" w16cid:durableId="687946864">
    <w:abstractNumId w:val="17"/>
  </w:num>
  <w:num w:numId="10" w16cid:durableId="993416643">
    <w:abstractNumId w:val="1"/>
  </w:num>
  <w:num w:numId="11" w16cid:durableId="1541481371">
    <w:abstractNumId w:val="9"/>
  </w:num>
  <w:num w:numId="12" w16cid:durableId="1525171868">
    <w:abstractNumId w:val="12"/>
  </w:num>
  <w:num w:numId="13" w16cid:durableId="200629463">
    <w:abstractNumId w:val="16"/>
  </w:num>
  <w:num w:numId="14" w16cid:durableId="5438320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1"/>
  </w:num>
  <w:num w:numId="17" w16cid:durableId="1764229674">
    <w:abstractNumId w:val="5"/>
  </w:num>
  <w:num w:numId="18" w16cid:durableId="9491635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606F"/>
    <w:rsid w:val="000A785B"/>
    <w:rsid w:val="000C00ED"/>
    <w:rsid w:val="000F6539"/>
    <w:rsid w:val="00110BBC"/>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1098"/>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73926"/>
    <w:rsid w:val="0059250D"/>
    <w:rsid w:val="005925B8"/>
    <w:rsid w:val="0059485C"/>
    <w:rsid w:val="005F0E79"/>
    <w:rsid w:val="00602EE5"/>
    <w:rsid w:val="006137E4"/>
    <w:rsid w:val="00635BDA"/>
    <w:rsid w:val="00647601"/>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3</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32</cp:revision>
  <cp:lastPrinted>2019-03-26T11:11:00Z</cp:lastPrinted>
  <dcterms:created xsi:type="dcterms:W3CDTF">2021-09-13T07:38:00Z</dcterms:created>
  <dcterms:modified xsi:type="dcterms:W3CDTF">2026-06-17T14:09:00Z</dcterms:modified>
</cp:coreProperties>
</file>