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0124EE2"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244AB">
                              <w:rPr>
                                <w:rFonts w:ascii="Verdana" w:hAnsi="Verdana"/>
                                <w:b/>
                                <w:sz w:val="22"/>
                                <w:szCs w:val="22"/>
                              </w:rPr>
                              <w:t>26-F-009</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A08BC">
                              <w:rPr>
                                <w:rFonts w:ascii="Verdana" w:hAnsi="Verdana"/>
                                <w:b/>
                                <w:noProof/>
                                <w:sz w:val="22"/>
                                <w:szCs w:val="22"/>
                              </w:rPr>
                              <w:t>19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0124EE2"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244AB">
                        <w:rPr>
                          <w:rFonts w:ascii="Verdana" w:hAnsi="Verdana"/>
                          <w:b/>
                          <w:sz w:val="22"/>
                          <w:szCs w:val="22"/>
                        </w:rPr>
                        <w:t>26-F-009</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A08BC">
                        <w:rPr>
                          <w:rFonts w:ascii="Verdana" w:hAnsi="Verdana"/>
                          <w:b/>
                          <w:noProof/>
                          <w:sz w:val="22"/>
                          <w:szCs w:val="22"/>
                        </w:rPr>
                        <w:t>19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517B25A1"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069D3EFA" w14:textId="77777777" w:rsidR="00853BA6" w:rsidRDefault="00853BA6" w:rsidP="00853BA6">
      <w:pPr>
        <w:spacing w:before="280"/>
        <w:rPr>
          <w:rFonts w:ascii="Verdana" w:hAnsi="Verdana"/>
          <w:sz w:val="22"/>
        </w:rPr>
      </w:pPr>
      <w:r>
        <w:rPr>
          <w:rFonts w:ascii="Verdana" w:hAnsi="Verdana"/>
          <w:sz w:val="22"/>
        </w:rPr>
        <w:t>Please note that this information reflects the period March-May 2026.</w:t>
      </w:r>
    </w:p>
    <w:p w14:paraId="635CAE49" w14:textId="39838BF6" w:rsidR="00DC0D5A" w:rsidRPr="00853BA6" w:rsidRDefault="00A10460" w:rsidP="00853BA6">
      <w:pPr>
        <w:spacing w:before="280"/>
        <w:rPr>
          <w:rFonts w:ascii="Verdana" w:hAnsi="Verdana"/>
          <w:sz w:val="22"/>
        </w:rPr>
      </w:pPr>
      <w:r w:rsidRPr="00A10460">
        <w:rPr>
          <w:rFonts w:ascii="Verdana" w:hAnsi="Verdana"/>
          <w:sz w:val="22"/>
        </w:rPr>
        <w:br/>
      </w:r>
      <w:r w:rsidR="00A115C7" w:rsidRPr="00EA57D4">
        <w:rPr>
          <w:rFonts w:ascii="Verdana" w:hAnsi="Verdana"/>
          <w:bCs/>
          <w:sz w:val="22"/>
          <w:u w:val="single"/>
        </w:rPr>
        <w:t>Request and response:</w:t>
      </w:r>
    </w:p>
    <w:p w14:paraId="536C4F45" w14:textId="77777777" w:rsidR="007207B7" w:rsidRPr="007207B7" w:rsidRDefault="007207B7" w:rsidP="007207B7">
      <w:pPr>
        <w:rPr>
          <w:rFonts w:ascii="Verdana" w:hAnsi="Verdana"/>
          <w:b/>
          <w:bCs/>
          <w:noProof/>
          <w:sz w:val="22"/>
          <w:szCs w:val="22"/>
        </w:rPr>
      </w:pPr>
      <w:r w:rsidRPr="007207B7">
        <w:rPr>
          <w:rFonts w:ascii="Verdana" w:hAnsi="Verdana"/>
          <w:b/>
          <w:bCs/>
          <w:noProof/>
          <w:sz w:val="22"/>
          <w:szCs w:val="22"/>
        </w:rPr>
        <w:t>Q1. How many patients have been treated for breast cancer (any stage) in the past 3 months with the following systemic anti-cancer therapies:</w:t>
      </w:r>
    </w:p>
    <w:p w14:paraId="4E382900" w14:textId="6107EA36"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Abemaciclib + Aromatase Inhibitor (e.g. anastrazole, exemestane, letrozole)</w:t>
      </w:r>
      <w:r w:rsidR="00EB41D0">
        <w:rPr>
          <w:rFonts w:ascii="Verdana" w:hAnsi="Verdana"/>
          <w:b/>
          <w:bCs/>
          <w:noProof/>
          <w:sz w:val="22"/>
          <w:szCs w:val="22"/>
        </w:rPr>
        <w:tab/>
      </w:r>
      <w:r w:rsidR="00EB41D0">
        <w:rPr>
          <w:rFonts w:ascii="Verdana" w:hAnsi="Verdana"/>
          <w:noProof/>
          <w:sz w:val="22"/>
          <w:szCs w:val="22"/>
        </w:rPr>
        <w:t>35</w:t>
      </w:r>
    </w:p>
    <w:p w14:paraId="5B89C3A2" w14:textId="5170DFB8"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Abemaciclib + Fulvestrant</w:t>
      </w:r>
      <w:r w:rsidR="00EB41D0">
        <w:rPr>
          <w:rFonts w:ascii="Verdana" w:hAnsi="Verdana"/>
          <w:b/>
          <w:bCs/>
          <w:noProof/>
          <w:sz w:val="22"/>
          <w:szCs w:val="22"/>
        </w:rPr>
        <w:tab/>
      </w:r>
      <w:r w:rsidR="00EB41D0">
        <w:rPr>
          <w:rFonts w:ascii="Verdana" w:hAnsi="Verdana"/>
          <w:b/>
          <w:bCs/>
          <w:noProof/>
          <w:sz w:val="22"/>
          <w:szCs w:val="22"/>
        </w:rPr>
        <w:tab/>
      </w:r>
      <w:r w:rsidR="00EB41D0" w:rsidRPr="00EB41D0">
        <w:rPr>
          <w:rFonts w:ascii="Verdana" w:hAnsi="Verdana"/>
          <w:noProof/>
          <w:sz w:val="22"/>
          <w:szCs w:val="22"/>
        </w:rPr>
        <w:t>&lt;5*</w:t>
      </w:r>
    </w:p>
    <w:p w14:paraId="4F230780" w14:textId="72437DEB"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Alpelisib + Fulvestrant</w:t>
      </w:r>
      <w:r w:rsidR="00EB41D0">
        <w:rPr>
          <w:rFonts w:ascii="Verdana" w:hAnsi="Verdana"/>
          <w:b/>
          <w:bCs/>
          <w:noProof/>
          <w:sz w:val="22"/>
          <w:szCs w:val="22"/>
        </w:rPr>
        <w:tab/>
      </w:r>
      <w:r w:rsidR="00EB41D0" w:rsidRPr="00EB41D0">
        <w:rPr>
          <w:rFonts w:ascii="Verdana" w:hAnsi="Verdana"/>
          <w:noProof/>
          <w:sz w:val="22"/>
          <w:szCs w:val="22"/>
        </w:rPr>
        <w:t>&lt;5*</w:t>
      </w:r>
    </w:p>
    <w:p w14:paraId="0DE397B0" w14:textId="74E938A6"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Anthracycline (e.g. doxorubicin or epirubicin) + Cyclophosphamide only</w:t>
      </w:r>
      <w:r w:rsidR="00EB41D0">
        <w:rPr>
          <w:rFonts w:ascii="Verdana" w:hAnsi="Verdana"/>
          <w:b/>
          <w:bCs/>
          <w:noProof/>
          <w:sz w:val="22"/>
          <w:szCs w:val="22"/>
        </w:rPr>
        <w:tab/>
      </w:r>
      <w:r w:rsidR="00EB41D0" w:rsidRPr="00EB41D0">
        <w:rPr>
          <w:rFonts w:ascii="Verdana" w:hAnsi="Verdana"/>
          <w:noProof/>
          <w:sz w:val="22"/>
          <w:szCs w:val="22"/>
        </w:rPr>
        <w:t>20</w:t>
      </w:r>
    </w:p>
    <w:p w14:paraId="6F3EFAC6" w14:textId="56E8785F"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Anthracycline (e.g. doxorubicin or epirubicin) + Cyclophosphamide + Paclitaxel</w:t>
      </w:r>
      <w:r w:rsidR="00EB41D0">
        <w:rPr>
          <w:rFonts w:ascii="Verdana" w:hAnsi="Verdana"/>
          <w:noProof/>
          <w:sz w:val="22"/>
          <w:szCs w:val="22"/>
        </w:rPr>
        <w:tab/>
        <w:t>6</w:t>
      </w:r>
    </w:p>
    <w:p w14:paraId="5E2774D7" w14:textId="5FF4519D"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Atezolizumab</w:t>
      </w:r>
      <w:r w:rsidR="00EB41D0">
        <w:rPr>
          <w:rFonts w:ascii="Verdana" w:hAnsi="Verdana"/>
          <w:b/>
          <w:bCs/>
          <w:noProof/>
          <w:sz w:val="22"/>
          <w:szCs w:val="22"/>
        </w:rPr>
        <w:tab/>
      </w:r>
      <w:r w:rsidR="00EB41D0">
        <w:rPr>
          <w:rFonts w:ascii="Verdana" w:hAnsi="Verdana"/>
          <w:noProof/>
          <w:sz w:val="22"/>
          <w:szCs w:val="22"/>
        </w:rPr>
        <w:t>0</w:t>
      </w:r>
    </w:p>
    <w:p w14:paraId="2ABA4023" w14:textId="3AEBDDAF"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Capivasertib</w:t>
      </w:r>
      <w:r w:rsidR="00EB41D0">
        <w:rPr>
          <w:rFonts w:ascii="Verdana" w:hAnsi="Verdana"/>
          <w:b/>
          <w:bCs/>
          <w:noProof/>
          <w:sz w:val="22"/>
          <w:szCs w:val="22"/>
        </w:rPr>
        <w:tab/>
      </w:r>
      <w:r w:rsidR="00EB41D0" w:rsidRPr="00EB41D0">
        <w:rPr>
          <w:rFonts w:ascii="Verdana" w:hAnsi="Verdana"/>
          <w:noProof/>
          <w:sz w:val="22"/>
          <w:szCs w:val="22"/>
        </w:rPr>
        <w:t>&lt;5*</w:t>
      </w:r>
    </w:p>
    <w:p w14:paraId="463B44FF" w14:textId="081BBDA1"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Capecitabine as a single agent</w:t>
      </w:r>
      <w:r w:rsidR="00EB41D0">
        <w:rPr>
          <w:rFonts w:ascii="Verdana" w:hAnsi="Verdana"/>
          <w:b/>
          <w:bCs/>
          <w:noProof/>
          <w:sz w:val="22"/>
          <w:szCs w:val="22"/>
        </w:rPr>
        <w:tab/>
      </w:r>
      <w:r w:rsidR="00EB41D0">
        <w:rPr>
          <w:rFonts w:ascii="Verdana" w:hAnsi="Verdana"/>
          <w:noProof/>
          <w:sz w:val="22"/>
          <w:szCs w:val="22"/>
        </w:rPr>
        <w:t>9</w:t>
      </w:r>
    </w:p>
    <w:p w14:paraId="6AD2D302" w14:textId="4D203FC7"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Carboplatin + Paclitaxel</w:t>
      </w:r>
      <w:r w:rsidR="00EB41D0">
        <w:rPr>
          <w:rFonts w:ascii="Verdana" w:hAnsi="Verdana"/>
          <w:b/>
          <w:bCs/>
          <w:noProof/>
          <w:sz w:val="22"/>
          <w:szCs w:val="22"/>
        </w:rPr>
        <w:tab/>
      </w:r>
      <w:r w:rsidR="00EB41D0">
        <w:rPr>
          <w:rFonts w:ascii="Verdana" w:hAnsi="Verdana"/>
          <w:noProof/>
          <w:sz w:val="22"/>
          <w:szCs w:val="22"/>
        </w:rPr>
        <w:t>5</w:t>
      </w:r>
    </w:p>
    <w:p w14:paraId="34F5F4E7" w14:textId="2478E31A"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Elacestrant</w:t>
      </w:r>
      <w:r w:rsidR="00EB41D0">
        <w:rPr>
          <w:rFonts w:ascii="Verdana" w:hAnsi="Verdana"/>
          <w:b/>
          <w:bCs/>
          <w:noProof/>
          <w:sz w:val="22"/>
          <w:szCs w:val="22"/>
        </w:rPr>
        <w:tab/>
      </w:r>
      <w:r w:rsidR="009D1314">
        <w:rPr>
          <w:rFonts w:ascii="Verdana" w:hAnsi="Verdana"/>
          <w:b/>
          <w:bCs/>
          <w:noProof/>
          <w:sz w:val="22"/>
          <w:szCs w:val="22"/>
        </w:rPr>
        <w:tab/>
      </w:r>
      <w:r w:rsidR="00EB41D0" w:rsidRPr="00EB41D0">
        <w:rPr>
          <w:rFonts w:ascii="Verdana" w:hAnsi="Verdana"/>
          <w:noProof/>
          <w:sz w:val="22"/>
          <w:szCs w:val="22"/>
        </w:rPr>
        <w:t>&lt;5*</w:t>
      </w:r>
    </w:p>
    <w:p w14:paraId="5AC12173" w14:textId="0784D5C5"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Eribulin as a single agent or in combination</w:t>
      </w:r>
      <w:r w:rsidR="009D1314">
        <w:rPr>
          <w:rFonts w:ascii="Verdana" w:hAnsi="Verdana"/>
          <w:b/>
          <w:bCs/>
          <w:noProof/>
          <w:sz w:val="22"/>
          <w:szCs w:val="22"/>
        </w:rPr>
        <w:tab/>
      </w:r>
      <w:r w:rsidR="009D1314" w:rsidRPr="00EB41D0">
        <w:rPr>
          <w:rFonts w:ascii="Verdana" w:hAnsi="Verdana"/>
          <w:noProof/>
          <w:sz w:val="22"/>
          <w:szCs w:val="22"/>
        </w:rPr>
        <w:t>&lt;5*</w:t>
      </w:r>
    </w:p>
    <w:p w14:paraId="3E2D2952" w14:textId="4545DED0"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Everolimus + Exemestane</w:t>
      </w:r>
      <w:r w:rsidR="009D1314">
        <w:rPr>
          <w:rFonts w:ascii="Verdana" w:hAnsi="Verdana"/>
          <w:b/>
          <w:bCs/>
          <w:noProof/>
          <w:sz w:val="22"/>
          <w:szCs w:val="22"/>
        </w:rPr>
        <w:tab/>
      </w:r>
      <w:r w:rsidR="009D1314">
        <w:rPr>
          <w:rFonts w:ascii="Verdana" w:hAnsi="Verdana"/>
          <w:b/>
          <w:bCs/>
          <w:noProof/>
          <w:sz w:val="22"/>
          <w:szCs w:val="22"/>
        </w:rPr>
        <w:tab/>
      </w:r>
      <w:r w:rsidR="009D1314">
        <w:rPr>
          <w:rFonts w:ascii="Verdana" w:hAnsi="Verdana"/>
          <w:noProof/>
          <w:sz w:val="22"/>
          <w:szCs w:val="22"/>
        </w:rPr>
        <w:t>0</w:t>
      </w:r>
    </w:p>
    <w:p w14:paraId="659701E2" w14:textId="76CFFF0F"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Fulvestrant as a single agent</w:t>
      </w:r>
      <w:r w:rsidR="009D1314">
        <w:rPr>
          <w:rFonts w:ascii="Verdana" w:hAnsi="Verdana"/>
          <w:noProof/>
          <w:sz w:val="22"/>
          <w:szCs w:val="22"/>
        </w:rPr>
        <w:tab/>
      </w:r>
      <w:r w:rsidR="009D1314">
        <w:rPr>
          <w:rFonts w:ascii="Verdana" w:hAnsi="Verdana"/>
          <w:noProof/>
          <w:sz w:val="22"/>
          <w:szCs w:val="22"/>
        </w:rPr>
        <w:tab/>
        <w:t>22</w:t>
      </w:r>
    </w:p>
    <w:p w14:paraId="6D3025CC" w14:textId="23516BF9"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Palbociclib + Aromatase Inhibitor (e.g. anastrazole, exemestane, letrozole)</w:t>
      </w:r>
      <w:r w:rsidR="009D1314">
        <w:rPr>
          <w:rFonts w:ascii="Verdana" w:hAnsi="Verdana"/>
          <w:noProof/>
          <w:sz w:val="22"/>
          <w:szCs w:val="22"/>
        </w:rPr>
        <w:tab/>
        <w:t>33</w:t>
      </w:r>
    </w:p>
    <w:p w14:paraId="6B26F61F" w14:textId="1540D66C"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Palbociclib + Fulvestrant</w:t>
      </w:r>
      <w:r w:rsidR="009D1314">
        <w:rPr>
          <w:rFonts w:ascii="Verdana" w:hAnsi="Verdana"/>
          <w:b/>
          <w:bCs/>
          <w:noProof/>
          <w:sz w:val="22"/>
          <w:szCs w:val="22"/>
        </w:rPr>
        <w:tab/>
      </w:r>
      <w:r w:rsidR="009D1314" w:rsidRPr="009D1314">
        <w:rPr>
          <w:rFonts w:ascii="Verdana" w:hAnsi="Verdana"/>
          <w:noProof/>
          <w:sz w:val="22"/>
          <w:szCs w:val="22"/>
        </w:rPr>
        <w:t>7</w:t>
      </w:r>
    </w:p>
    <w:p w14:paraId="50BCFC92" w14:textId="1CABB8D1"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Parp Inhibitors (Olaparib/Talazoparib)</w:t>
      </w:r>
      <w:r w:rsidR="009D1314" w:rsidRPr="009D1314">
        <w:rPr>
          <w:rFonts w:ascii="Verdana" w:hAnsi="Verdana"/>
          <w:b/>
          <w:bCs/>
          <w:noProof/>
          <w:sz w:val="22"/>
          <w:szCs w:val="22"/>
        </w:rPr>
        <w:t xml:space="preserve"> </w:t>
      </w:r>
      <w:r w:rsidR="009D1314">
        <w:rPr>
          <w:rFonts w:ascii="Verdana" w:hAnsi="Verdana"/>
          <w:b/>
          <w:bCs/>
          <w:noProof/>
          <w:sz w:val="22"/>
          <w:szCs w:val="22"/>
        </w:rPr>
        <w:tab/>
      </w:r>
      <w:r w:rsidR="009D1314" w:rsidRPr="00EB41D0">
        <w:rPr>
          <w:rFonts w:ascii="Verdana" w:hAnsi="Verdana"/>
          <w:noProof/>
          <w:sz w:val="22"/>
          <w:szCs w:val="22"/>
        </w:rPr>
        <w:t>&lt;5*</w:t>
      </w:r>
    </w:p>
    <w:p w14:paraId="7D3249DF" w14:textId="7060A836"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Pembrolizumab Monotherapy</w:t>
      </w:r>
      <w:r w:rsidR="009D1314">
        <w:rPr>
          <w:rFonts w:ascii="Verdana" w:hAnsi="Verdana"/>
          <w:b/>
          <w:bCs/>
          <w:noProof/>
          <w:sz w:val="22"/>
          <w:szCs w:val="22"/>
        </w:rPr>
        <w:tab/>
      </w:r>
      <w:r w:rsidR="009D1314">
        <w:rPr>
          <w:rFonts w:ascii="Verdana" w:hAnsi="Verdana"/>
          <w:noProof/>
          <w:sz w:val="22"/>
          <w:szCs w:val="22"/>
        </w:rPr>
        <w:t>13</w:t>
      </w:r>
    </w:p>
    <w:p w14:paraId="0D48F23E" w14:textId="43DD70C9"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Pembrolizumab + Anthracycline (e.g. doxorubicin or epirubicin) + Cyclophosphamide</w:t>
      </w:r>
      <w:r w:rsidR="009D1314">
        <w:rPr>
          <w:rFonts w:ascii="Verdana" w:hAnsi="Verdana"/>
          <w:b/>
          <w:bCs/>
          <w:noProof/>
          <w:sz w:val="22"/>
          <w:szCs w:val="22"/>
        </w:rPr>
        <w:tab/>
      </w:r>
      <w:r w:rsidR="009D1314">
        <w:rPr>
          <w:rFonts w:ascii="Verdana" w:hAnsi="Verdana"/>
          <w:noProof/>
          <w:sz w:val="22"/>
          <w:szCs w:val="22"/>
        </w:rPr>
        <w:t>18</w:t>
      </w:r>
    </w:p>
    <w:p w14:paraId="4281DC4F" w14:textId="30DBBDF0"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Carboplatin + Paclitaxel + Pembrolizumab</w:t>
      </w:r>
      <w:r w:rsidR="009D1314">
        <w:rPr>
          <w:rFonts w:ascii="Verdana" w:hAnsi="Verdana"/>
          <w:b/>
          <w:bCs/>
          <w:noProof/>
          <w:sz w:val="22"/>
          <w:szCs w:val="22"/>
        </w:rPr>
        <w:tab/>
      </w:r>
      <w:r w:rsidR="009D1314" w:rsidRPr="009D1314">
        <w:rPr>
          <w:rFonts w:ascii="Verdana" w:hAnsi="Verdana"/>
          <w:noProof/>
          <w:sz w:val="22"/>
          <w:szCs w:val="22"/>
        </w:rPr>
        <w:t>5</w:t>
      </w:r>
    </w:p>
    <w:p w14:paraId="0AEDADDA" w14:textId="4CC59274"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Pertuzumab (Perjeta) + Trastuzumab (Herceptin)</w:t>
      </w:r>
      <w:r w:rsidR="009D1314" w:rsidRPr="009D1314">
        <w:rPr>
          <w:rFonts w:ascii="Verdana" w:hAnsi="Verdana"/>
          <w:b/>
          <w:bCs/>
          <w:noProof/>
          <w:sz w:val="22"/>
          <w:szCs w:val="22"/>
        </w:rPr>
        <w:t xml:space="preserve"> </w:t>
      </w:r>
      <w:r w:rsidR="009D1314">
        <w:rPr>
          <w:rFonts w:ascii="Verdana" w:hAnsi="Verdana"/>
          <w:b/>
          <w:bCs/>
          <w:noProof/>
          <w:sz w:val="22"/>
          <w:szCs w:val="22"/>
        </w:rPr>
        <w:tab/>
      </w:r>
      <w:r w:rsidR="009D1314" w:rsidRPr="00EB41D0">
        <w:rPr>
          <w:rFonts w:ascii="Verdana" w:hAnsi="Verdana"/>
          <w:noProof/>
          <w:sz w:val="22"/>
          <w:szCs w:val="22"/>
        </w:rPr>
        <w:t>&lt;5*</w:t>
      </w:r>
    </w:p>
    <w:p w14:paraId="5B332DEE" w14:textId="7D86C780"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Phesgo (Pertuzumab + Trastuzumab in a single injection)</w:t>
      </w:r>
      <w:r w:rsidR="009D1314">
        <w:rPr>
          <w:rFonts w:ascii="Verdana" w:hAnsi="Verdana"/>
          <w:noProof/>
          <w:sz w:val="22"/>
          <w:szCs w:val="22"/>
        </w:rPr>
        <w:tab/>
        <w:t>42</w:t>
      </w:r>
    </w:p>
    <w:p w14:paraId="5575E3F8" w14:textId="797D5C19"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Ribociclib + Aromatase Inhibitor (e.g. anastrazole, exemestane, letrozole)</w:t>
      </w:r>
      <w:r w:rsidR="009D1314">
        <w:rPr>
          <w:rFonts w:ascii="Verdana" w:hAnsi="Verdana"/>
          <w:noProof/>
          <w:sz w:val="22"/>
          <w:szCs w:val="22"/>
        </w:rPr>
        <w:tab/>
        <w:t>41</w:t>
      </w:r>
    </w:p>
    <w:p w14:paraId="26B77923" w14:textId="59432D75"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Ribociclib + Fulvestrant</w:t>
      </w:r>
      <w:r w:rsidR="009D1314">
        <w:rPr>
          <w:rFonts w:ascii="Verdana" w:hAnsi="Verdana"/>
          <w:b/>
          <w:bCs/>
          <w:noProof/>
          <w:sz w:val="22"/>
          <w:szCs w:val="22"/>
        </w:rPr>
        <w:tab/>
      </w:r>
      <w:r w:rsidR="009D1314" w:rsidRPr="00EB41D0">
        <w:rPr>
          <w:rFonts w:ascii="Verdana" w:hAnsi="Verdana"/>
          <w:noProof/>
          <w:sz w:val="22"/>
          <w:szCs w:val="22"/>
        </w:rPr>
        <w:t>&lt;5*</w:t>
      </w:r>
    </w:p>
    <w:p w14:paraId="67AEF799" w14:textId="0C3882D8"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Sacituzumab Govitecan</w:t>
      </w:r>
      <w:r w:rsidR="009D1314">
        <w:rPr>
          <w:rFonts w:ascii="Verdana" w:hAnsi="Verdana"/>
          <w:noProof/>
          <w:sz w:val="22"/>
          <w:szCs w:val="22"/>
        </w:rPr>
        <w:tab/>
        <w:t>0</w:t>
      </w:r>
    </w:p>
    <w:p w14:paraId="3E5D9827" w14:textId="0D276278"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lastRenderedPageBreak/>
        <w:t>Taxane (e.g. docetaxel, paclitaxel, nab-paclitaxel) as a single agent </w:t>
      </w:r>
      <w:r w:rsidR="009D1314">
        <w:rPr>
          <w:rFonts w:ascii="Verdana" w:hAnsi="Verdana"/>
          <w:b/>
          <w:bCs/>
          <w:noProof/>
          <w:sz w:val="22"/>
          <w:szCs w:val="22"/>
        </w:rPr>
        <w:tab/>
      </w:r>
      <w:r w:rsidR="009D1314">
        <w:rPr>
          <w:rFonts w:ascii="Verdana" w:hAnsi="Verdana"/>
          <w:noProof/>
          <w:sz w:val="22"/>
          <w:szCs w:val="22"/>
        </w:rPr>
        <w:t>25</w:t>
      </w:r>
    </w:p>
    <w:p w14:paraId="27A2D567" w14:textId="0ACAEE51"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Trastuzumab deruxtecan (Enhertu)</w:t>
      </w:r>
      <w:r w:rsidR="009D1314">
        <w:rPr>
          <w:rFonts w:ascii="Verdana" w:hAnsi="Verdana"/>
          <w:b/>
          <w:bCs/>
          <w:noProof/>
          <w:sz w:val="22"/>
          <w:szCs w:val="22"/>
        </w:rPr>
        <w:tab/>
      </w:r>
      <w:r w:rsidR="009D1314">
        <w:rPr>
          <w:rFonts w:ascii="Verdana" w:hAnsi="Verdana"/>
          <w:noProof/>
          <w:sz w:val="22"/>
          <w:szCs w:val="22"/>
        </w:rPr>
        <w:t>7</w:t>
      </w:r>
    </w:p>
    <w:p w14:paraId="2CE1A3F7" w14:textId="502E3125"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Trastuzumab (Herceptin) as a single agent or in combination with Paclitaxel</w:t>
      </w:r>
      <w:r w:rsidR="009D1314">
        <w:rPr>
          <w:rFonts w:ascii="Verdana" w:hAnsi="Verdana"/>
          <w:b/>
          <w:bCs/>
          <w:noProof/>
          <w:sz w:val="22"/>
          <w:szCs w:val="22"/>
        </w:rPr>
        <w:tab/>
      </w:r>
      <w:r w:rsidR="009D1314">
        <w:rPr>
          <w:rFonts w:ascii="Verdana" w:hAnsi="Verdana"/>
          <w:noProof/>
          <w:sz w:val="22"/>
          <w:szCs w:val="22"/>
        </w:rPr>
        <w:t>21</w:t>
      </w:r>
    </w:p>
    <w:p w14:paraId="675C0282" w14:textId="73F2A3C7"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Trastuzumab emtansine (Kadcyla)</w:t>
      </w:r>
      <w:r w:rsidR="009D1314">
        <w:rPr>
          <w:rFonts w:ascii="Verdana" w:hAnsi="Verdana"/>
          <w:noProof/>
          <w:sz w:val="22"/>
          <w:szCs w:val="22"/>
        </w:rPr>
        <w:tab/>
        <w:t>10</w:t>
      </w:r>
    </w:p>
    <w:p w14:paraId="4FD935E1" w14:textId="100CED68"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Any other active systemic anti-cancer therapy</w:t>
      </w:r>
      <w:r w:rsidR="009D1314">
        <w:rPr>
          <w:rFonts w:ascii="Verdana" w:hAnsi="Verdana"/>
          <w:noProof/>
          <w:sz w:val="22"/>
          <w:szCs w:val="22"/>
        </w:rPr>
        <w:tab/>
        <w:t>13</w:t>
      </w:r>
    </w:p>
    <w:p w14:paraId="5AF4CDDB" w14:textId="20A58064" w:rsidR="007207B7" w:rsidRPr="007207B7" w:rsidRDefault="007207B7" w:rsidP="0066358C">
      <w:pPr>
        <w:pStyle w:val="ListParagraph"/>
        <w:numPr>
          <w:ilvl w:val="0"/>
          <w:numId w:val="23"/>
        </w:numPr>
        <w:rPr>
          <w:rFonts w:ascii="Verdana" w:hAnsi="Verdana"/>
          <w:b/>
          <w:bCs/>
          <w:noProof/>
          <w:sz w:val="22"/>
          <w:szCs w:val="22"/>
        </w:rPr>
      </w:pPr>
      <w:r w:rsidRPr="007207B7">
        <w:rPr>
          <w:rFonts w:ascii="Verdana" w:hAnsi="Verdana"/>
          <w:b/>
          <w:bCs/>
          <w:noProof/>
          <w:sz w:val="22"/>
          <w:szCs w:val="22"/>
        </w:rPr>
        <w:t>Pembrolizumab subcutaneous injection</w:t>
      </w:r>
      <w:r w:rsidR="009D1314">
        <w:rPr>
          <w:rFonts w:ascii="Verdana" w:hAnsi="Verdana"/>
          <w:b/>
          <w:bCs/>
          <w:noProof/>
          <w:sz w:val="22"/>
          <w:szCs w:val="22"/>
        </w:rPr>
        <w:tab/>
      </w:r>
      <w:r w:rsidR="009D1314">
        <w:rPr>
          <w:rFonts w:ascii="Verdana" w:hAnsi="Verdana"/>
          <w:noProof/>
          <w:sz w:val="22"/>
          <w:szCs w:val="22"/>
        </w:rPr>
        <w:t>0</w:t>
      </w:r>
    </w:p>
    <w:p w14:paraId="1965998B" w14:textId="77777777" w:rsidR="007207B7" w:rsidRDefault="007207B7" w:rsidP="007207B7">
      <w:pPr>
        <w:rPr>
          <w:rFonts w:ascii="Verdana" w:hAnsi="Verdana"/>
          <w:b/>
          <w:bCs/>
          <w:noProof/>
          <w:sz w:val="22"/>
          <w:szCs w:val="22"/>
        </w:rPr>
      </w:pPr>
    </w:p>
    <w:p w14:paraId="7C8A3195" w14:textId="50A2CB4F" w:rsidR="007207B7" w:rsidRPr="007207B7" w:rsidRDefault="007207B7" w:rsidP="007207B7">
      <w:pPr>
        <w:rPr>
          <w:rFonts w:ascii="Verdana" w:hAnsi="Verdana"/>
          <w:b/>
          <w:bCs/>
          <w:noProof/>
          <w:sz w:val="22"/>
          <w:szCs w:val="22"/>
        </w:rPr>
      </w:pPr>
      <w:r w:rsidRPr="007207B7">
        <w:rPr>
          <w:rFonts w:ascii="Verdana" w:hAnsi="Verdana"/>
          <w:b/>
          <w:bCs/>
          <w:noProof/>
          <w:sz w:val="22"/>
          <w:szCs w:val="22"/>
        </w:rPr>
        <w:t>Q2. In the past 3 months, how many patients have been treated with the following systemic anti-cancer therapies for breast cancer (please indicate whether they were treated for early or metastatic disease):</w:t>
      </w:r>
    </w:p>
    <w:tbl>
      <w:tblPr>
        <w:tblW w:w="9214" w:type="dxa"/>
        <w:tblInd w:w="567" w:type="dxa"/>
        <w:tblCellMar>
          <w:left w:w="0" w:type="dxa"/>
          <w:right w:w="0" w:type="dxa"/>
        </w:tblCellMar>
        <w:tblLook w:val="04A0" w:firstRow="1" w:lastRow="0" w:firstColumn="1" w:lastColumn="0" w:noHBand="0" w:noVBand="1"/>
      </w:tblPr>
      <w:tblGrid>
        <w:gridCol w:w="4820"/>
        <w:gridCol w:w="1417"/>
        <w:gridCol w:w="1418"/>
        <w:gridCol w:w="1559"/>
      </w:tblGrid>
      <w:tr w:rsidR="007207B7" w:rsidRPr="007207B7" w14:paraId="0C352F60" w14:textId="77777777" w:rsidTr="00853BA6">
        <w:trPr>
          <w:trHeight w:val="900"/>
        </w:trPr>
        <w:tc>
          <w:tcPr>
            <w:tcW w:w="4820" w:type="dxa"/>
            <w:tcMar>
              <w:top w:w="0" w:type="dxa"/>
              <w:left w:w="108" w:type="dxa"/>
              <w:bottom w:w="0" w:type="dxa"/>
              <w:right w:w="108" w:type="dxa"/>
            </w:tcMar>
            <w:hideMark/>
          </w:tcPr>
          <w:p w14:paraId="5C9D17F7" w14:textId="77777777" w:rsidR="007207B7" w:rsidRPr="007207B7" w:rsidRDefault="007207B7" w:rsidP="007207B7">
            <w:pPr>
              <w:spacing w:before="0" w:after="0"/>
              <w:ind w:left="0" w:right="0"/>
              <w:rPr>
                <w:rFonts w:ascii="Verdana" w:hAnsi="Verdana"/>
                <w:b/>
                <w:bCs/>
                <w:noProof/>
                <w:sz w:val="22"/>
                <w:szCs w:val="22"/>
              </w:rPr>
            </w:pPr>
          </w:p>
        </w:tc>
        <w:tc>
          <w:tcPr>
            <w:tcW w:w="1417" w:type="dxa"/>
            <w:tcBorders>
              <w:top w:val="single" w:sz="8" w:space="0" w:color="auto"/>
              <w:left w:val="single" w:sz="8" w:space="0" w:color="auto"/>
              <w:bottom w:val="nil"/>
              <w:right w:val="nil"/>
            </w:tcBorders>
            <w:shd w:val="clear" w:color="auto" w:fill="C0E6F5"/>
            <w:tcMar>
              <w:top w:w="0" w:type="dxa"/>
              <w:left w:w="108" w:type="dxa"/>
              <w:bottom w:w="0" w:type="dxa"/>
              <w:right w:w="108" w:type="dxa"/>
            </w:tcMar>
            <w:vAlign w:val="center"/>
            <w:hideMark/>
          </w:tcPr>
          <w:p w14:paraId="11AD3BDF" w14:textId="77777777" w:rsidR="007207B7" w:rsidRPr="00853BA6" w:rsidRDefault="007207B7" w:rsidP="00853BA6">
            <w:pPr>
              <w:spacing w:before="0" w:after="0"/>
              <w:ind w:left="0" w:right="0"/>
              <w:jc w:val="center"/>
              <w:rPr>
                <w:rFonts w:ascii="Verdana" w:hAnsi="Verdana"/>
                <w:b/>
                <w:bCs/>
                <w:noProof/>
                <w:sz w:val="20"/>
                <w:szCs w:val="20"/>
              </w:rPr>
            </w:pPr>
            <w:r w:rsidRPr="00853BA6">
              <w:rPr>
                <w:rFonts w:ascii="Verdana" w:hAnsi="Verdana"/>
                <w:b/>
                <w:bCs/>
                <w:noProof/>
                <w:sz w:val="20"/>
                <w:szCs w:val="20"/>
              </w:rPr>
              <w:t>Total Patients</w:t>
            </w:r>
          </w:p>
        </w:tc>
        <w:tc>
          <w:tcPr>
            <w:tcW w:w="1418" w:type="dxa"/>
            <w:tcBorders>
              <w:top w:val="single" w:sz="8" w:space="0" w:color="auto"/>
              <w:left w:val="single" w:sz="8" w:space="0" w:color="auto"/>
              <w:bottom w:val="single" w:sz="8" w:space="0" w:color="auto"/>
              <w:right w:val="single" w:sz="8" w:space="0" w:color="auto"/>
            </w:tcBorders>
            <w:shd w:val="clear" w:color="auto" w:fill="C0E6F5"/>
            <w:tcMar>
              <w:top w:w="0" w:type="dxa"/>
              <w:left w:w="108" w:type="dxa"/>
              <w:bottom w:w="0" w:type="dxa"/>
              <w:right w:w="108" w:type="dxa"/>
            </w:tcMar>
            <w:vAlign w:val="center"/>
            <w:hideMark/>
          </w:tcPr>
          <w:p w14:paraId="3DDE8505" w14:textId="77777777" w:rsidR="007207B7" w:rsidRPr="00853BA6" w:rsidRDefault="007207B7" w:rsidP="00853BA6">
            <w:pPr>
              <w:spacing w:before="0" w:after="0"/>
              <w:ind w:left="0" w:right="0"/>
              <w:jc w:val="center"/>
              <w:rPr>
                <w:rFonts w:ascii="Verdana" w:hAnsi="Verdana"/>
                <w:b/>
                <w:bCs/>
                <w:noProof/>
                <w:sz w:val="20"/>
                <w:szCs w:val="20"/>
              </w:rPr>
            </w:pPr>
            <w:r w:rsidRPr="00853BA6">
              <w:rPr>
                <w:rFonts w:ascii="Verdana" w:hAnsi="Verdana"/>
                <w:b/>
                <w:bCs/>
                <w:noProof/>
                <w:sz w:val="20"/>
                <w:szCs w:val="20"/>
              </w:rPr>
              <w:t>Early Patients</w:t>
            </w:r>
          </w:p>
        </w:tc>
        <w:tc>
          <w:tcPr>
            <w:tcW w:w="1559" w:type="dxa"/>
            <w:tcBorders>
              <w:top w:val="single" w:sz="8" w:space="0" w:color="auto"/>
              <w:left w:val="nil"/>
              <w:bottom w:val="nil"/>
              <w:right w:val="single" w:sz="8" w:space="0" w:color="auto"/>
            </w:tcBorders>
            <w:shd w:val="clear" w:color="auto" w:fill="C0E6F5"/>
            <w:tcMar>
              <w:top w:w="0" w:type="dxa"/>
              <w:left w:w="108" w:type="dxa"/>
              <w:bottom w:w="0" w:type="dxa"/>
              <w:right w:w="108" w:type="dxa"/>
            </w:tcMar>
            <w:vAlign w:val="center"/>
            <w:hideMark/>
          </w:tcPr>
          <w:p w14:paraId="1CA1F4B3" w14:textId="77777777" w:rsidR="007207B7" w:rsidRPr="00853BA6" w:rsidRDefault="007207B7" w:rsidP="00853BA6">
            <w:pPr>
              <w:spacing w:before="0" w:after="0"/>
              <w:ind w:left="0" w:right="0"/>
              <w:jc w:val="center"/>
              <w:rPr>
                <w:rFonts w:ascii="Verdana" w:hAnsi="Verdana"/>
                <w:b/>
                <w:bCs/>
                <w:noProof/>
                <w:sz w:val="20"/>
                <w:szCs w:val="20"/>
              </w:rPr>
            </w:pPr>
            <w:r w:rsidRPr="00853BA6">
              <w:rPr>
                <w:rFonts w:ascii="Verdana" w:hAnsi="Verdana"/>
                <w:b/>
                <w:bCs/>
                <w:noProof/>
                <w:sz w:val="20"/>
                <w:szCs w:val="20"/>
              </w:rPr>
              <w:t>Metastatic Patients</w:t>
            </w:r>
          </w:p>
        </w:tc>
      </w:tr>
      <w:tr w:rsidR="009D1314" w:rsidRPr="007207B7" w14:paraId="18FCDB22" w14:textId="77777777" w:rsidTr="00853BA6">
        <w:trPr>
          <w:trHeight w:val="285"/>
        </w:trPr>
        <w:tc>
          <w:tcPr>
            <w:tcW w:w="4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674020" w14:textId="77777777" w:rsidR="009D1314" w:rsidRPr="007207B7" w:rsidRDefault="009D1314" w:rsidP="009D1314">
            <w:pPr>
              <w:spacing w:before="0" w:after="0"/>
              <w:ind w:left="0" w:right="0"/>
              <w:rPr>
                <w:rFonts w:ascii="Verdana" w:hAnsi="Verdana"/>
                <w:b/>
                <w:bCs/>
                <w:noProof/>
                <w:sz w:val="22"/>
                <w:szCs w:val="22"/>
              </w:rPr>
            </w:pPr>
            <w:r w:rsidRPr="007207B7">
              <w:rPr>
                <w:rFonts w:ascii="Verdana" w:hAnsi="Verdana"/>
                <w:b/>
                <w:bCs/>
                <w:noProof/>
                <w:sz w:val="22"/>
                <w:szCs w:val="22"/>
              </w:rPr>
              <w:t>Phesgo (Pertuzumab + Trastuzumab in a single injection)</w:t>
            </w:r>
          </w:p>
        </w:tc>
        <w:tc>
          <w:tcPr>
            <w:tcW w:w="1417" w:type="dxa"/>
            <w:tcBorders>
              <w:top w:val="single" w:sz="8" w:space="0" w:color="auto"/>
              <w:left w:val="nil"/>
              <w:bottom w:val="single" w:sz="8" w:space="0" w:color="auto"/>
              <w:right w:val="nil"/>
            </w:tcBorders>
            <w:noWrap/>
            <w:tcMar>
              <w:top w:w="0" w:type="dxa"/>
              <w:left w:w="108" w:type="dxa"/>
              <w:bottom w:w="0" w:type="dxa"/>
              <w:right w:w="108" w:type="dxa"/>
            </w:tcMar>
            <w:vAlign w:val="center"/>
            <w:hideMark/>
          </w:tcPr>
          <w:p w14:paraId="67140C0D" w14:textId="51EA4576"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41</w:t>
            </w:r>
          </w:p>
        </w:tc>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71F3574" w14:textId="2377A9E5"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21</w:t>
            </w:r>
          </w:p>
        </w:tc>
        <w:tc>
          <w:tcPr>
            <w:tcW w:w="155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35257BD" w14:textId="40BD6A7E"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20</w:t>
            </w:r>
          </w:p>
        </w:tc>
      </w:tr>
      <w:tr w:rsidR="009D1314" w:rsidRPr="007207B7" w14:paraId="538B1FFE" w14:textId="77777777" w:rsidTr="00853BA6">
        <w:trPr>
          <w:trHeight w:val="285"/>
        </w:trPr>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6F694A" w14:textId="77777777" w:rsidR="009D1314" w:rsidRPr="007207B7" w:rsidRDefault="009D1314" w:rsidP="009D1314">
            <w:pPr>
              <w:spacing w:before="0" w:after="0"/>
              <w:ind w:left="0" w:right="0"/>
              <w:rPr>
                <w:rFonts w:ascii="Verdana" w:hAnsi="Verdana"/>
                <w:b/>
                <w:bCs/>
                <w:noProof/>
                <w:sz w:val="22"/>
                <w:szCs w:val="22"/>
              </w:rPr>
            </w:pPr>
            <w:r w:rsidRPr="007207B7">
              <w:rPr>
                <w:rFonts w:ascii="Verdana" w:hAnsi="Verdana"/>
                <w:b/>
                <w:bCs/>
                <w:noProof/>
                <w:sz w:val="22"/>
                <w:szCs w:val="22"/>
              </w:rPr>
              <w:t>Pertuzumab (Perjeta) + Trastuzumab (Herceptin)</w:t>
            </w:r>
          </w:p>
        </w:tc>
        <w:tc>
          <w:tcPr>
            <w:tcW w:w="1417" w:type="dxa"/>
            <w:tcBorders>
              <w:top w:val="nil"/>
              <w:left w:val="nil"/>
              <w:bottom w:val="single" w:sz="8" w:space="0" w:color="auto"/>
              <w:right w:val="nil"/>
            </w:tcBorders>
            <w:noWrap/>
            <w:tcMar>
              <w:top w:w="0" w:type="dxa"/>
              <w:left w:w="108" w:type="dxa"/>
              <w:bottom w:w="0" w:type="dxa"/>
              <w:right w:w="108" w:type="dxa"/>
            </w:tcMar>
            <w:vAlign w:val="center"/>
            <w:hideMark/>
          </w:tcPr>
          <w:p w14:paraId="48270FBA" w14:textId="1D1D5624"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&lt;5*</w:t>
            </w:r>
          </w:p>
        </w:tc>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D93363A" w14:textId="3DAB355F"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0</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39418E0" w14:textId="51E58DA4"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&lt;5*</w:t>
            </w:r>
          </w:p>
        </w:tc>
      </w:tr>
      <w:tr w:rsidR="009D1314" w:rsidRPr="007207B7" w14:paraId="203F95D2" w14:textId="77777777" w:rsidTr="00853BA6">
        <w:trPr>
          <w:trHeight w:val="570"/>
        </w:trPr>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572C37" w14:textId="77777777" w:rsidR="009D1314" w:rsidRPr="007207B7" w:rsidRDefault="009D1314" w:rsidP="009D1314">
            <w:pPr>
              <w:spacing w:before="0" w:after="0"/>
              <w:ind w:left="0" w:right="0"/>
              <w:rPr>
                <w:rFonts w:ascii="Verdana" w:hAnsi="Verdana"/>
                <w:b/>
                <w:bCs/>
                <w:noProof/>
                <w:sz w:val="22"/>
                <w:szCs w:val="22"/>
              </w:rPr>
            </w:pPr>
            <w:r w:rsidRPr="007207B7">
              <w:rPr>
                <w:rFonts w:ascii="Verdana" w:hAnsi="Verdana"/>
                <w:b/>
                <w:bCs/>
                <w:noProof/>
                <w:sz w:val="22"/>
                <w:szCs w:val="22"/>
              </w:rPr>
              <w:t>Trastuzumab (Herceptin) as a single agent or in combination with Paclitaxel</w:t>
            </w:r>
          </w:p>
        </w:tc>
        <w:tc>
          <w:tcPr>
            <w:tcW w:w="1417" w:type="dxa"/>
            <w:tcBorders>
              <w:top w:val="nil"/>
              <w:left w:val="nil"/>
              <w:bottom w:val="single" w:sz="8" w:space="0" w:color="auto"/>
              <w:right w:val="nil"/>
            </w:tcBorders>
            <w:noWrap/>
            <w:tcMar>
              <w:top w:w="0" w:type="dxa"/>
              <w:left w:w="108" w:type="dxa"/>
              <w:bottom w:w="0" w:type="dxa"/>
              <w:right w:w="108" w:type="dxa"/>
            </w:tcMar>
            <w:vAlign w:val="center"/>
            <w:hideMark/>
          </w:tcPr>
          <w:p w14:paraId="7A4804C1" w14:textId="6C2B4FEE"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21</w:t>
            </w:r>
          </w:p>
        </w:tc>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7EB6AF5" w14:textId="54A6562B"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14</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D7302CF" w14:textId="0C44A171"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6</w:t>
            </w:r>
          </w:p>
        </w:tc>
      </w:tr>
      <w:tr w:rsidR="009D1314" w:rsidRPr="007207B7" w14:paraId="52419E28" w14:textId="77777777" w:rsidTr="00853BA6">
        <w:trPr>
          <w:trHeight w:val="285"/>
        </w:trPr>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634BDE" w14:textId="77777777" w:rsidR="009D1314" w:rsidRPr="007207B7" w:rsidRDefault="009D1314" w:rsidP="009D1314">
            <w:pPr>
              <w:spacing w:before="0" w:after="0"/>
              <w:ind w:left="0" w:right="0"/>
              <w:rPr>
                <w:rFonts w:ascii="Verdana" w:hAnsi="Verdana"/>
                <w:b/>
                <w:bCs/>
                <w:noProof/>
                <w:sz w:val="22"/>
                <w:szCs w:val="22"/>
              </w:rPr>
            </w:pPr>
            <w:r w:rsidRPr="007207B7">
              <w:rPr>
                <w:rFonts w:ascii="Verdana" w:hAnsi="Verdana"/>
                <w:b/>
                <w:bCs/>
                <w:noProof/>
                <w:sz w:val="22"/>
                <w:szCs w:val="22"/>
              </w:rPr>
              <w:t>Trastuzumab deruxtecan (Enhertu)</w:t>
            </w:r>
          </w:p>
        </w:tc>
        <w:tc>
          <w:tcPr>
            <w:tcW w:w="1417" w:type="dxa"/>
            <w:tcBorders>
              <w:top w:val="nil"/>
              <w:left w:val="nil"/>
              <w:bottom w:val="single" w:sz="8" w:space="0" w:color="auto"/>
              <w:right w:val="nil"/>
            </w:tcBorders>
            <w:noWrap/>
            <w:tcMar>
              <w:top w:w="0" w:type="dxa"/>
              <w:left w:w="108" w:type="dxa"/>
              <w:bottom w:w="0" w:type="dxa"/>
              <w:right w:w="108" w:type="dxa"/>
            </w:tcMar>
            <w:vAlign w:val="center"/>
            <w:hideMark/>
          </w:tcPr>
          <w:p w14:paraId="76624E6D" w14:textId="3FF21C28"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7</w:t>
            </w:r>
          </w:p>
        </w:tc>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4679014" w14:textId="462EF589"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0</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40F1913" w14:textId="128E5BCB"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7</w:t>
            </w:r>
          </w:p>
        </w:tc>
      </w:tr>
      <w:tr w:rsidR="009D1314" w:rsidRPr="007207B7" w14:paraId="5E625AD4" w14:textId="77777777" w:rsidTr="00853BA6">
        <w:trPr>
          <w:trHeight w:val="285"/>
        </w:trPr>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5D3D79" w14:textId="77777777" w:rsidR="009D1314" w:rsidRPr="007207B7" w:rsidRDefault="009D1314" w:rsidP="009D1314">
            <w:pPr>
              <w:spacing w:before="0" w:after="0"/>
              <w:ind w:left="0" w:right="0"/>
              <w:rPr>
                <w:rFonts w:ascii="Verdana" w:hAnsi="Verdana"/>
                <w:b/>
                <w:bCs/>
                <w:noProof/>
                <w:sz w:val="22"/>
                <w:szCs w:val="22"/>
              </w:rPr>
            </w:pPr>
            <w:r w:rsidRPr="007207B7">
              <w:rPr>
                <w:rFonts w:ascii="Verdana" w:hAnsi="Verdana"/>
                <w:b/>
                <w:bCs/>
                <w:noProof/>
                <w:sz w:val="22"/>
                <w:szCs w:val="22"/>
              </w:rPr>
              <w:t>Trastuzumab emtansine (Kadcyla)</w:t>
            </w:r>
          </w:p>
        </w:tc>
        <w:tc>
          <w:tcPr>
            <w:tcW w:w="1417" w:type="dxa"/>
            <w:tcBorders>
              <w:top w:val="nil"/>
              <w:left w:val="nil"/>
              <w:bottom w:val="single" w:sz="8" w:space="0" w:color="auto"/>
              <w:right w:val="nil"/>
            </w:tcBorders>
            <w:noWrap/>
            <w:tcMar>
              <w:top w:w="0" w:type="dxa"/>
              <w:left w:w="108" w:type="dxa"/>
              <w:bottom w:w="0" w:type="dxa"/>
              <w:right w:w="108" w:type="dxa"/>
            </w:tcMar>
            <w:vAlign w:val="center"/>
            <w:hideMark/>
          </w:tcPr>
          <w:p w14:paraId="260C15BD" w14:textId="7A64381C"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10</w:t>
            </w:r>
          </w:p>
        </w:tc>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8AAB1C7" w14:textId="71C9814E"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9</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772E907" w14:textId="637B70F1"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&lt;5*</w:t>
            </w:r>
          </w:p>
        </w:tc>
      </w:tr>
      <w:tr w:rsidR="009D1314" w:rsidRPr="007207B7" w14:paraId="66FEE51E" w14:textId="77777777" w:rsidTr="00853BA6">
        <w:trPr>
          <w:trHeight w:val="570"/>
        </w:trPr>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435413" w14:textId="77777777" w:rsidR="009D1314" w:rsidRPr="007207B7" w:rsidRDefault="009D1314" w:rsidP="009D1314">
            <w:pPr>
              <w:spacing w:before="0" w:after="0"/>
              <w:ind w:left="0" w:right="0"/>
              <w:rPr>
                <w:rFonts w:ascii="Verdana" w:hAnsi="Verdana"/>
                <w:b/>
                <w:bCs/>
                <w:noProof/>
                <w:sz w:val="22"/>
                <w:szCs w:val="22"/>
              </w:rPr>
            </w:pPr>
            <w:r w:rsidRPr="007207B7">
              <w:rPr>
                <w:rFonts w:ascii="Verdana" w:hAnsi="Verdana"/>
                <w:b/>
                <w:bCs/>
                <w:noProof/>
                <w:sz w:val="22"/>
                <w:szCs w:val="22"/>
              </w:rPr>
              <w:t>Abemaciclib + Aromatase Inhibitor (e.g. anastrazole, exemestane, letrozole)</w:t>
            </w:r>
          </w:p>
        </w:tc>
        <w:tc>
          <w:tcPr>
            <w:tcW w:w="1417" w:type="dxa"/>
            <w:tcBorders>
              <w:top w:val="nil"/>
              <w:left w:val="nil"/>
              <w:bottom w:val="single" w:sz="8" w:space="0" w:color="auto"/>
              <w:right w:val="nil"/>
            </w:tcBorders>
            <w:noWrap/>
            <w:tcMar>
              <w:top w:w="0" w:type="dxa"/>
              <w:left w:w="108" w:type="dxa"/>
              <w:bottom w:w="0" w:type="dxa"/>
              <w:right w:w="108" w:type="dxa"/>
            </w:tcMar>
            <w:vAlign w:val="center"/>
            <w:hideMark/>
          </w:tcPr>
          <w:p w14:paraId="77FD4DAB" w14:textId="5A728658"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35</w:t>
            </w:r>
          </w:p>
        </w:tc>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B998132" w14:textId="7698C54B"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22</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AFE408A" w14:textId="5DD5BA97"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13</w:t>
            </w:r>
          </w:p>
        </w:tc>
      </w:tr>
      <w:tr w:rsidR="009D1314" w:rsidRPr="007207B7" w14:paraId="79BA7CFF" w14:textId="77777777" w:rsidTr="00853BA6">
        <w:trPr>
          <w:trHeight w:val="285"/>
        </w:trPr>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A89AD2" w14:textId="77777777" w:rsidR="009D1314" w:rsidRPr="007207B7" w:rsidRDefault="009D1314" w:rsidP="009D1314">
            <w:pPr>
              <w:spacing w:before="0" w:after="0"/>
              <w:ind w:left="0" w:right="0"/>
              <w:rPr>
                <w:rFonts w:ascii="Verdana" w:hAnsi="Verdana"/>
                <w:b/>
                <w:bCs/>
                <w:noProof/>
                <w:sz w:val="22"/>
                <w:szCs w:val="22"/>
              </w:rPr>
            </w:pPr>
            <w:r w:rsidRPr="007207B7">
              <w:rPr>
                <w:rFonts w:ascii="Verdana" w:hAnsi="Verdana"/>
                <w:b/>
                <w:bCs/>
                <w:noProof/>
                <w:sz w:val="22"/>
                <w:szCs w:val="22"/>
              </w:rPr>
              <w:t>Abemaciclib + Fulvestrant</w:t>
            </w:r>
          </w:p>
        </w:tc>
        <w:tc>
          <w:tcPr>
            <w:tcW w:w="1417" w:type="dxa"/>
            <w:tcBorders>
              <w:top w:val="nil"/>
              <w:left w:val="nil"/>
              <w:bottom w:val="single" w:sz="8" w:space="0" w:color="auto"/>
              <w:right w:val="nil"/>
            </w:tcBorders>
            <w:noWrap/>
            <w:tcMar>
              <w:top w:w="0" w:type="dxa"/>
              <w:left w:w="108" w:type="dxa"/>
              <w:bottom w:w="0" w:type="dxa"/>
              <w:right w:w="108" w:type="dxa"/>
            </w:tcMar>
            <w:vAlign w:val="center"/>
            <w:hideMark/>
          </w:tcPr>
          <w:p w14:paraId="6E484BD8" w14:textId="0E235DEA"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&lt;5*</w:t>
            </w:r>
          </w:p>
        </w:tc>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6928A56" w14:textId="78E7A958"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&lt;5*</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ED20299" w14:textId="6B6425DE"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0</w:t>
            </w:r>
          </w:p>
        </w:tc>
      </w:tr>
      <w:tr w:rsidR="009D1314" w:rsidRPr="007207B7" w14:paraId="40A67302" w14:textId="77777777" w:rsidTr="00853BA6">
        <w:trPr>
          <w:trHeight w:val="570"/>
        </w:trPr>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5A458A" w14:textId="77777777" w:rsidR="009D1314" w:rsidRPr="007207B7" w:rsidRDefault="009D1314" w:rsidP="009D1314">
            <w:pPr>
              <w:spacing w:before="0" w:after="0"/>
              <w:ind w:left="0" w:right="0"/>
              <w:rPr>
                <w:rFonts w:ascii="Verdana" w:hAnsi="Verdana"/>
                <w:b/>
                <w:bCs/>
                <w:noProof/>
                <w:sz w:val="22"/>
                <w:szCs w:val="22"/>
              </w:rPr>
            </w:pPr>
            <w:r w:rsidRPr="007207B7">
              <w:rPr>
                <w:rFonts w:ascii="Verdana" w:hAnsi="Verdana"/>
                <w:b/>
                <w:bCs/>
                <w:noProof/>
                <w:sz w:val="22"/>
                <w:szCs w:val="22"/>
              </w:rPr>
              <w:t>Ribociclib + Aromatase Inhibitor (e.g. anastrazole, exemestane, letrozole)</w:t>
            </w:r>
          </w:p>
        </w:tc>
        <w:tc>
          <w:tcPr>
            <w:tcW w:w="1417" w:type="dxa"/>
            <w:tcBorders>
              <w:top w:val="nil"/>
              <w:left w:val="nil"/>
              <w:bottom w:val="single" w:sz="8" w:space="0" w:color="auto"/>
              <w:right w:val="nil"/>
            </w:tcBorders>
            <w:noWrap/>
            <w:tcMar>
              <w:top w:w="0" w:type="dxa"/>
              <w:left w:w="108" w:type="dxa"/>
              <w:bottom w:w="0" w:type="dxa"/>
              <w:right w:w="108" w:type="dxa"/>
            </w:tcMar>
            <w:vAlign w:val="center"/>
            <w:hideMark/>
          </w:tcPr>
          <w:p w14:paraId="5C2A7F32" w14:textId="7C0DAEE1"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41</w:t>
            </w:r>
          </w:p>
        </w:tc>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55E869E" w14:textId="33FAEA0C"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14</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65F49FD" w14:textId="3BF18F06"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27</w:t>
            </w:r>
          </w:p>
        </w:tc>
      </w:tr>
      <w:tr w:rsidR="009D1314" w:rsidRPr="007207B7" w14:paraId="0F268D5C" w14:textId="77777777" w:rsidTr="00853BA6">
        <w:trPr>
          <w:trHeight w:val="285"/>
        </w:trPr>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96F68E" w14:textId="77777777" w:rsidR="009D1314" w:rsidRPr="007207B7" w:rsidRDefault="009D1314" w:rsidP="009D1314">
            <w:pPr>
              <w:spacing w:before="0" w:after="0"/>
              <w:ind w:left="0" w:right="0"/>
              <w:rPr>
                <w:rFonts w:ascii="Verdana" w:hAnsi="Verdana"/>
                <w:b/>
                <w:bCs/>
                <w:noProof/>
                <w:sz w:val="22"/>
                <w:szCs w:val="22"/>
              </w:rPr>
            </w:pPr>
            <w:r w:rsidRPr="007207B7">
              <w:rPr>
                <w:rFonts w:ascii="Verdana" w:hAnsi="Verdana"/>
                <w:b/>
                <w:bCs/>
                <w:noProof/>
                <w:sz w:val="22"/>
                <w:szCs w:val="22"/>
              </w:rPr>
              <w:t>Ribociclib + Fulvestrant</w:t>
            </w:r>
          </w:p>
        </w:tc>
        <w:tc>
          <w:tcPr>
            <w:tcW w:w="1417" w:type="dxa"/>
            <w:tcBorders>
              <w:top w:val="nil"/>
              <w:left w:val="nil"/>
              <w:bottom w:val="single" w:sz="8" w:space="0" w:color="auto"/>
              <w:right w:val="nil"/>
            </w:tcBorders>
            <w:noWrap/>
            <w:tcMar>
              <w:top w:w="0" w:type="dxa"/>
              <w:left w:w="108" w:type="dxa"/>
              <w:bottom w:w="0" w:type="dxa"/>
              <w:right w:w="108" w:type="dxa"/>
            </w:tcMar>
            <w:vAlign w:val="center"/>
            <w:hideMark/>
          </w:tcPr>
          <w:p w14:paraId="567D95D4" w14:textId="77283C1E"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&lt;5*</w:t>
            </w:r>
          </w:p>
        </w:tc>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AE9C39A" w14:textId="3D08A9A7"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0</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501BFC3" w14:textId="237B65A1"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&lt;5*</w:t>
            </w:r>
          </w:p>
        </w:tc>
      </w:tr>
      <w:tr w:rsidR="009D1314" w:rsidRPr="007207B7" w14:paraId="2AE14587" w14:textId="77777777" w:rsidTr="00853BA6">
        <w:trPr>
          <w:trHeight w:val="285"/>
        </w:trPr>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09BD04" w14:textId="77777777" w:rsidR="009D1314" w:rsidRPr="007207B7" w:rsidRDefault="009D1314" w:rsidP="009D1314">
            <w:pPr>
              <w:spacing w:before="0" w:after="0"/>
              <w:ind w:left="0" w:right="0"/>
              <w:rPr>
                <w:rFonts w:ascii="Verdana" w:hAnsi="Verdana"/>
                <w:b/>
                <w:bCs/>
                <w:noProof/>
                <w:sz w:val="22"/>
                <w:szCs w:val="22"/>
              </w:rPr>
            </w:pPr>
            <w:r w:rsidRPr="007207B7">
              <w:rPr>
                <w:rFonts w:ascii="Verdana" w:hAnsi="Verdana"/>
                <w:b/>
                <w:bCs/>
                <w:noProof/>
                <w:sz w:val="22"/>
                <w:szCs w:val="22"/>
              </w:rPr>
              <w:t>Capecitabine as a single agent</w:t>
            </w:r>
          </w:p>
        </w:tc>
        <w:tc>
          <w:tcPr>
            <w:tcW w:w="1417" w:type="dxa"/>
            <w:tcBorders>
              <w:top w:val="nil"/>
              <w:left w:val="nil"/>
              <w:bottom w:val="single" w:sz="8" w:space="0" w:color="auto"/>
              <w:right w:val="nil"/>
            </w:tcBorders>
            <w:noWrap/>
            <w:tcMar>
              <w:top w:w="0" w:type="dxa"/>
              <w:left w:w="108" w:type="dxa"/>
              <w:bottom w:w="0" w:type="dxa"/>
              <w:right w:w="108" w:type="dxa"/>
            </w:tcMar>
            <w:vAlign w:val="center"/>
            <w:hideMark/>
          </w:tcPr>
          <w:p w14:paraId="71A51DF0" w14:textId="106148A8"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9</w:t>
            </w:r>
          </w:p>
        </w:tc>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67A7812" w14:textId="2B0F4C7C"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&lt;5*</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35D3C5C" w14:textId="7F2D1877"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7</w:t>
            </w:r>
          </w:p>
        </w:tc>
      </w:tr>
      <w:tr w:rsidR="009D1314" w:rsidRPr="007207B7" w14:paraId="39CF974C" w14:textId="77777777" w:rsidTr="00853BA6">
        <w:trPr>
          <w:trHeight w:val="285"/>
        </w:trPr>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35170C" w14:textId="77777777" w:rsidR="009D1314" w:rsidRPr="007207B7" w:rsidRDefault="009D1314" w:rsidP="009D1314">
            <w:pPr>
              <w:spacing w:before="0" w:after="0"/>
              <w:ind w:left="0" w:right="0"/>
              <w:rPr>
                <w:rFonts w:ascii="Verdana" w:hAnsi="Verdana"/>
                <w:b/>
                <w:bCs/>
                <w:noProof/>
                <w:sz w:val="22"/>
                <w:szCs w:val="22"/>
              </w:rPr>
            </w:pPr>
            <w:r w:rsidRPr="007207B7">
              <w:rPr>
                <w:rFonts w:ascii="Verdana" w:hAnsi="Verdana"/>
                <w:b/>
                <w:bCs/>
                <w:noProof/>
                <w:sz w:val="22"/>
                <w:szCs w:val="22"/>
              </w:rPr>
              <w:t>Carboplatin + Paclitaxel</w:t>
            </w:r>
          </w:p>
        </w:tc>
        <w:tc>
          <w:tcPr>
            <w:tcW w:w="1417" w:type="dxa"/>
            <w:tcBorders>
              <w:top w:val="nil"/>
              <w:left w:val="nil"/>
              <w:bottom w:val="single" w:sz="8" w:space="0" w:color="auto"/>
              <w:right w:val="nil"/>
            </w:tcBorders>
            <w:noWrap/>
            <w:tcMar>
              <w:top w:w="0" w:type="dxa"/>
              <w:left w:w="108" w:type="dxa"/>
              <w:bottom w:w="0" w:type="dxa"/>
              <w:right w:w="108" w:type="dxa"/>
            </w:tcMar>
            <w:vAlign w:val="center"/>
            <w:hideMark/>
          </w:tcPr>
          <w:p w14:paraId="52C1FA61" w14:textId="0010795B"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5</w:t>
            </w:r>
          </w:p>
        </w:tc>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6AF3EF7" w14:textId="130C4FBC"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5</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C0F80DE" w14:textId="5A5B9133"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0</w:t>
            </w:r>
          </w:p>
        </w:tc>
      </w:tr>
      <w:tr w:rsidR="009D1314" w:rsidRPr="007207B7" w14:paraId="18D8CD9A" w14:textId="77777777" w:rsidTr="00853BA6">
        <w:trPr>
          <w:trHeight w:val="300"/>
        </w:trPr>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EBFF7F" w14:textId="77777777" w:rsidR="009D1314" w:rsidRPr="007207B7" w:rsidRDefault="009D1314" w:rsidP="009D1314">
            <w:pPr>
              <w:spacing w:before="0" w:after="0"/>
              <w:ind w:left="0" w:right="0"/>
              <w:rPr>
                <w:rFonts w:ascii="Verdana" w:hAnsi="Verdana"/>
                <w:b/>
                <w:bCs/>
                <w:noProof/>
                <w:sz w:val="22"/>
                <w:szCs w:val="22"/>
              </w:rPr>
            </w:pPr>
            <w:r w:rsidRPr="007207B7">
              <w:rPr>
                <w:rFonts w:ascii="Verdana" w:hAnsi="Verdana"/>
                <w:b/>
                <w:bCs/>
                <w:noProof/>
                <w:sz w:val="22"/>
                <w:szCs w:val="22"/>
              </w:rPr>
              <w:t>Carboplatin + Paclitaxel + Pembrolizumab</w:t>
            </w:r>
          </w:p>
        </w:tc>
        <w:tc>
          <w:tcPr>
            <w:tcW w:w="1417" w:type="dxa"/>
            <w:tcBorders>
              <w:top w:val="nil"/>
              <w:left w:val="nil"/>
              <w:bottom w:val="single" w:sz="8" w:space="0" w:color="auto"/>
              <w:right w:val="nil"/>
            </w:tcBorders>
            <w:noWrap/>
            <w:tcMar>
              <w:top w:w="0" w:type="dxa"/>
              <w:left w:w="108" w:type="dxa"/>
              <w:bottom w:w="0" w:type="dxa"/>
              <w:right w:w="108" w:type="dxa"/>
            </w:tcMar>
            <w:vAlign w:val="center"/>
            <w:hideMark/>
          </w:tcPr>
          <w:p w14:paraId="57B59083" w14:textId="05DE37FA"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5</w:t>
            </w:r>
          </w:p>
        </w:tc>
        <w:tc>
          <w:tcPr>
            <w:tcW w:w="14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B75E8A6" w14:textId="3916290B"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5</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56B1A33" w14:textId="22315FD1" w:rsidR="009D1314" w:rsidRPr="00853BA6" w:rsidRDefault="009D1314" w:rsidP="00853BA6">
            <w:pPr>
              <w:spacing w:before="0" w:after="0"/>
              <w:ind w:left="0" w:right="0"/>
              <w:jc w:val="center"/>
              <w:rPr>
                <w:rFonts w:ascii="Verdana" w:hAnsi="Verdana"/>
                <w:b/>
                <w:bCs/>
                <w:noProof/>
                <w:sz w:val="20"/>
                <w:szCs w:val="20"/>
              </w:rPr>
            </w:pPr>
            <w:r w:rsidRPr="00853BA6">
              <w:rPr>
                <w:rFonts w:ascii="Verdana" w:hAnsi="Verdana"/>
                <w:sz w:val="20"/>
                <w:szCs w:val="20"/>
              </w:rPr>
              <w:t>0</w:t>
            </w:r>
          </w:p>
        </w:tc>
      </w:tr>
    </w:tbl>
    <w:p w14:paraId="505453D4" w14:textId="6C2A84E9" w:rsidR="007207B7" w:rsidRPr="007207B7" w:rsidRDefault="007207B7" w:rsidP="007207B7">
      <w:pPr>
        <w:rPr>
          <w:rFonts w:ascii="Verdana" w:hAnsi="Verdana"/>
          <w:b/>
          <w:bCs/>
          <w:noProof/>
          <w:sz w:val="22"/>
          <w:szCs w:val="22"/>
        </w:rPr>
      </w:pPr>
      <w:r w:rsidRPr="007207B7">
        <w:rPr>
          <w:rFonts w:ascii="Verdana" w:hAnsi="Verdana"/>
          <w:b/>
          <w:bCs/>
          <w:noProof/>
          <w:sz w:val="22"/>
          <w:szCs w:val="22"/>
        </w:rPr>
        <w:br/>
        <w:t xml:space="preserve">Q3. Does your </w:t>
      </w:r>
      <w:r w:rsidR="007679B9">
        <w:rPr>
          <w:rFonts w:ascii="Verdana" w:hAnsi="Verdana"/>
          <w:b/>
          <w:bCs/>
          <w:noProof/>
          <w:sz w:val="22"/>
          <w:szCs w:val="22"/>
        </w:rPr>
        <w:t>health board</w:t>
      </w:r>
      <w:r w:rsidRPr="007207B7">
        <w:rPr>
          <w:rFonts w:ascii="Verdana" w:hAnsi="Verdana"/>
          <w:b/>
          <w:bCs/>
          <w:noProof/>
          <w:sz w:val="22"/>
          <w:szCs w:val="22"/>
        </w:rPr>
        <w:t xml:space="preserve"> participate in any clinical trials for breast cancer? If so, please provide the name of each trial, and the number of patients taking part.</w:t>
      </w:r>
    </w:p>
    <w:p w14:paraId="45BEDE76" w14:textId="77777777" w:rsidR="009D1314" w:rsidRDefault="00EB41D0" w:rsidP="00EB41D0">
      <w:pPr>
        <w:rPr>
          <w:rFonts w:ascii="Verdana" w:hAnsi="Verdana"/>
          <w:noProof/>
          <w:sz w:val="22"/>
          <w:szCs w:val="22"/>
        </w:rPr>
      </w:pPr>
      <w:r w:rsidRPr="00C86E69">
        <w:rPr>
          <w:rFonts w:ascii="Verdana" w:hAnsi="Verdana"/>
          <w:noProof/>
          <w:sz w:val="22"/>
          <w:szCs w:val="22"/>
        </w:rPr>
        <w:t>Yes</w:t>
      </w:r>
      <w:r w:rsidR="009D1314">
        <w:rPr>
          <w:rFonts w:ascii="Verdana" w:hAnsi="Verdana"/>
          <w:noProof/>
          <w:sz w:val="22"/>
          <w:szCs w:val="22"/>
        </w:rPr>
        <w:t>, please see below details of each trial and the total number of patients taking part:</w:t>
      </w:r>
    </w:p>
    <w:p w14:paraId="44BD1117" w14:textId="77777777" w:rsidR="009D1314" w:rsidRDefault="00EB41D0" w:rsidP="009D1314">
      <w:pPr>
        <w:pStyle w:val="ListParagraph"/>
        <w:numPr>
          <w:ilvl w:val="0"/>
          <w:numId w:val="22"/>
        </w:numPr>
        <w:rPr>
          <w:rFonts w:ascii="Verdana" w:hAnsi="Verdana"/>
          <w:noProof/>
          <w:sz w:val="22"/>
          <w:szCs w:val="22"/>
        </w:rPr>
      </w:pPr>
      <w:r w:rsidRPr="009D1314">
        <w:rPr>
          <w:rFonts w:ascii="Verdana" w:hAnsi="Verdana"/>
          <w:noProof/>
          <w:sz w:val="22"/>
          <w:szCs w:val="22"/>
        </w:rPr>
        <w:lastRenderedPageBreak/>
        <w:t>ATNEC - Axillary management in cT1-3N1M0 breast cancer patients with needle biopsy proven nodal metastases at presentation after neoadjuvant chemotherapy</w:t>
      </w:r>
    </w:p>
    <w:p w14:paraId="39CE5D1E" w14:textId="00A0D4D5" w:rsidR="009D1314" w:rsidRDefault="00EB41D0" w:rsidP="009D1314">
      <w:pPr>
        <w:pStyle w:val="ListParagraph"/>
        <w:numPr>
          <w:ilvl w:val="0"/>
          <w:numId w:val="22"/>
        </w:numPr>
        <w:rPr>
          <w:rFonts w:ascii="Verdana" w:hAnsi="Verdana"/>
          <w:noProof/>
          <w:sz w:val="22"/>
          <w:szCs w:val="22"/>
        </w:rPr>
      </w:pPr>
      <w:r w:rsidRPr="009D1314">
        <w:rPr>
          <w:rFonts w:ascii="Verdana" w:hAnsi="Verdana"/>
          <w:noProof/>
          <w:sz w:val="22"/>
          <w:szCs w:val="22"/>
        </w:rPr>
        <w:t>Endo</w:t>
      </w:r>
      <w:r w:rsidR="001A08BC">
        <w:rPr>
          <w:rFonts w:ascii="Verdana" w:hAnsi="Verdana"/>
          <w:noProof/>
          <w:sz w:val="22"/>
          <w:szCs w:val="22"/>
        </w:rPr>
        <w:t>NET</w:t>
      </w:r>
      <w:r w:rsidRPr="009D1314">
        <w:rPr>
          <w:rFonts w:ascii="Verdana" w:hAnsi="Verdana"/>
          <w:noProof/>
          <w:sz w:val="22"/>
          <w:szCs w:val="22"/>
        </w:rPr>
        <w:t xml:space="preserve"> - Randomised controlled trial evaluating effectiveness of neoadjuvant endocrine treatment in post-menopausal women (EndoNET)</w:t>
      </w:r>
    </w:p>
    <w:p w14:paraId="18AAFBF7" w14:textId="165E46C9" w:rsidR="00EB41D0" w:rsidRPr="009D1314" w:rsidRDefault="00EB41D0" w:rsidP="009D1314">
      <w:pPr>
        <w:pStyle w:val="ListParagraph"/>
        <w:numPr>
          <w:ilvl w:val="0"/>
          <w:numId w:val="22"/>
        </w:numPr>
        <w:rPr>
          <w:rFonts w:ascii="Verdana" w:hAnsi="Verdana"/>
          <w:noProof/>
          <w:sz w:val="22"/>
          <w:szCs w:val="22"/>
        </w:rPr>
      </w:pPr>
      <w:r w:rsidRPr="009D1314">
        <w:rPr>
          <w:rFonts w:ascii="Verdana" w:hAnsi="Verdana"/>
          <w:noProof/>
          <w:sz w:val="22"/>
          <w:szCs w:val="22"/>
        </w:rPr>
        <w:t>Fast Forward Boost - A randomised clinical trial testing a 1-week schedule of curative simultaneous integrated boost radiotherapy against a standard 3-week schedule in patients with early breast cancer.</w:t>
      </w:r>
      <w:r w:rsidRPr="009D1314">
        <w:rPr>
          <w:rFonts w:ascii="Verdana" w:hAnsi="Verdana"/>
          <w:noProof/>
          <w:sz w:val="22"/>
          <w:szCs w:val="22"/>
        </w:rPr>
        <w:br/>
      </w:r>
    </w:p>
    <w:p w14:paraId="7290DFAF" w14:textId="24D934D4" w:rsidR="00EB41D0" w:rsidRPr="00C86E69" w:rsidRDefault="00EB41D0" w:rsidP="009D1314">
      <w:pPr>
        <w:ind w:left="1010" w:firstLine="215"/>
        <w:rPr>
          <w:rFonts w:ascii="Verdana" w:hAnsi="Verdana"/>
          <w:noProof/>
          <w:sz w:val="22"/>
          <w:szCs w:val="22"/>
        </w:rPr>
      </w:pPr>
      <w:r>
        <w:rPr>
          <w:rFonts w:ascii="Verdana" w:hAnsi="Verdana"/>
          <w:noProof/>
          <w:sz w:val="22"/>
          <w:szCs w:val="22"/>
        </w:rPr>
        <w:t>1</w:t>
      </w:r>
      <w:r w:rsidR="001A08BC">
        <w:rPr>
          <w:rFonts w:ascii="Verdana" w:hAnsi="Verdana"/>
          <w:noProof/>
          <w:sz w:val="22"/>
          <w:szCs w:val="22"/>
        </w:rPr>
        <w:t>6</w:t>
      </w:r>
      <w:r w:rsidRPr="00C86E69">
        <w:rPr>
          <w:rFonts w:ascii="Verdana" w:hAnsi="Verdana"/>
          <w:noProof/>
          <w:sz w:val="22"/>
          <w:szCs w:val="22"/>
        </w:rPr>
        <w:t xml:space="preserve"> patients recruited across all trials</w:t>
      </w:r>
      <w:r>
        <w:rPr>
          <w:rFonts w:ascii="Verdana" w:hAnsi="Verdana"/>
          <w:noProof/>
          <w:sz w:val="22"/>
          <w:szCs w:val="22"/>
        </w:rPr>
        <w:t>.</w:t>
      </w:r>
    </w:p>
    <w:p w14:paraId="2178A95B" w14:textId="14283964" w:rsidR="00873328" w:rsidRDefault="00873328" w:rsidP="00421E7F">
      <w:pPr>
        <w:rPr>
          <w:rFonts w:ascii="Verdana" w:hAnsi="Verdana"/>
          <w:b/>
          <w:bCs/>
          <w:noProof/>
          <w:sz w:val="22"/>
          <w:szCs w:val="22"/>
        </w:rPr>
      </w:pPr>
    </w:p>
    <w:p w14:paraId="5A4DC367" w14:textId="3F6ED198" w:rsidR="006A1A61" w:rsidRPr="006A1A61" w:rsidRDefault="006A1A61" w:rsidP="00421E7F">
      <w:pPr>
        <w:rPr>
          <w:rFonts w:ascii="Verdana" w:hAnsi="Verdana"/>
          <w:noProof/>
          <w:sz w:val="22"/>
          <w:szCs w:val="22"/>
        </w:rPr>
      </w:pPr>
      <w:r w:rsidRPr="006A1A61">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6A1A61">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6A1A61">
        <w:rPr>
          <w:rFonts w:ascii="Verdana" w:hAnsi="Verdana"/>
          <w:noProof/>
          <w:sz w:val="22"/>
          <w:szCs w:val="22"/>
        </w:rPr>
        <w:t>This exemption is absolute and therefore there is no requirement to apply the public interest test.</w:t>
      </w:r>
    </w:p>
    <w:p w14:paraId="7F202BA5" w14:textId="7F481D43"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196B872B" w:rsidR="004F001A" w:rsidRPr="00A10460" w:rsidRDefault="00A115C7" w:rsidP="006A1A61">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7207B7">
      <w:footerReference w:type="default" r:id="rId12"/>
      <w:headerReference w:type="first" r:id="rId13"/>
      <w:footerReference w:type="first" r:id="rId14"/>
      <w:pgSz w:w="11906" w:h="16838"/>
      <w:pgMar w:top="1276"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299D2" w14:textId="77777777" w:rsidR="00DC4F9E" w:rsidRDefault="00DC4F9E" w:rsidP="007D6A3E">
      <w:pPr>
        <w:spacing w:before="0" w:after="0" w:line="240" w:lineRule="auto"/>
      </w:pPr>
      <w:r>
        <w:separator/>
      </w:r>
    </w:p>
  </w:endnote>
  <w:endnote w:type="continuationSeparator" w:id="0">
    <w:p w14:paraId="30D705AE" w14:textId="77777777" w:rsidR="00DC4F9E" w:rsidRDefault="00DC4F9E"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434387626"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164372699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139E3" w14:textId="77777777" w:rsidR="00DC4F9E" w:rsidRDefault="00DC4F9E" w:rsidP="007D6A3E">
      <w:pPr>
        <w:spacing w:before="0" w:after="0" w:line="240" w:lineRule="auto"/>
      </w:pPr>
      <w:r>
        <w:separator/>
      </w:r>
    </w:p>
  </w:footnote>
  <w:footnote w:type="continuationSeparator" w:id="0">
    <w:p w14:paraId="3171F34C" w14:textId="77777777" w:rsidR="00DC4F9E" w:rsidRDefault="00DC4F9E"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9261667"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37A74CE"/>
    <w:multiLevelType w:val="hybridMultilevel"/>
    <w:tmpl w:val="AA46F3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982A22"/>
    <w:multiLevelType w:val="hybridMultilevel"/>
    <w:tmpl w:val="6470715C"/>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5EA45A3"/>
    <w:multiLevelType w:val="hybridMultilevel"/>
    <w:tmpl w:val="7D18831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3E64AD1"/>
    <w:multiLevelType w:val="hybridMultilevel"/>
    <w:tmpl w:val="0FF4565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7B3724E"/>
    <w:multiLevelType w:val="hybridMultilevel"/>
    <w:tmpl w:val="F5E0268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0"/>
  </w:num>
  <w:num w:numId="4" w16cid:durableId="1125923312">
    <w:abstractNumId w:val="19"/>
  </w:num>
  <w:num w:numId="5" w16cid:durableId="1143425367">
    <w:abstractNumId w:val="5"/>
  </w:num>
  <w:num w:numId="6" w16cid:durableId="1293360629">
    <w:abstractNumId w:val="4"/>
  </w:num>
  <w:num w:numId="7" w16cid:durableId="479228409">
    <w:abstractNumId w:val="12"/>
  </w:num>
  <w:num w:numId="8" w16cid:durableId="1553300907">
    <w:abstractNumId w:val="17"/>
  </w:num>
  <w:num w:numId="9" w16cid:durableId="687946864">
    <w:abstractNumId w:val="22"/>
  </w:num>
  <w:num w:numId="10" w16cid:durableId="993416643">
    <w:abstractNumId w:val="1"/>
  </w:num>
  <w:num w:numId="11" w16cid:durableId="1541481371">
    <w:abstractNumId w:val="11"/>
  </w:num>
  <w:num w:numId="12" w16cid:durableId="1525171868">
    <w:abstractNumId w:val="14"/>
  </w:num>
  <w:num w:numId="13" w16cid:durableId="200629463">
    <w:abstractNumId w:val="20"/>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2"/>
  </w:num>
  <w:num w:numId="19" w16cid:durableId="1077895510">
    <w:abstractNumId w:val="18"/>
  </w:num>
  <w:num w:numId="20" w16cid:durableId="1680737276">
    <w:abstractNumId w:val="3"/>
  </w:num>
  <w:num w:numId="21" w16cid:durableId="339159914">
    <w:abstractNumId w:val="6"/>
  </w:num>
  <w:num w:numId="22" w16cid:durableId="1171869593">
    <w:abstractNumId w:val="21"/>
  </w:num>
  <w:num w:numId="23" w16cid:durableId="9926376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41424"/>
    <w:rsid w:val="001508FC"/>
    <w:rsid w:val="00172A60"/>
    <w:rsid w:val="00185784"/>
    <w:rsid w:val="001A08BC"/>
    <w:rsid w:val="001B1339"/>
    <w:rsid w:val="001E2D50"/>
    <w:rsid w:val="00213076"/>
    <w:rsid w:val="002156AF"/>
    <w:rsid w:val="00236F74"/>
    <w:rsid w:val="00257A6E"/>
    <w:rsid w:val="002677FD"/>
    <w:rsid w:val="00267C77"/>
    <w:rsid w:val="00282385"/>
    <w:rsid w:val="00286642"/>
    <w:rsid w:val="00296FDA"/>
    <w:rsid w:val="002B74C8"/>
    <w:rsid w:val="002C252B"/>
    <w:rsid w:val="002D32B6"/>
    <w:rsid w:val="002E02A9"/>
    <w:rsid w:val="00304A21"/>
    <w:rsid w:val="003244AB"/>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45269"/>
    <w:rsid w:val="00553E1D"/>
    <w:rsid w:val="0056690A"/>
    <w:rsid w:val="0059250D"/>
    <w:rsid w:val="005925B8"/>
    <w:rsid w:val="0059485C"/>
    <w:rsid w:val="005B252F"/>
    <w:rsid w:val="005F0E79"/>
    <w:rsid w:val="00602EE5"/>
    <w:rsid w:val="006137E4"/>
    <w:rsid w:val="00635BDA"/>
    <w:rsid w:val="006564DF"/>
    <w:rsid w:val="0066358C"/>
    <w:rsid w:val="00684641"/>
    <w:rsid w:val="006A1A61"/>
    <w:rsid w:val="006C4048"/>
    <w:rsid w:val="006D5578"/>
    <w:rsid w:val="006F3A53"/>
    <w:rsid w:val="006F4A69"/>
    <w:rsid w:val="006F5A5D"/>
    <w:rsid w:val="00705C52"/>
    <w:rsid w:val="007207B7"/>
    <w:rsid w:val="00730DD2"/>
    <w:rsid w:val="00734492"/>
    <w:rsid w:val="0073651A"/>
    <w:rsid w:val="007679B9"/>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53BA6"/>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1314"/>
    <w:rsid w:val="009D50E8"/>
    <w:rsid w:val="009F7815"/>
    <w:rsid w:val="00A10460"/>
    <w:rsid w:val="00A115C7"/>
    <w:rsid w:val="00A17614"/>
    <w:rsid w:val="00A56076"/>
    <w:rsid w:val="00A82713"/>
    <w:rsid w:val="00A84640"/>
    <w:rsid w:val="00AA60BA"/>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85D4C"/>
    <w:rsid w:val="00CA07E3"/>
    <w:rsid w:val="00CB2BBE"/>
    <w:rsid w:val="00CE1516"/>
    <w:rsid w:val="00CE325E"/>
    <w:rsid w:val="00CE3DBC"/>
    <w:rsid w:val="00D15865"/>
    <w:rsid w:val="00D62A67"/>
    <w:rsid w:val="00DC0D5A"/>
    <w:rsid w:val="00DC47F3"/>
    <w:rsid w:val="00DC4F9E"/>
    <w:rsid w:val="00DC7FA9"/>
    <w:rsid w:val="00DD5E37"/>
    <w:rsid w:val="00DF2EA1"/>
    <w:rsid w:val="00E11F2D"/>
    <w:rsid w:val="00E26720"/>
    <w:rsid w:val="00E4778A"/>
    <w:rsid w:val="00E545D8"/>
    <w:rsid w:val="00E817B3"/>
    <w:rsid w:val="00E90BC7"/>
    <w:rsid w:val="00EA2898"/>
    <w:rsid w:val="00EA57D4"/>
    <w:rsid w:val="00EB41D0"/>
    <w:rsid w:val="00EE0615"/>
    <w:rsid w:val="00EE4087"/>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56690A"/>
    <w:rPr>
      <w:sz w:val="16"/>
      <w:szCs w:val="16"/>
    </w:rPr>
  </w:style>
  <w:style w:type="paragraph" w:styleId="CommentText">
    <w:name w:val="annotation text"/>
    <w:basedOn w:val="Normal"/>
    <w:link w:val="CommentTextChar"/>
    <w:uiPriority w:val="99"/>
    <w:unhideWhenUsed/>
    <w:rsid w:val="0056690A"/>
    <w:pPr>
      <w:spacing w:line="240" w:lineRule="auto"/>
    </w:pPr>
    <w:rPr>
      <w:sz w:val="20"/>
      <w:szCs w:val="20"/>
    </w:rPr>
  </w:style>
  <w:style w:type="character" w:customStyle="1" w:styleId="CommentTextChar">
    <w:name w:val="Comment Text Char"/>
    <w:basedOn w:val="DefaultParagraphFont"/>
    <w:link w:val="CommentText"/>
    <w:uiPriority w:val="99"/>
    <w:rsid w:val="0056690A"/>
  </w:style>
  <w:style w:type="paragraph" w:styleId="CommentSubject">
    <w:name w:val="annotation subject"/>
    <w:basedOn w:val="CommentText"/>
    <w:next w:val="CommentText"/>
    <w:link w:val="CommentSubjectChar"/>
    <w:uiPriority w:val="99"/>
    <w:semiHidden/>
    <w:unhideWhenUsed/>
    <w:rsid w:val="0056690A"/>
    <w:rPr>
      <w:b/>
      <w:bCs/>
    </w:rPr>
  </w:style>
  <w:style w:type="character" w:customStyle="1" w:styleId="CommentSubjectChar">
    <w:name w:val="Comment Subject Char"/>
    <w:basedOn w:val="CommentTextChar"/>
    <w:link w:val="CommentSubject"/>
    <w:uiPriority w:val="99"/>
    <w:semiHidden/>
    <w:rsid w:val="005669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106</TotalTime>
  <Pages>3</Pages>
  <Words>751</Words>
  <Characters>4282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37</cp:revision>
  <cp:lastPrinted>2019-03-26T11:11:00Z</cp:lastPrinted>
  <dcterms:created xsi:type="dcterms:W3CDTF">2021-09-13T07:38:00Z</dcterms:created>
  <dcterms:modified xsi:type="dcterms:W3CDTF">2026-06-19T13:55:00Z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8efa254a-a3ef-450e-a495-b5bd9ef1ce1d</vt:lpwstr>
  </property>
</Properties>
</file>