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BADC06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20DA3">
                              <w:rPr>
                                <w:rFonts w:ascii="Verdana" w:hAnsi="Verdana"/>
                                <w:b/>
                                <w:sz w:val="22"/>
                                <w:szCs w:val="22"/>
                              </w:rPr>
                              <w:t>26-F-025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77C78">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BADC06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20DA3">
                        <w:rPr>
                          <w:rFonts w:ascii="Verdana" w:hAnsi="Verdana"/>
                          <w:b/>
                          <w:sz w:val="22"/>
                          <w:szCs w:val="22"/>
                        </w:rPr>
                        <w:t>26-F-025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77C78">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1EBD7BF9" w14:textId="77777777" w:rsidR="004F001A" w:rsidRPr="00A10460" w:rsidRDefault="008B7DBC" w:rsidP="00952890">
      <w:pPr>
        <w:rPr>
          <w:rFonts w:ascii="Verdana" w:hAnsi="Verdana"/>
          <w:b/>
          <w:bCs/>
          <w:noProof/>
          <w:sz w:val="22"/>
          <w:szCs w:val="22"/>
        </w:rPr>
      </w:pPr>
      <w:r w:rsidRPr="004B5109">
        <w:rPr>
          <w:rFonts w:ascii="Verdana" w:hAnsi="Verdana"/>
          <w:noProof/>
          <w:sz w:val="22"/>
          <w:szCs w:val="22"/>
        </w:rPr>
        <w:t xml:space="preserve">Please note that </w:t>
      </w:r>
      <w:r w:rsidR="00A67C0B" w:rsidRPr="00A67C0B">
        <w:rPr>
          <w:rFonts w:ascii="Verdana" w:hAnsi="Verdana"/>
          <w:sz w:val="22"/>
          <w:szCs w:val="22"/>
        </w:rPr>
        <w:t>the Health Board</w:t>
      </w:r>
      <w:r w:rsidRPr="004B5109">
        <w:rPr>
          <w:rFonts w:ascii="Verdana" w:hAnsi="Verdana"/>
          <w:noProof/>
          <w:sz w:val="22"/>
          <w:szCs w:val="22"/>
        </w:rPr>
        <w:t xml:space="preserve"> is </w:t>
      </w:r>
      <w:r w:rsidR="00A67C0B" w:rsidRPr="00A67C0B">
        <w:rPr>
          <w:rFonts w:ascii="Verdana" w:hAnsi="Verdana"/>
          <w:sz w:val="22"/>
          <w:szCs w:val="22"/>
        </w:rPr>
        <w:t>currently reviewing</w:t>
      </w:r>
      <w:r w:rsidRPr="004B5109">
        <w:rPr>
          <w:rFonts w:ascii="Verdana" w:hAnsi="Verdana"/>
          <w:noProof/>
          <w:sz w:val="22"/>
          <w:szCs w:val="22"/>
        </w:rPr>
        <w:t xml:space="preserve"> and updating </w:t>
      </w:r>
      <w:r w:rsidR="00A67C0B" w:rsidRPr="00A67C0B">
        <w:rPr>
          <w:rFonts w:ascii="Verdana" w:hAnsi="Verdana"/>
          <w:sz w:val="22"/>
          <w:szCs w:val="22"/>
        </w:rPr>
        <w:t>its</w:t>
      </w:r>
      <w:r w:rsidRPr="004B5109">
        <w:rPr>
          <w:rFonts w:ascii="Verdana" w:hAnsi="Verdana"/>
          <w:noProof/>
          <w:sz w:val="22"/>
          <w:szCs w:val="22"/>
        </w:rPr>
        <w:t xml:space="preserve"> Theatre </w:t>
      </w:r>
      <w:r w:rsidR="00A67C0B" w:rsidRPr="00A67C0B">
        <w:rPr>
          <w:rFonts w:ascii="Verdana" w:hAnsi="Verdana"/>
          <w:sz w:val="22"/>
          <w:szCs w:val="22"/>
        </w:rPr>
        <w:t>Standard Operating Procedures (</w:t>
      </w:r>
      <w:r w:rsidRPr="004B5109">
        <w:rPr>
          <w:rFonts w:ascii="Verdana" w:hAnsi="Verdana"/>
          <w:noProof/>
          <w:sz w:val="22"/>
          <w:szCs w:val="22"/>
        </w:rPr>
        <w:t>SOPs</w:t>
      </w:r>
      <w:r w:rsidR="00A67C0B" w:rsidRPr="00A67C0B">
        <w:rPr>
          <w:rFonts w:ascii="Verdana" w:hAnsi="Verdana"/>
          <w:sz w:val="22"/>
          <w:szCs w:val="22"/>
        </w:rPr>
        <w:t>)</w:t>
      </w:r>
      <w:r w:rsidRPr="004B5109">
        <w:rPr>
          <w:rFonts w:ascii="Verdana" w:hAnsi="Verdana"/>
          <w:noProof/>
          <w:sz w:val="22"/>
          <w:szCs w:val="22"/>
        </w:rPr>
        <w:t xml:space="preserve"> as part of a wider review of procedural documentation. </w:t>
      </w:r>
      <w:r w:rsidR="00A67C0B" w:rsidRPr="00A67C0B">
        <w:rPr>
          <w:rFonts w:ascii="Verdana" w:hAnsi="Verdana"/>
          <w:sz w:val="22"/>
          <w:szCs w:val="22"/>
        </w:rPr>
        <w:t>The</w:t>
      </w:r>
      <w:r w:rsidRPr="004B5109">
        <w:rPr>
          <w:rFonts w:ascii="Verdana" w:hAnsi="Verdana"/>
          <w:noProof/>
          <w:sz w:val="22"/>
          <w:szCs w:val="22"/>
        </w:rPr>
        <w:t xml:space="preserve"> development and implementation of our Local Safety Standards for Invasive Procedures (LocSSIPs), aligned to the National Safety Standards for Invasive Procedures (NatSSIPs), </w:t>
      </w:r>
      <w:r w:rsidRPr="004B5109">
        <w:rPr>
          <w:rFonts w:ascii="Verdana" w:hAnsi="Verdana"/>
          <w:noProof/>
          <w:sz w:val="22"/>
          <w:szCs w:val="22"/>
        </w:rPr>
        <w:t>has informed the review</w:t>
      </w:r>
      <w:r w:rsidR="00A67C0B" w:rsidRPr="00A67C0B">
        <w:rPr>
          <w:rFonts w:ascii="Verdana" w:hAnsi="Verdana"/>
          <w:sz w:val="22"/>
          <w:szCs w:val="22"/>
        </w:rPr>
        <w:t xml:space="preserve">, </w:t>
      </w:r>
      <w:r w:rsidRPr="004B5109">
        <w:rPr>
          <w:rFonts w:ascii="Verdana" w:hAnsi="Verdana"/>
          <w:noProof/>
          <w:sz w:val="22"/>
          <w:szCs w:val="22"/>
        </w:rPr>
        <w:t>merging</w:t>
      </w:r>
      <w:r w:rsidR="00A67C0B" w:rsidRPr="00A67C0B">
        <w:rPr>
          <w:rFonts w:ascii="Verdana" w:hAnsi="Verdana"/>
          <w:sz w:val="22"/>
          <w:szCs w:val="22"/>
        </w:rPr>
        <w:t xml:space="preserve"> and </w:t>
      </w:r>
      <w:r w:rsidRPr="004B5109">
        <w:rPr>
          <w:rFonts w:ascii="Verdana" w:hAnsi="Verdana"/>
          <w:noProof/>
          <w:sz w:val="22"/>
          <w:szCs w:val="22"/>
        </w:rPr>
        <w:t>deletion of a number of existing SOPs and associated documents</w:t>
      </w:r>
      <w:r w:rsidR="00A67C0B" w:rsidRPr="00A67C0B">
        <w:rPr>
          <w:rFonts w:ascii="Verdana" w:hAnsi="Verdana"/>
          <w:sz w:val="22"/>
          <w:szCs w:val="22"/>
        </w:rPr>
        <w:t>,</w:t>
      </w:r>
      <w:r>
        <w:rPr>
          <w:rFonts w:ascii="Verdana" w:hAnsi="Verdana"/>
          <w:noProof/>
          <w:sz w:val="22"/>
          <w:szCs w:val="22"/>
        </w:rPr>
        <w:t xml:space="preserve"> including </w:t>
      </w:r>
      <w:r w:rsidR="00A67C0B" w:rsidRPr="00A67C0B">
        <w:rPr>
          <w:rFonts w:ascii="Verdana" w:hAnsi="Verdana"/>
          <w:sz w:val="22"/>
          <w:szCs w:val="22"/>
        </w:rPr>
        <w:t>those attached to</w:t>
      </w:r>
      <w:r>
        <w:rPr>
          <w:rFonts w:ascii="Verdana" w:hAnsi="Verdana"/>
          <w:noProof/>
          <w:sz w:val="22"/>
          <w:szCs w:val="22"/>
        </w:rPr>
        <w:t xml:space="preserve"> this response.</w:t>
      </w:r>
      <w:r>
        <w:rPr>
          <w:rFonts w:ascii="Verdana" w:hAnsi="Verdana"/>
          <w:noProof/>
          <w:sz w:val="22"/>
          <w:szCs w:val="22"/>
        </w:rPr>
        <w:br/>
      </w:r>
      <w:r>
        <w:rPr>
          <w:rFonts w:ascii="Verdana" w:hAnsi="Verdana"/>
          <w:noProof/>
          <w:sz w:val="22"/>
          <w:szCs w:val="22"/>
        </w:rPr>
        <w:br/>
      </w:r>
      <w:r w:rsidR="00A67C0B" w:rsidRPr="00A67C0B">
        <w:rPr>
          <w:rFonts w:ascii="Verdana" w:hAnsi="Verdana"/>
          <w:sz w:val="22"/>
          <w:szCs w:val="22"/>
        </w:rPr>
        <w:t>These</w:t>
      </w:r>
      <w:r w:rsidRPr="004B5109">
        <w:rPr>
          <w:rFonts w:ascii="Verdana" w:hAnsi="Verdana"/>
          <w:noProof/>
          <w:sz w:val="22"/>
          <w:szCs w:val="22"/>
        </w:rPr>
        <w:t xml:space="preserve"> reviews </w:t>
      </w:r>
      <w:r w:rsidR="00A67C0B" w:rsidRPr="00A67C0B">
        <w:rPr>
          <w:rFonts w:ascii="Verdana" w:hAnsi="Verdana"/>
          <w:sz w:val="22"/>
          <w:szCs w:val="22"/>
        </w:rPr>
        <w:t>are expected to</w:t>
      </w:r>
      <w:r>
        <w:rPr>
          <w:rFonts w:ascii="Verdana" w:hAnsi="Verdana"/>
          <w:noProof/>
          <w:sz w:val="22"/>
          <w:szCs w:val="22"/>
        </w:rPr>
        <w:t xml:space="preserve"> be </w:t>
      </w:r>
      <w:r w:rsidR="00A67C0B" w:rsidRPr="00A67C0B">
        <w:rPr>
          <w:rFonts w:ascii="Verdana" w:hAnsi="Verdana"/>
          <w:sz w:val="22"/>
          <w:szCs w:val="22"/>
        </w:rPr>
        <w:t>completed</w:t>
      </w:r>
      <w:r>
        <w:rPr>
          <w:rFonts w:ascii="Verdana" w:hAnsi="Verdana"/>
          <w:noProof/>
          <w:sz w:val="22"/>
          <w:szCs w:val="22"/>
        </w:rPr>
        <w:t xml:space="preserve"> and finalised </w:t>
      </w:r>
      <w:r w:rsidRPr="004B5109">
        <w:rPr>
          <w:rFonts w:ascii="Verdana" w:hAnsi="Verdana"/>
          <w:noProof/>
          <w:sz w:val="22"/>
          <w:szCs w:val="22"/>
        </w:rPr>
        <w:t>by September 2026</w:t>
      </w:r>
      <w:r w:rsidR="00A67C0B" w:rsidRPr="00A67C0B">
        <w:rPr>
          <w:rFonts w:ascii="Verdana" w:hAnsi="Verdana"/>
          <w:sz w:val="22"/>
          <w:szCs w:val="22"/>
        </w:rPr>
        <w:t>. Until that point, the current documents</w:t>
      </w:r>
      <w:r>
        <w:rPr>
          <w:rFonts w:ascii="Verdana" w:hAnsi="Verdana"/>
          <w:noProof/>
          <w:sz w:val="22"/>
          <w:szCs w:val="22"/>
        </w:rPr>
        <w:t xml:space="preserve"> remain extant </w:t>
      </w:r>
      <w:r w:rsidR="00A67C0B" w:rsidRPr="00A67C0B">
        <w:rPr>
          <w:rFonts w:ascii="Verdana" w:hAnsi="Verdana"/>
          <w:sz w:val="22"/>
          <w:szCs w:val="22"/>
        </w:rPr>
        <w:t>unless</w:t>
      </w:r>
      <w:r>
        <w:rPr>
          <w:rFonts w:ascii="Verdana" w:hAnsi="Verdana"/>
          <w:noProof/>
          <w:sz w:val="22"/>
          <w:szCs w:val="22"/>
        </w:rPr>
        <w:t xml:space="preserve"> replaced</w:t>
      </w:r>
      <w:r w:rsidR="00A67C0B" w:rsidRPr="00A67C0B">
        <w:rPr>
          <w:rFonts w:ascii="Verdana" w:hAnsi="Verdana"/>
          <w:sz w:val="22"/>
          <w:szCs w:val="22"/>
        </w:rPr>
        <w:t xml:space="preserve"> sooner</w:t>
      </w:r>
      <w:r>
        <w:rPr>
          <w:rFonts w:ascii="Verdana" w:hAnsi="Verdana"/>
          <w:noProof/>
          <w:sz w:val="22"/>
          <w:szCs w:val="22"/>
        </w:rPr>
        <w:t>.</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59B6F840" w14:textId="77777777" w:rsidR="00420DA3" w:rsidRPr="00420DA3" w:rsidRDefault="00420DA3" w:rsidP="00420DA3">
      <w:pPr>
        <w:rPr>
          <w:rFonts w:ascii="Verdana" w:hAnsi="Verdana"/>
          <w:b/>
          <w:bCs/>
          <w:noProof/>
          <w:sz w:val="22"/>
          <w:szCs w:val="22"/>
        </w:rPr>
      </w:pPr>
      <w:r w:rsidRPr="00420DA3">
        <w:rPr>
          <w:rFonts w:ascii="Verdana" w:hAnsi="Verdana"/>
          <w:b/>
          <w:bCs/>
          <w:noProof/>
          <w:sz w:val="22"/>
          <w:szCs w:val="22"/>
        </w:rPr>
        <w:t>I am writing to request the following information under the Freedom of Information Act 2000:</w:t>
      </w:r>
    </w:p>
    <w:p w14:paraId="5B5EA137" w14:textId="29EC8664" w:rsidR="00420DA3" w:rsidRPr="00420DA3" w:rsidRDefault="00420DA3" w:rsidP="00420DA3">
      <w:pPr>
        <w:pStyle w:val="ListParagraph"/>
        <w:numPr>
          <w:ilvl w:val="0"/>
          <w:numId w:val="20"/>
        </w:numPr>
        <w:rPr>
          <w:rFonts w:ascii="Verdana" w:hAnsi="Verdana"/>
          <w:b/>
          <w:bCs/>
          <w:noProof/>
          <w:sz w:val="22"/>
          <w:szCs w:val="22"/>
        </w:rPr>
      </w:pPr>
      <w:r w:rsidRPr="00420DA3">
        <w:rPr>
          <w:rFonts w:ascii="Verdana" w:hAnsi="Verdana"/>
          <w:b/>
          <w:bCs/>
          <w:noProof/>
          <w:sz w:val="22"/>
          <w:szCs w:val="22"/>
        </w:rPr>
        <w:t>A copy of the Health Board's current policy, procedure, or guideline setting out the discharge criteria used in post-anaesthetic care units (PACU/recovery) for transferring patients from recovery to a ward (Stage 1 to Stage 2 recovery).</w:t>
      </w:r>
      <w:r w:rsidR="000036F4">
        <w:rPr>
          <w:rFonts w:ascii="Verdana" w:hAnsi="Verdana"/>
          <w:b/>
          <w:bCs/>
          <w:noProof/>
          <w:sz w:val="22"/>
          <w:szCs w:val="22"/>
        </w:rPr>
        <w:br/>
      </w:r>
      <w:r w:rsidR="000036F4" w:rsidRPr="000036F4">
        <w:rPr>
          <w:rFonts w:ascii="Verdana" w:hAnsi="Verdana"/>
          <w:noProof/>
          <w:sz w:val="22"/>
          <w:szCs w:val="22"/>
        </w:rPr>
        <w:t>Please see attachments 1 to 4.</w:t>
      </w:r>
      <w:r>
        <w:rPr>
          <w:rFonts w:ascii="Verdana" w:hAnsi="Verdana"/>
          <w:b/>
          <w:bCs/>
          <w:noProof/>
          <w:sz w:val="22"/>
          <w:szCs w:val="22"/>
        </w:rPr>
        <w:br/>
      </w:r>
    </w:p>
    <w:p w14:paraId="585B9F62" w14:textId="4E68B68B" w:rsidR="00420DA3" w:rsidRPr="00420DA3" w:rsidRDefault="00420DA3" w:rsidP="00420DA3">
      <w:pPr>
        <w:pStyle w:val="ListParagraph"/>
        <w:numPr>
          <w:ilvl w:val="0"/>
          <w:numId w:val="20"/>
        </w:numPr>
        <w:rPr>
          <w:rFonts w:ascii="Verdana" w:hAnsi="Verdana"/>
          <w:b/>
          <w:bCs/>
          <w:noProof/>
          <w:sz w:val="22"/>
          <w:szCs w:val="22"/>
        </w:rPr>
      </w:pPr>
      <w:r w:rsidRPr="00420DA3">
        <w:rPr>
          <w:rFonts w:ascii="Verdana" w:hAnsi="Verdana"/>
          <w:b/>
          <w:bCs/>
          <w:noProof/>
          <w:sz w:val="22"/>
          <w:szCs w:val="22"/>
        </w:rPr>
        <w:t>Confirmation of whether a recognised scoring system (e.g. Aldrete, Modified Aldrete, or an in-house scoring tool) is used to assess readiness for discharge from recovery, and a copy of any such scoring tool or assessment checklist.</w:t>
      </w:r>
      <w:r>
        <w:rPr>
          <w:rFonts w:ascii="Verdana" w:hAnsi="Verdana"/>
          <w:b/>
          <w:bCs/>
          <w:noProof/>
          <w:sz w:val="22"/>
          <w:szCs w:val="22"/>
        </w:rPr>
        <w:br/>
      </w:r>
      <w:r w:rsidR="000036F4">
        <w:rPr>
          <w:rFonts w:ascii="Verdana" w:hAnsi="Verdana"/>
          <w:noProof/>
          <w:sz w:val="22"/>
          <w:szCs w:val="22"/>
        </w:rPr>
        <w:t>Please find attached t</w:t>
      </w:r>
      <w:r w:rsidRPr="00420DA3">
        <w:rPr>
          <w:rFonts w:ascii="Verdana" w:hAnsi="Verdana"/>
          <w:noProof/>
          <w:sz w:val="22"/>
          <w:szCs w:val="22"/>
        </w:rPr>
        <w:t xml:space="preserve">he recovery </w:t>
      </w:r>
      <w:r w:rsidR="000036F4">
        <w:rPr>
          <w:rFonts w:ascii="Verdana" w:hAnsi="Verdana"/>
          <w:noProof/>
          <w:sz w:val="22"/>
          <w:szCs w:val="22"/>
        </w:rPr>
        <w:t xml:space="preserve">room </w:t>
      </w:r>
      <w:r w:rsidRPr="00420DA3">
        <w:rPr>
          <w:rFonts w:ascii="Verdana" w:hAnsi="Verdana"/>
          <w:noProof/>
          <w:sz w:val="22"/>
          <w:szCs w:val="22"/>
        </w:rPr>
        <w:t>practitioner induction booklet</w:t>
      </w:r>
      <w:r w:rsidR="000036F4">
        <w:rPr>
          <w:rFonts w:ascii="Verdana" w:hAnsi="Verdana"/>
          <w:noProof/>
          <w:sz w:val="22"/>
          <w:szCs w:val="22"/>
        </w:rPr>
        <w:t xml:space="preserve"> (attachment 5), which</w:t>
      </w:r>
      <w:r w:rsidRPr="00420DA3">
        <w:rPr>
          <w:rFonts w:ascii="Verdana" w:hAnsi="Verdana"/>
          <w:noProof/>
          <w:sz w:val="22"/>
          <w:szCs w:val="22"/>
        </w:rPr>
        <w:t xml:space="preserve"> contains the BARNA and AAGBI guidance </w:t>
      </w:r>
      <w:r w:rsidR="000036F4">
        <w:rPr>
          <w:rFonts w:ascii="Verdana" w:hAnsi="Verdana"/>
          <w:noProof/>
          <w:sz w:val="22"/>
          <w:szCs w:val="22"/>
        </w:rPr>
        <w:t>the Health Board adheres to.</w:t>
      </w:r>
      <w:r w:rsidRPr="00420DA3">
        <w:rPr>
          <w:rFonts w:ascii="Verdana" w:hAnsi="Verdana"/>
          <w:noProof/>
          <w:sz w:val="22"/>
          <w:szCs w:val="22"/>
        </w:rPr>
        <w:br/>
      </w:r>
    </w:p>
    <w:p w14:paraId="2FD916B7" w14:textId="490FD2E5" w:rsidR="00420DA3" w:rsidRPr="00420DA3" w:rsidRDefault="00420DA3" w:rsidP="00420DA3">
      <w:pPr>
        <w:pStyle w:val="ListParagraph"/>
        <w:numPr>
          <w:ilvl w:val="0"/>
          <w:numId w:val="20"/>
        </w:numPr>
        <w:rPr>
          <w:rFonts w:ascii="Verdana" w:hAnsi="Verdana"/>
          <w:b/>
          <w:bCs/>
          <w:noProof/>
          <w:sz w:val="22"/>
          <w:szCs w:val="22"/>
        </w:rPr>
      </w:pPr>
      <w:r w:rsidRPr="00420DA3">
        <w:rPr>
          <w:rFonts w:ascii="Verdana" w:hAnsi="Verdana"/>
          <w:b/>
          <w:bCs/>
          <w:noProof/>
          <w:sz w:val="22"/>
          <w:szCs w:val="22"/>
        </w:rPr>
        <w:t>Any separate discharge criteria used for day surgery / ambulatory patients being discharged home from recovery (e.g. PADSS or equivalent), if applicable.</w:t>
      </w:r>
      <w:r>
        <w:rPr>
          <w:rFonts w:ascii="Verdana" w:hAnsi="Verdana"/>
          <w:b/>
          <w:bCs/>
          <w:noProof/>
          <w:sz w:val="22"/>
          <w:szCs w:val="22"/>
        </w:rPr>
        <w:br/>
      </w:r>
      <w:r w:rsidR="000036F4">
        <w:rPr>
          <w:rFonts w:ascii="Verdana" w:hAnsi="Verdana"/>
          <w:noProof/>
          <w:sz w:val="22"/>
          <w:szCs w:val="22"/>
        </w:rPr>
        <w:t>The p</w:t>
      </w:r>
      <w:r w:rsidRPr="00420DA3">
        <w:rPr>
          <w:rFonts w:ascii="Verdana" w:hAnsi="Verdana"/>
          <w:noProof/>
          <w:sz w:val="22"/>
          <w:szCs w:val="22"/>
        </w:rPr>
        <w:t>rocess for day cases via T</w:t>
      </w:r>
      <w:r w:rsidR="00E63466">
        <w:rPr>
          <w:rFonts w:ascii="Verdana" w:hAnsi="Verdana"/>
          <w:noProof/>
          <w:sz w:val="22"/>
          <w:szCs w:val="22"/>
        </w:rPr>
        <w:t xml:space="preserve">heatre </w:t>
      </w:r>
      <w:r w:rsidRPr="00420DA3">
        <w:rPr>
          <w:rFonts w:ascii="Verdana" w:hAnsi="Verdana"/>
          <w:noProof/>
          <w:sz w:val="22"/>
          <w:szCs w:val="22"/>
        </w:rPr>
        <w:t>A</w:t>
      </w:r>
      <w:r w:rsidR="00E63466">
        <w:rPr>
          <w:rFonts w:ascii="Verdana" w:hAnsi="Verdana"/>
          <w:noProof/>
          <w:sz w:val="22"/>
          <w:szCs w:val="22"/>
        </w:rPr>
        <w:t xml:space="preserve">dmission </w:t>
      </w:r>
      <w:r w:rsidRPr="00420DA3">
        <w:rPr>
          <w:rFonts w:ascii="Verdana" w:hAnsi="Verdana"/>
          <w:noProof/>
          <w:sz w:val="22"/>
          <w:szCs w:val="22"/>
        </w:rPr>
        <w:t>U</w:t>
      </w:r>
      <w:r w:rsidR="00E63466">
        <w:rPr>
          <w:rFonts w:ascii="Verdana" w:hAnsi="Verdana"/>
          <w:noProof/>
          <w:sz w:val="22"/>
          <w:szCs w:val="22"/>
        </w:rPr>
        <w:t>nit</w:t>
      </w:r>
      <w:r w:rsidRPr="00420DA3">
        <w:rPr>
          <w:rFonts w:ascii="Verdana" w:hAnsi="Verdana"/>
          <w:noProof/>
          <w:sz w:val="22"/>
          <w:szCs w:val="22"/>
        </w:rPr>
        <w:t xml:space="preserve"> are the same. No ambulatory unit. </w:t>
      </w:r>
      <w:r w:rsidR="00E63466">
        <w:rPr>
          <w:rFonts w:ascii="Verdana" w:hAnsi="Verdana"/>
          <w:noProof/>
          <w:sz w:val="22"/>
          <w:szCs w:val="22"/>
        </w:rPr>
        <w:t>Our e</w:t>
      </w:r>
      <w:r w:rsidRPr="00420DA3">
        <w:rPr>
          <w:rFonts w:ascii="Verdana" w:hAnsi="Verdana"/>
          <w:noProof/>
          <w:sz w:val="22"/>
          <w:szCs w:val="22"/>
        </w:rPr>
        <w:t>lective patients pathway through either PACU, Pembroke ward or Clydach ward.</w:t>
      </w:r>
    </w:p>
    <w:p w14:paraId="4DFE5BBA" w14:textId="364949CA" w:rsidR="00420DA3" w:rsidRPr="00420DA3" w:rsidRDefault="00420DA3" w:rsidP="00420DA3">
      <w:pPr>
        <w:pStyle w:val="ListParagraph"/>
        <w:ind w:left="865"/>
        <w:rPr>
          <w:rFonts w:ascii="Verdana" w:hAnsi="Verdana"/>
          <w:b/>
          <w:bCs/>
          <w:noProof/>
          <w:sz w:val="22"/>
          <w:szCs w:val="22"/>
        </w:rPr>
      </w:pPr>
    </w:p>
    <w:p w14:paraId="4EC5CF6D" w14:textId="77777777" w:rsidR="004B5109" w:rsidRPr="004B5109" w:rsidRDefault="00420DA3" w:rsidP="000D50D7">
      <w:pPr>
        <w:pStyle w:val="ListParagraph"/>
        <w:numPr>
          <w:ilvl w:val="0"/>
          <w:numId w:val="20"/>
        </w:numPr>
        <w:ind w:left="851"/>
        <w:rPr>
          <w:rFonts w:ascii="Verdana" w:hAnsi="Verdana"/>
          <w:sz w:val="22"/>
          <w:szCs w:val="22"/>
        </w:rPr>
      </w:pPr>
      <w:r w:rsidRPr="000036F4">
        <w:rPr>
          <w:rFonts w:ascii="Verdana" w:hAnsi="Verdana"/>
          <w:b/>
          <w:bCs/>
          <w:noProof/>
          <w:sz w:val="22"/>
          <w:szCs w:val="22"/>
        </w:rPr>
        <w:lastRenderedPageBreak/>
        <w:t>The date these documents were last reviewed and approved.</w:t>
      </w:r>
      <w:r w:rsidRPr="000036F4">
        <w:rPr>
          <w:rFonts w:ascii="Verdana" w:hAnsi="Verdana"/>
          <w:b/>
          <w:bCs/>
          <w:noProof/>
          <w:sz w:val="22"/>
          <w:szCs w:val="22"/>
        </w:rPr>
        <w:br/>
      </w:r>
      <w:r w:rsidR="000036F4">
        <w:rPr>
          <w:rFonts w:ascii="Verdana" w:hAnsi="Verdana"/>
          <w:noProof/>
          <w:sz w:val="22"/>
          <w:szCs w:val="22"/>
        </w:rPr>
        <w:t>Please see attachments which are</w:t>
      </w:r>
      <w:r w:rsidRPr="000036F4">
        <w:rPr>
          <w:rFonts w:ascii="Verdana" w:hAnsi="Verdana"/>
          <w:noProof/>
          <w:sz w:val="22"/>
          <w:szCs w:val="22"/>
        </w:rPr>
        <w:t xml:space="preserve"> dated accordingly</w:t>
      </w:r>
      <w:r w:rsidR="00E63466">
        <w:rPr>
          <w:rFonts w:ascii="Verdana" w:hAnsi="Verdana"/>
          <w:noProof/>
          <w:sz w:val="22"/>
          <w:szCs w:val="22"/>
        </w:rPr>
        <w:t>. Please note that a</w:t>
      </w:r>
      <w:r w:rsidR="00E63466" w:rsidRPr="00420DA3">
        <w:rPr>
          <w:rFonts w:ascii="Verdana" w:hAnsi="Verdana"/>
          <w:noProof/>
          <w:sz w:val="22"/>
          <w:szCs w:val="22"/>
        </w:rPr>
        <w:t xml:space="preserve">ttached SOP 62 </w:t>
      </w:r>
      <w:r w:rsidR="00E63466">
        <w:rPr>
          <w:rFonts w:ascii="Verdana" w:hAnsi="Verdana"/>
          <w:noProof/>
          <w:sz w:val="22"/>
          <w:szCs w:val="22"/>
        </w:rPr>
        <w:t>and SOP 11 were reviewed in 2021.</w:t>
      </w:r>
      <w:r w:rsidR="00E63466">
        <w:rPr>
          <w:rFonts w:ascii="Verdana" w:hAnsi="Verdana"/>
          <w:b/>
          <w:bCs/>
          <w:noProof/>
          <w:sz w:val="22"/>
          <w:szCs w:val="22"/>
        </w:rPr>
        <w:br/>
      </w:r>
    </w:p>
    <w:p w14:paraId="15B36417" w14:textId="77777777" w:rsidR="004B5109" w:rsidRPr="004B5109" w:rsidRDefault="004B5109" w:rsidP="004B5109">
      <w:pPr>
        <w:pStyle w:val="ListParagraph"/>
        <w:rPr>
          <w:rFonts w:ascii="Verdana" w:hAnsi="Verdana"/>
          <w:noProof/>
          <w:sz w:val="22"/>
          <w:szCs w:val="22"/>
        </w:rPr>
      </w:pPr>
    </w:p>
    <w:p w14:paraId="7F202BA5" w14:textId="11156087" w:rsidR="00A115C7" w:rsidRPr="000036F4" w:rsidRDefault="00A115C7" w:rsidP="000036F4">
      <w:pPr>
        <w:ind w:left="284"/>
        <w:rPr>
          <w:rFonts w:ascii="Verdana" w:hAnsi="Verdana"/>
          <w:b/>
          <w:bCs/>
          <w:noProof/>
          <w:sz w:val="22"/>
          <w:szCs w:val="22"/>
        </w:rPr>
      </w:pPr>
      <w:r w:rsidRPr="000036F4">
        <w:rPr>
          <w:rFonts w:ascii="Verdana" w:hAnsi="Verdana"/>
          <w:sz w:val="22"/>
          <w:szCs w:val="22"/>
        </w:rPr>
        <w:t xml:space="preserve">I hope this information is helpful. If you require anything further, please contact us at </w:t>
      </w:r>
      <w:hyperlink r:id="rId8" w:history="1">
        <w:r w:rsidRPr="000036F4">
          <w:rPr>
            <w:rStyle w:val="Hyperlink"/>
            <w:rFonts w:ascii="Verdana" w:hAnsi="Verdana"/>
            <w:sz w:val="22"/>
            <w:szCs w:val="22"/>
          </w:rPr>
          <w:t>FOIA.Requests@wales.nhs.uk</w:t>
        </w:r>
      </w:hyperlink>
      <w:r w:rsidRPr="000036F4">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67C52" w14:textId="77777777" w:rsidR="008B7DBC" w:rsidRDefault="008B7DBC" w:rsidP="007D6A3E">
      <w:pPr>
        <w:spacing w:before="0" w:after="0" w:line="240" w:lineRule="auto"/>
      </w:pPr>
      <w:r>
        <w:separator/>
      </w:r>
    </w:p>
  </w:endnote>
  <w:endnote w:type="continuationSeparator" w:id="0">
    <w:p w14:paraId="332B3C2A" w14:textId="77777777" w:rsidR="008B7DBC" w:rsidRDefault="008B7DB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B5A1A" w14:textId="77777777" w:rsidR="008B7DBC" w:rsidRDefault="008B7DBC" w:rsidP="007D6A3E">
      <w:pPr>
        <w:spacing w:before="0" w:after="0" w:line="240" w:lineRule="auto"/>
      </w:pPr>
      <w:r>
        <w:separator/>
      </w:r>
    </w:p>
  </w:footnote>
  <w:footnote w:type="continuationSeparator" w:id="0">
    <w:p w14:paraId="47F816E1" w14:textId="77777777" w:rsidR="008B7DBC" w:rsidRDefault="008B7DB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D820550"/>
    <w:multiLevelType w:val="hybridMultilevel"/>
    <w:tmpl w:val="4ABA12F0"/>
    <w:lvl w:ilvl="0" w:tplc="D362ED2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5D3708E"/>
    <w:multiLevelType w:val="hybridMultilevel"/>
    <w:tmpl w:val="AB8A6E5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500269395">
    <w:abstractNumId w:val="18"/>
  </w:num>
  <w:num w:numId="20" w16cid:durableId="3946669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36F4"/>
    <w:rsid w:val="00040038"/>
    <w:rsid w:val="00095DF5"/>
    <w:rsid w:val="000A785B"/>
    <w:rsid w:val="000C00ED"/>
    <w:rsid w:val="000F6539"/>
    <w:rsid w:val="00111757"/>
    <w:rsid w:val="001276F0"/>
    <w:rsid w:val="001508FC"/>
    <w:rsid w:val="001636F9"/>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07D48"/>
    <w:rsid w:val="0035435D"/>
    <w:rsid w:val="00355B9A"/>
    <w:rsid w:val="003648A8"/>
    <w:rsid w:val="0039422D"/>
    <w:rsid w:val="003B09B5"/>
    <w:rsid w:val="003F2312"/>
    <w:rsid w:val="004039EB"/>
    <w:rsid w:val="00420DA3"/>
    <w:rsid w:val="00421E7F"/>
    <w:rsid w:val="00442A3A"/>
    <w:rsid w:val="00453C57"/>
    <w:rsid w:val="0047028C"/>
    <w:rsid w:val="0048724F"/>
    <w:rsid w:val="004B5109"/>
    <w:rsid w:val="004C59CA"/>
    <w:rsid w:val="004C7B47"/>
    <w:rsid w:val="004E1954"/>
    <w:rsid w:val="004F001A"/>
    <w:rsid w:val="004F010B"/>
    <w:rsid w:val="004F1E5A"/>
    <w:rsid w:val="004F4D32"/>
    <w:rsid w:val="005029F2"/>
    <w:rsid w:val="005040CA"/>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3815"/>
    <w:rsid w:val="00816437"/>
    <w:rsid w:val="00824D19"/>
    <w:rsid w:val="00846C1D"/>
    <w:rsid w:val="00873328"/>
    <w:rsid w:val="0089491A"/>
    <w:rsid w:val="008A2D60"/>
    <w:rsid w:val="008B7DBC"/>
    <w:rsid w:val="0090178A"/>
    <w:rsid w:val="00901D84"/>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45F0D"/>
    <w:rsid w:val="00A56076"/>
    <w:rsid w:val="00A67C0B"/>
    <w:rsid w:val="00A84640"/>
    <w:rsid w:val="00AB4D54"/>
    <w:rsid w:val="00AC7F3C"/>
    <w:rsid w:val="00AD5C51"/>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3466"/>
    <w:rsid w:val="00E77C78"/>
    <w:rsid w:val="00E817B3"/>
    <w:rsid w:val="00E90BC7"/>
    <w:rsid w:val="00EA2898"/>
    <w:rsid w:val="00EA57D4"/>
    <w:rsid w:val="00EB78D5"/>
    <w:rsid w:val="00EE0615"/>
    <w:rsid w:val="00F26B29"/>
    <w:rsid w:val="00F91A7E"/>
    <w:rsid w:val="00F93E6C"/>
    <w:rsid w:val="00F96598"/>
    <w:rsid w:val="00FA0C91"/>
    <w:rsid w:val="00FA177F"/>
    <w:rsid w:val="00FB1E56"/>
    <w:rsid w:val="00FD3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2</Pages>
  <Words>452</Words>
  <Characters>2523</Characters>
  <Application>Microsoft Office Word</Application>
  <DocSecurity>4</DocSecurity>
  <Lines>66</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Ceri Gimblett (Swansea Bay UHB - Neath Port Talbot and Singleton Service Group)</cp:lastModifiedBy>
  <cp:revision>2</cp:revision>
  <cp:lastPrinted>2019-03-26T11:11:00Z</cp:lastPrinted>
  <dcterms:created xsi:type="dcterms:W3CDTF">2026-07-28T13:48:00Z</dcterms:created>
  <dcterms:modified xsi:type="dcterms:W3CDTF">2026-07-28T13:48:00Z</dcterms:modified>
</cp:coreProperties>
</file>