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D3D55" w14:textId="3683A554" w:rsidR="00FD08DE" w:rsidRPr="00316075" w:rsidRDefault="00FD08DE" w:rsidP="00FD08DE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0" w:color="2E74B5" w:themeColor="accent1" w:themeShade="BF"/>
        </w:pBdr>
        <w:ind w:left="142" w:right="260"/>
        <w:jc w:val="center"/>
        <w:rPr>
          <w:sz w:val="28"/>
          <w:szCs w:val="24"/>
        </w:rPr>
      </w:pPr>
      <w:r w:rsidRPr="00316075">
        <w:rPr>
          <w:b/>
          <w:bCs/>
          <w:color w:val="FF0000"/>
          <w:sz w:val="28"/>
          <w:szCs w:val="24"/>
        </w:rPr>
        <w:t xml:space="preserve">On admission: </w:t>
      </w:r>
      <w:r w:rsidRPr="00316075">
        <w:rPr>
          <w:sz w:val="28"/>
          <w:szCs w:val="24"/>
        </w:rPr>
        <w:t>calculate STUMBL Score</w:t>
      </w:r>
      <w:r w:rsidR="00316075" w:rsidRPr="00316075">
        <w:rPr>
          <w:sz w:val="28"/>
          <w:szCs w:val="24"/>
        </w:rPr>
        <w:t xml:space="preserve"> (overleaf)</w:t>
      </w:r>
      <w:r w:rsidRPr="00316075">
        <w:rPr>
          <w:sz w:val="28"/>
          <w:szCs w:val="24"/>
        </w:rPr>
        <w:t>. If pain an issue,</w:t>
      </w:r>
      <w:r w:rsidRPr="00316075">
        <w:rPr>
          <w:b/>
          <w:bCs/>
          <w:sz w:val="28"/>
          <w:szCs w:val="24"/>
        </w:rPr>
        <w:t xml:space="preserve"> </w:t>
      </w:r>
      <w:r w:rsidRPr="00316075">
        <w:rPr>
          <w:sz w:val="28"/>
          <w:szCs w:val="24"/>
        </w:rPr>
        <w:t>liaise with pain team an</w:t>
      </w:r>
      <w:r w:rsidR="00761417" w:rsidRPr="00316075">
        <w:rPr>
          <w:sz w:val="28"/>
          <w:szCs w:val="24"/>
        </w:rPr>
        <w:t xml:space="preserve">d </w:t>
      </w:r>
      <w:r w:rsidR="00316075">
        <w:rPr>
          <w:sz w:val="28"/>
          <w:szCs w:val="24"/>
        </w:rPr>
        <w:t>contact chest trauma physio team</w:t>
      </w:r>
    </w:p>
    <w:p w14:paraId="68228E71" w14:textId="30DAAFCB" w:rsidR="00FD08DE" w:rsidRPr="00316075" w:rsidRDefault="00152C07" w:rsidP="00FD08DE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0" w:color="2E74B5" w:themeColor="accent1" w:themeShade="BF"/>
        </w:pBdr>
        <w:ind w:left="142" w:right="260"/>
        <w:jc w:val="center"/>
        <w:rPr>
          <w:b/>
          <w:bCs/>
          <w:szCs w:val="24"/>
        </w:rPr>
      </w:pPr>
      <w:r w:rsidRPr="00316075">
        <w:rPr>
          <w:i/>
          <w:iCs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00BEC" wp14:editId="0ED5C9C7">
                <wp:simplePos x="0" y="0"/>
                <wp:positionH relativeFrom="column">
                  <wp:posOffset>1422400</wp:posOffset>
                </wp:positionH>
                <wp:positionV relativeFrom="paragraph">
                  <wp:posOffset>384175</wp:posOffset>
                </wp:positionV>
                <wp:extent cx="6350" cy="377825"/>
                <wp:effectExtent l="0" t="0" r="31750" b="222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7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6FC2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30.25pt" to="112.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275C0D" w:rsidRPr="00316075">
        <w:rPr>
          <w:i/>
          <w:iCs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C5220" wp14:editId="4618CFC8">
                <wp:simplePos x="0" y="0"/>
                <wp:positionH relativeFrom="column">
                  <wp:posOffset>4813300</wp:posOffset>
                </wp:positionH>
                <wp:positionV relativeFrom="paragraph">
                  <wp:posOffset>377825</wp:posOffset>
                </wp:positionV>
                <wp:extent cx="6350" cy="412750"/>
                <wp:effectExtent l="0" t="0" r="317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12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0DB33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pt,29.75pt" to="379.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FD08DE" w:rsidRPr="00316075">
        <w:rPr>
          <w:i/>
          <w:iCs/>
          <w:szCs w:val="24"/>
        </w:rPr>
        <w:t>NB: STUMBL Score is a predictor of complications and should be considered together with broader clinical picture (including PMH and frailty, injury profile)</w:t>
      </w:r>
    </w:p>
    <w:p w14:paraId="342941C6" w14:textId="31C2D882" w:rsidR="00387856" w:rsidRDefault="0074788E">
      <w:pPr>
        <w:rPr>
          <w:sz w:val="24"/>
        </w:rPr>
      </w:pPr>
      <w:r>
        <w:rPr>
          <w:i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19EDE" wp14:editId="51A22F66">
                <wp:simplePos x="0" y="0"/>
                <wp:positionH relativeFrom="column">
                  <wp:posOffset>3429000</wp:posOffset>
                </wp:positionH>
                <wp:positionV relativeFrom="paragraph">
                  <wp:posOffset>4484370</wp:posOffset>
                </wp:positionV>
                <wp:extent cx="0" cy="3937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9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D7FC5" id="Straight Connector 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353.1pt" to="270pt,3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i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109752" wp14:editId="45E3744C">
                <wp:simplePos x="0" y="0"/>
                <wp:positionH relativeFrom="column">
                  <wp:posOffset>5008880</wp:posOffset>
                </wp:positionH>
                <wp:positionV relativeFrom="paragraph">
                  <wp:posOffset>2571750</wp:posOffset>
                </wp:positionV>
                <wp:extent cx="0" cy="310101"/>
                <wp:effectExtent l="0" t="0" r="19050" b="330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7A899" id="Straight Connector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4pt,202.5pt" to="394.4pt,2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387856">
        <w:rPr>
          <w:noProof/>
          <w:sz w:val="24"/>
          <w:lang w:eastAsia="en-GB"/>
        </w:rPr>
        <w:drawing>
          <wp:inline distT="0" distB="0" distL="0" distR="0" wp14:anchorId="6188906A" wp14:editId="08CD898D">
            <wp:extent cx="6505575" cy="637222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B5190B7" w14:textId="5C7184FF" w:rsidR="008B42F0" w:rsidRPr="00152C07" w:rsidRDefault="006900DB">
      <w:pPr>
        <w:rPr>
          <w:bCs/>
          <w:sz w:val="24"/>
          <w:szCs w:val="24"/>
        </w:rPr>
      </w:pPr>
      <w:r w:rsidRPr="00152C07">
        <w:rPr>
          <w:bCs/>
          <w:sz w:val="24"/>
          <w:szCs w:val="24"/>
        </w:rPr>
        <w:t xml:space="preserve">NB: To refer for a follow-up appointment, please email </w:t>
      </w:r>
      <w:r w:rsidR="009E30BF">
        <w:rPr>
          <w:bCs/>
          <w:sz w:val="24"/>
          <w:szCs w:val="24"/>
        </w:rPr>
        <w:t xml:space="preserve">Ceri Battle on </w:t>
      </w:r>
      <w:hyperlink r:id="rId12" w:history="1">
        <w:r w:rsidRPr="00152C07">
          <w:rPr>
            <w:rStyle w:val="Hyperlink"/>
            <w:bCs/>
            <w:sz w:val="24"/>
            <w:szCs w:val="24"/>
          </w:rPr>
          <w:t>ceri.battle@Wales.nhs.uk</w:t>
        </w:r>
      </w:hyperlink>
      <w:r w:rsidRPr="00152C07">
        <w:rPr>
          <w:bCs/>
          <w:sz w:val="24"/>
          <w:szCs w:val="24"/>
        </w:rPr>
        <w:t xml:space="preserve"> with the patient’s name, DOB and hospital number. Please include a brief summary of any relevant information (only if needed). </w:t>
      </w:r>
    </w:p>
    <w:p w14:paraId="2D8418F2" w14:textId="2BF4FD11" w:rsidR="008B42F0" w:rsidRDefault="008B42F0">
      <w:pPr>
        <w:rPr>
          <w:b/>
          <w:bCs/>
          <w:sz w:val="28"/>
          <w:szCs w:val="24"/>
        </w:rPr>
      </w:pPr>
    </w:p>
    <w:p w14:paraId="1D653205" w14:textId="77777777" w:rsidR="00A6409E" w:rsidRDefault="00A6409E" w:rsidP="7CB56DA9">
      <w:pPr>
        <w:rPr>
          <w:sz w:val="24"/>
          <w:szCs w:val="24"/>
        </w:rPr>
      </w:pPr>
    </w:p>
    <w:p w14:paraId="06A0F9EC" w14:textId="08B1CDAB" w:rsidR="00DB1BDF" w:rsidRDefault="00DB1BDF" w:rsidP="006C437D">
      <w:pPr>
        <w:jc w:val="center"/>
      </w:pPr>
      <w:r>
        <w:rPr>
          <w:noProof/>
          <w:lang w:eastAsia="en-GB"/>
        </w:rPr>
        <w:drawing>
          <wp:inline distT="0" distB="0" distL="0" distR="0" wp14:anchorId="296C42B4" wp14:editId="54EF4A4C">
            <wp:extent cx="5866960" cy="3300095"/>
            <wp:effectExtent l="19050" t="19050" r="19685" b="14605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7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027" cy="3301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4E49C4" w14:textId="77777777" w:rsidR="00316075" w:rsidRDefault="00DE7F50" w:rsidP="003160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7CB56DA9" w:rsidRPr="5D1492C2">
        <w:rPr>
          <w:sz w:val="24"/>
          <w:szCs w:val="24"/>
        </w:rPr>
        <w:t xml:space="preserve">  </w:t>
      </w:r>
    </w:p>
    <w:p w14:paraId="39BB6D0B" w14:textId="02056DB4" w:rsidR="00316075" w:rsidRPr="00316075" w:rsidRDefault="00316075" w:rsidP="00316075">
      <w:pPr>
        <w:rPr>
          <w:sz w:val="24"/>
          <w:szCs w:val="24"/>
        </w:rPr>
      </w:pPr>
      <w:r>
        <w:rPr>
          <w:b/>
          <w:bCs/>
          <w:sz w:val="28"/>
          <w:szCs w:val="24"/>
        </w:rPr>
        <w:t>Contact</w:t>
      </w:r>
      <w:r w:rsidRPr="00DB1BDF">
        <w:rPr>
          <w:b/>
          <w:bCs/>
          <w:sz w:val="28"/>
          <w:szCs w:val="24"/>
        </w:rPr>
        <w:t xml:space="preserve"> numbers: </w:t>
      </w:r>
    </w:p>
    <w:p w14:paraId="665307C0" w14:textId="77777777" w:rsidR="00316075" w:rsidRDefault="00316075" w:rsidP="00316075">
      <w:pPr>
        <w:rPr>
          <w:sz w:val="24"/>
        </w:rPr>
      </w:pPr>
    </w:p>
    <w:p w14:paraId="1A5D38E7" w14:textId="652A34E6" w:rsidR="00316075" w:rsidRDefault="00316075" w:rsidP="00316075">
      <w:pPr>
        <w:rPr>
          <w:sz w:val="24"/>
        </w:rPr>
      </w:pPr>
      <w:r>
        <w:rPr>
          <w:sz w:val="24"/>
        </w:rPr>
        <w:t>23920</w:t>
      </w:r>
      <w:r>
        <w:rPr>
          <w:sz w:val="24"/>
        </w:rPr>
        <w:tab/>
      </w:r>
      <w:r>
        <w:rPr>
          <w:sz w:val="24"/>
        </w:rPr>
        <w:tab/>
        <w:t>Chest trauma physio team</w:t>
      </w:r>
      <w:r w:rsidR="004253B3">
        <w:rPr>
          <w:sz w:val="24"/>
        </w:rPr>
        <w:t xml:space="preserve"> (to liaise with VW-FDS service)</w:t>
      </w:r>
    </w:p>
    <w:p w14:paraId="47A9DF47" w14:textId="25DB96B5" w:rsidR="00316075" w:rsidRDefault="00316075" w:rsidP="00420A16">
      <w:pPr>
        <w:jc w:val="both"/>
        <w:rPr>
          <w:sz w:val="24"/>
        </w:rPr>
      </w:pPr>
      <w:r>
        <w:rPr>
          <w:sz w:val="24"/>
        </w:rPr>
        <w:t>23997</w:t>
      </w:r>
      <w:r>
        <w:rPr>
          <w:sz w:val="24"/>
        </w:rPr>
        <w:tab/>
      </w:r>
      <w:r>
        <w:rPr>
          <w:sz w:val="24"/>
        </w:rPr>
        <w:tab/>
        <w:t>Pain Nurses (</w:t>
      </w:r>
      <w:r w:rsidRPr="00EA6FD2">
        <w:rPr>
          <w:sz w:val="24"/>
        </w:rPr>
        <w:t>For all wards EXCEPT Cardiothoracics</w:t>
      </w:r>
      <w:r>
        <w:rPr>
          <w:sz w:val="24"/>
        </w:rPr>
        <w:t>)</w:t>
      </w:r>
      <w:r w:rsidRPr="00EA6FD2">
        <w:rPr>
          <w:sz w:val="24"/>
        </w:rPr>
        <w:t xml:space="preserve">. Mon-Fri 8am-4pm. </w:t>
      </w:r>
      <w:r>
        <w:rPr>
          <w:sz w:val="24"/>
        </w:rPr>
        <w:tab/>
      </w:r>
      <w:r>
        <w:rPr>
          <w:sz w:val="24"/>
        </w:rPr>
        <w:tab/>
      </w:r>
    </w:p>
    <w:p w14:paraId="2EF532A4" w14:textId="580EE68F" w:rsidR="00527142" w:rsidRDefault="00527142" w:rsidP="0095093D">
      <w:pPr>
        <w:rPr>
          <w:sz w:val="24"/>
          <w:szCs w:val="24"/>
        </w:rPr>
      </w:pPr>
    </w:p>
    <w:p w14:paraId="3868B482" w14:textId="3EB2010B" w:rsidR="00527142" w:rsidRDefault="00527142" w:rsidP="0095093D">
      <w:pPr>
        <w:rPr>
          <w:sz w:val="24"/>
          <w:szCs w:val="24"/>
        </w:rPr>
      </w:pPr>
    </w:p>
    <w:p w14:paraId="76AE1446" w14:textId="316204C8" w:rsidR="00527142" w:rsidRPr="00540A2C" w:rsidRDefault="00527142" w:rsidP="0095093D">
      <w:pPr>
        <w:rPr>
          <w:b/>
          <w:sz w:val="28"/>
          <w:szCs w:val="24"/>
        </w:rPr>
      </w:pPr>
      <w:r w:rsidRPr="00540A2C">
        <w:rPr>
          <w:b/>
          <w:sz w:val="28"/>
          <w:szCs w:val="24"/>
        </w:rPr>
        <w:t xml:space="preserve">For use by chest trauma physio team only: </w:t>
      </w:r>
    </w:p>
    <w:p w14:paraId="01983156" w14:textId="3D127D7F" w:rsidR="00540A2C" w:rsidRPr="00540A2C" w:rsidRDefault="00540A2C" w:rsidP="00540A2C">
      <w:pPr>
        <w:rPr>
          <w:sz w:val="24"/>
          <w:szCs w:val="24"/>
        </w:rPr>
      </w:pPr>
      <w:r w:rsidRPr="00540A2C">
        <w:rPr>
          <w:sz w:val="24"/>
          <w:szCs w:val="24"/>
        </w:rPr>
        <w:t>23808</w:t>
      </w:r>
      <w:r w:rsidRPr="00540A2C">
        <w:rPr>
          <w:sz w:val="24"/>
          <w:szCs w:val="24"/>
        </w:rPr>
        <w:tab/>
      </w:r>
      <w:r w:rsidRPr="00540A2C">
        <w:rPr>
          <w:sz w:val="24"/>
          <w:szCs w:val="24"/>
        </w:rPr>
        <w:tab/>
        <w:t xml:space="preserve">Consultant Anaesthetist 7 days a week 8am-8pm, Anaesthetic SPR 8pm-8am. </w:t>
      </w:r>
    </w:p>
    <w:p w14:paraId="46A96EF5" w14:textId="3F1D7700" w:rsidR="00540A2C" w:rsidRPr="00540A2C" w:rsidRDefault="00540A2C" w:rsidP="00540A2C">
      <w:pPr>
        <w:rPr>
          <w:sz w:val="24"/>
          <w:szCs w:val="24"/>
        </w:rPr>
      </w:pPr>
      <w:r w:rsidRPr="00540A2C">
        <w:rPr>
          <w:sz w:val="24"/>
          <w:szCs w:val="24"/>
        </w:rPr>
        <w:t>23488</w:t>
      </w:r>
      <w:r w:rsidRPr="00540A2C">
        <w:rPr>
          <w:sz w:val="24"/>
          <w:szCs w:val="24"/>
        </w:rPr>
        <w:tab/>
      </w:r>
      <w:r w:rsidRPr="00540A2C">
        <w:rPr>
          <w:sz w:val="24"/>
          <w:szCs w:val="24"/>
        </w:rPr>
        <w:tab/>
        <w:t>Anaesthetic SPR/SHO 24/7</w:t>
      </w:r>
    </w:p>
    <w:p w14:paraId="3E618352" w14:textId="0FC8F5AD" w:rsidR="00527142" w:rsidRDefault="00540A2C" w:rsidP="00540A2C">
      <w:pPr>
        <w:rPr>
          <w:sz w:val="24"/>
          <w:szCs w:val="24"/>
        </w:rPr>
      </w:pPr>
      <w:r w:rsidRPr="00540A2C">
        <w:rPr>
          <w:sz w:val="24"/>
          <w:szCs w:val="24"/>
        </w:rPr>
        <w:t>23794</w:t>
      </w:r>
      <w:r w:rsidRPr="00540A2C">
        <w:rPr>
          <w:sz w:val="24"/>
          <w:szCs w:val="24"/>
        </w:rPr>
        <w:tab/>
      </w:r>
      <w:r w:rsidRPr="00540A2C">
        <w:rPr>
          <w:sz w:val="24"/>
          <w:szCs w:val="24"/>
        </w:rPr>
        <w:tab/>
        <w:t>Critical care outreach</w:t>
      </w:r>
    </w:p>
    <w:p w14:paraId="08DA5609" w14:textId="1F237BCB" w:rsidR="00DB1BDF" w:rsidRPr="0095093D" w:rsidRDefault="004253B3" w:rsidP="0095093D">
      <w:pPr>
        <w:rPr>
          <w:sz w:val="24"/>
          <w:szCs w:val="24"/>
        </w:rPr>
      </w:pPr>
      <w:r w:rsidRPr="009A29E4">
        <w:rPr>
          <w:sz w:val="24"/>
          <w:szCs w:val="24"/>
        </w:rPr>
        <w:t>#####</w:t>
      </w:r>
      <w:r w:rsidR="0095093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VW-FDS team</w:t>
      </w:r>
      <w:r w:rsidR="0095093D">
        <w:rPr>
          <w:sz w:val="24"/>
          <w:szCs w:val="24"/>
        </w:rPr>
        <w:t xml:space="preserve">                                               </w:t>
      </w:r>
      <w:r w:rsidR="00D23D5B">
        <w:rPr>
          <w:sz w:val="24"/>
          <w:szCs w:val="24"/>
        </w:rPr>
        <w:t xml:space="preserve">             </w:t>
      </w:r>
      <w:r w:rsidR="00D23D5B">
        <w:rPr>
          <w:sz w:val="24"/>
          <w:szCs w:val="24"/>
        </w:rPr>
        <w:tab/>
      </w:r>
      <w:r w:rsidR="0095093D">
        <w:rPr>
          <w:sz w:val="24"/>
          <w:szCs w:val="24"/>
        </w:rPr>
        <w:t xml:space="preserve">         </w:t>
      </w:r>
    </w:p>
    <w:sectPr w:rsidR="00DB1BDF" w:rsidRPr="0095093D" w:rsidSect="006900DB">
      <w:headerReference w:type="default" r:id="rId15"/>
      <w:footerReference w:type="default" r:id="rId16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5DC4" w14:textId="77777777" w:rsidR="006827E5" w:rsidRDefault="006827E5" w:rsidP="00C27B7D">
      <w:pPr>
        <w:spacing w:after="0" w:line="240" w:lineRule="auto"/>
      </w:pPr>
      <w:r>
        <w:separator/>
      </w:r>
    </w:p>
  </w:endnote>
  <w:endnote w:type="continuationSeparator" w:id="0">
    <w:p w14:paraId="56D3B74D" w14:textId="77777777" w:rsidR="006827E5" w:rsidRDefault="006827E5" w:rsidP="00C2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F906" w14:textId="48BBC80E" w:rsidR="00420A16" w:rsidRPr="00420A16" w:rsidRDefault="00420A16" w:rsidP="00420A16">
    <w:pPr>
      <w:pStyle w:val="Footer"/>
      <w:jc w:val="center"/>
    </w:pPr>
    <w:r>
      <w:rPr>
        <w:noProof/>
        <w:lang w:eastAsia="en-GB"/>
      </w:rPr>
      <w:drawing>
        <wp:inline distT="0" distB="0" distL="0" distR="0" wp14:anchorId="66F6A8F9" wp14:editId="66D18102">
          <wp:extent cx="2019300" cy="625894"/>
          <wp:effectExtent l="0" t="0" r="0" b="317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W_FULL COLOUR -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50" cy="633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9372" w14:textId="77777777" w:rsidR="006827E5" w:rsidRDefault="006827E5" w:rsidP="00C27B7D">
      <w:pPr>
        <w:spacing w:after="0" w:line="240" w:lineRule="auto"/>
      </w:pPr>
      <w:r>
        <w:separator/>
      </w:r>
    </w:p>
  </w:footnote>
  <w:footnote w:type="continuationSeparator" w:id="0">
    <w:p w14:paraId="4EE7C4F3" w14:textId="77777777" w:rsidR="006827E5" w:rsidRDefault="006827E5" w:rsidP="00C2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7686" w14:textId="7BF02E27" w:rsidR="006900DB" w:rsidRPr="006900DB" w:rsidRDefault="006900DB" w:rsidP="006900DB">
    <w:pPr>
      <w:rPr>
        <w:rStyle w:val="Emphasis"/>
        <w:bCs/>
        <w:i w:val="0"/>
        <w:iCs w:val="0"/>
        <w:sz w:val="36"/>
      </w:rPr>
    </w:pPr>
    <w:r>
      <w:t xml:space="preserve">     </w:t>
    </w:r>
    <w:r w:rsidR="006C437D">
      <w:rPr>
        <w:rStyle w:val="Emphasis"/>
        <w:bCs/>
        <w:i w:val="0"/>
        <w:iCs w:val="0"/>
        <w:sz w:val="36"/>
      </w:rPr>
      <w:t>Physio management pathway: b</w:t>
    </w:r>
    <w:r w:rsidRPr="006900DB">
      <w:rPr>
        <w:rStyle w:val="Emphasis"/>
        <w:bCs/>
        <w:i w:val="0"/>
        <w:iCs w:val="0"/>
        <w:sz w:val="36"/>
      </w:rPr>
      <w:t>lunt chest wall trauma</w:t>
    </w:r>
    <w:r>
      <w:rPr>
        <w:rStyle w:val="Emphasis"/>
        <w:bCs/>
        <w:i w:val="0"/>
        <w:iCs w:val="0"/>
        <w:sz w:val="36"/>
      </w:rPr>
      <w:t xml:space="preserve">    </w:t>
    </w:r>
    <w:r>
      <w:rPr>
        <w:noProof/>
        <w:lang w:eastAsia="en-GB"/>
      </w:rPr>
      <w:drawing>
        <wp:inline distT="0" distB="0" distL="0" distR="0" wp14:anchorId="49959FD5" wp14:editId="0C2189A5">
          <wp:extent cx="1028700" cy="283162"/>
          <wp:effectExtent l="0" t="0" r="0" b="3175"/>
          <wp:docPr id="8" name="Picture 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891" cy="293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E178C6" w14:textId="77777777" w:rsidR="00C27B7D" w:rsidRDefault="00C27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7853"/>
    <w:multiLevelType w:val="hybridMultilevel"/>
    <w:tmpl w:val="C8B09CC4"/>
    <w:lvl w:ilvl="0" w:tplc="526210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2A7804"/>
    <w:multiLevelType w:val="hybridMultilevel"/>
    <w:tmpl w:val="02E8FEEE"/>
    <w:lvl w:ilvl="0" w:tplc="823A7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40B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7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62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89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83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188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143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50A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2846555">
    <w:abstractNumId w:val="1"/>
  </w:num>
  <w:num w:numId="2" w16cid:durableId="113078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C1"/>
    <w:rsid w:val="000063BC"/>
    <w:rsid w:val="00020806"/>
    <w:rsid w:val="000E51BB"/>
    <w:rsid w:val="000F1551"/>
    <w:rsid w:val="0013290A"/>
    <w:rsid w:val="00152C07"/>
    <w:rsid w:val="00171299"/>
    <w:rsid w:val="001817A3"/>
    <w:rsid w:val="001B3113"/>
    <w:rsid w:val="001C6DFA"/>
    <w:rsid w:val="002163E6"/>
    <w:rsid w:val="002564C2"/>
    <w:rsid w:val="00275C0D"/>
    <w:rsid w:val="0029046B"/>
    <w:rsid w:val="002F090F"/>
    <w:rsid w:val="00316075"/>
    <w:rsid w:val="00387856"/>
    <w:rsid w:val="003B2B61"/>
    <w:rsid w:val="003F3233"/>
    <w:rsid w:val="003F7A32"/>
    <w:rsid w:val="00420A16"/>
    <w:rsid w:val="004253B3"/>
    <w:rsid w:val="004942B3"/>
    <w:rsid w:val="004D1391"/>
    <w:rsid w:val="00527142"/>
    <w:rsid w:val="00540A2C"/>
    <w:rsid w:val="005E2300"/>
    <w:rsid w:val="006122CD"/>
    <w:rsid w:val="006232B1"/>
    <w:rsid w:val="006827E5"/>
    <w:rsid w:val="006900DB"/>
    <w:rsid w:val="00696872"/>
    <w:rsid w:val="006C437D"/>
    <w:rsid w:val="006D3A29"/>
    <w:rsid w:val="006F6347"/>
    <w:rsid w:val="00727A0E"/>
    <w:rsid w:val="0074265E"/>
    <w:rsid w:val="0074788E"/>
    <w:rsid w:val="00761417"/>
    <w:rsid w:val="007620B4"/>
    <w:rsid w:val="007B2F51"/>
    <w:rsid w:val="007B7A04"/>
    <w:rsid w:val="008502C7"/>
    <w:rsid w:val="008B42F0"/>
    <w:rsid w:val="008F72E1"/>
    <w:rsid w:val="0092553F"/>
    <w:rsid w:val="0094115F"/>
    <w:rsid w:val="0095093D"/>
    <w:rsid w:val="00974D6A"/>
    <w:rsid w:val="009804CD"/>
    <w:rsid w:val="009A29E4"/>
    <w:rsid w:val="009A7109"/>
    <w:rsid w:val="009E30BF"/>
    <w:rsid w:val="009F2A24"/>
    <w:rsid w:val="00A01FED"/>
    <w:rsid w:val="00A44B8F"/>
    <w:rsid w:val="00A47EC1"/>
    <w:rsid w:val="00A6409E"/>
    <w:rsid w:val="00A720BA"/>
    <w:rsid w:val="00AB5220"/>
    <w:rsid w:val="00AD3C5E"/>
    <w:rsid w:val="00B31213"/>
    <w:rsid w:val="00B47EC2"/>
    <w:rsid w:val="00C27B7D"/>
    <w:rsid w:val="00C8544F"/>
    <w:rsid w:val="00CB6550"/>
    <w:rsid w:val="00D23D5B"/>
    <w:rsid w:val="00D67F18"/>
    <w:rsid w:val="00DB1BDF"/>
    <w:rsid w:val="00DD7543"/>
    <w:rsid w:val="00DE32C2"/>
    <w:rsid w:val="00DE6481"/>
    <w:rsid w:val="00DE7F50"/>
    <w:rsid w:val="00E45BBD"/>
    <w:rsid w:val="00E50672"/>
    <w:rsid w:val="00EA6FD2"/>
    <w:rsid w:val="00EF0065"/>
    <w:rsid w:val="00F05E9A"/>
    <w:rsid w:val="00F11962"/>
    <w:rsid w:val="00F41744"/>
    <w:rsid w:val="00FD08DE"/>
    <w:rsid w:val="5D1492C2"/>
    <w:rsid w:val="6061B108"/>
    <w:rsid w:val="68B08AEC"/>
    <w:rsid w:val="7CB5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FFFE0"/>
  <w15:chartTrackingRefBased/>
  <w15:docId w15:val="{575E2F42-32BC-4556-AA51-D2A3B0AF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7E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A47EC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878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27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B7D"/>
  </w:style>
  <w:style w:type="paragraph" w:styleId="Footer">
    <w:name w:val="footer"/>
    <w:basedOn w:val="Normal"/>
    <w:link w:val="FooterChar"/>
    <w:uiPriority w:val="99"/>
    <w:unhideWhenUsed/>
    <w:rsid w:val="00C27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B7D"/>
  </w:style>
  <w:style w:type="paragraph" w:styleId="ListParagraph">
    <w:name w:val="List Paragraph"/>
    <w:basedOn w:val="Normal"/>
    <w:uiPriority w:val="34"/>
    <w:qFormat/>
    <w:rsid w:val="00EA6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0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mailto:ceri.battle@Wales.nhs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CF84BB-7819-499B-A9AB-05B5DC3424D4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E49C219-0996-44A9-8B76-62AAD77C9463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200"/>
            <a:t>If STUMBL Score </a:t>
          </a:r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≤</a:t>
          </a:r>
          <a:r>
            <a:rPr lang="en-GB" sz="1200">
              <a:latin typeface="Calibri" panose="020F0502020204030204" pitchFamily="34" charset="0"/>
              <a:cs typeface="Calibri" panose="020F0502020204030204" pitchFamily="34" charset="0"/>
            </a:rPr>
            <a:t>16 and / or clinical presentation considered low risk:</a:t>
          </a:r>
          <a:endParaRPr lang="en-GB" sz="1200"/>
        </a:p>
      </dgm:t>
    </dgm:pt>
    <dgm:pt modelId="{59E3F98B-2751-4C65-BD4C-74A5CB992743}" type="parTrans" cxnId="{F508580D-3FE1-4367-938C-5D8BC802F191}">
      <dgm:prSet/>
      <dgm:spPr/>
      <dgm:t>
        <a:bodyPr/>
        <a:lstStyle/>
        <a:p>
          <a:endParaRPr lang="en-GB"/>
        </a:p>
      </dgm:t>
    </dgm:pt>
    <dgm:pt modelId="{A207D833-8A82-4BBF-BD09-51F7DA8BA46C}" type="sibTrans" cxnId="{F508580D-3FE1-4367-938C-5D8BC802F191}">
      <dgm:prSet/>
      <dgm:spPr/>
      <dgm:t>
        <a:bodyPr/>
        <a:lstStyle/>
        <a:p>
          <a:endParaRPr lang="en-GB"/>
        </a:p>
      </dgm:t>
    </dgm:pt>
    <dgm:pt modelId="{B465FF09-73C0-4793-AAB5-FA28EECD2020}">
      <dgm:prSet phldrT="[Text]" custT="1"/>
      <dgm:spPr/>
      <dgm:t>
        <a:bodyPr/>
        <a:lstStyle/>
        <a:p>
          <a:pPr algn="l"/>
          <a:r>
            <a:rPr lang="en-GB" sz="1200" b="1">
              <a:solidFill>
                <a:srgbClr val="FF0000"/>
              </a:solidFill>
            </a:rPr>
            <a:t>**Consider referral to Virtual Ward Fracture Discharge Service (liaise with inpatient chest trauma physio team)</a:t>
          </a:r>
        </a:p>
        <a:p>
          <a:pPr algn="l"/>
          <a:r>
            <a:rPr lang="en-GB" sz="1200" b="1">
              <a:solidFill>
                <a:sysClr val="windowText" lastClr="000000"/>
              </a:solidFill>
            </a:rPr>
            <a:t>0-72 hours post admission: </a:t>
          </a:r>
          <a:r>
            <a:rPr lang="en-GB" sz="1200"/>
            <a:t>Daily assessment and intervention (more frequent if clinical suspicion of deterioration) </a:t>
          </a:r>
        </a:p>
      </dgm:t>
    </dgm:pt>
    <dgm:pt modelId="{5B1B2F81-E1A9-4827-8352-4AF928A5A000}" type="parTrans" cxnId="{B4E98402-4C9C-4EDA-8CD0-A4E8188F2109}">
      <dgm:prSet/>
      <dgm:spPr/>
      <dgm:t>
        <a:bodyPr/>
        <a:lstStyle/>
        <a:p>
          <a:endParaRPr lang="en-GB"/>
        </a:p>
      </dgm:t>
    </dgm:pt>
    <dgm:pt modelId="{2314562F-C095-4866-AD06-FAE012083E43}" type="sibTrans" cxnId="{B4E98402-4C9C-4EDA-8CD0-A4E8188F2109}">
      <dgm:prSet/>
      <dgm:spPr/>
      <dgm:t>
        <a:bodyPr/>
        <a:lstStyle/>
        <a:p>
          <a:endParaRPr lang="en-GB"/>
        </a:p>
      </dgm:t>
    </dgm:pt>
    <dgm:pt modelId="{7957274E-BF22-4CED-BF00-155520D27310}">
      <dgm:prSet phldrT="[Text]" custT="1"/>
      <dgm:spPr/>
      <dgm:t>
        <a:bodyPr/>
        <a:lstStyle/>
        <a:p>
          <a:pPr algn="l"/>
          <a:r>
            <a:rPr lang="en-GB" sz="1200" b="1">
              <a:solidFill>
                <a:sysClr val="windowText" lastClr="000000"/>
              </a:solidFill>
            </a:rPr>
            <a:t>&gt;72 hours post admission: </a:t>
          </a:r>
        </a:p>
        <a:p>
          <a:pPr algn="l"/>
          <a:r>
            <a:rPr lang="en-GB" sz="1200"/>
            <a:t>Patients to be stratified by clinical assessment of risk </a:t>
          </a:r>
        </a:p>
        <a:p>
          <a:pPr algn="l"/>
          <a:r>
            <a:rPr lang="en-GB" sz="1200" b="1">
              <a:solidFill>
                <a:srgbClr val="7030A0"/>
              </a:solidFill>
            </a:rPr>
            <a:t>* Low risk: </a:t>
          </a:r>
          <a:r>
            <a:rPr lang="en-GB" sz="1200"/>
            <a:t>Monitor only and advise re return to ADL, work and exercise.</a:t>
          </a:r>
        </a:p>
        <a:p>
          <a:pPr algn="l"/>
          <a:r>
            <a:rPr lang="en-GB" sz="1200" b="1">
              <a:solidFill>
                <a:srgbClr val="7030A0"/>
              </a:solidFill>
            </a:rPr>
            <a:t>* Moderate risk: </a:t>
          </a:r>
          <a:r>
            <a:rPr lang="en-GB" sz="1200"/>
            <a:t>Once daily review. Supervised intervention as indicated. </a:t>
          </a:r>
        </a:p>
        <a:p>
          <a:pPr algn="l"/>
          <a:r>
            <a:rPr lang="en-GB" sz="1200" b="1">
              <a:solidFill>
                <a:srgbClr val="7030A0"/>
              </a:solidFill>
            </a:rPr>
            <a:t>* High risk: </a:t>
          </a:r>
          <a:r>
            <a:rPr lang="en-GB" sz="1200"/>
            <a:t>Full physio intervention.</a:t>
          </a:r>
        </a:p>
      </dgm:t>
    </dgm:pt>
    <dgm:pt modelId="{C346E2F6-74ED-44AC-9C38-D924C80D6CFF}" type="parTrans" cxnId="{882596B3-F889-4692-805C-535FFE12E54B}">
      <dgm:prSet/>
      <dgm:spPr/>
      <dgm:t>
        <a:bodyPr/>
        <a:lstStyle/>
        <a:p>
          <a:endParaRPr lang="en-GB"/>
        </a:p>
      </dgm:t>
    </dgm:pt>
    <dgm:pt modelId="{7F977C0D-93EA-4B9A-8FD6-C19C93D6DCBD}" type="sibTrans" cxnId="{882596B3-F889-4692-805C-535FFE12E54B}">
      <dgm:prSet/>
      <dgm:spPr/>
      <dgm:t>
        <a:bodyPr/>
        <a:lstStyle/>
        <a:p>
          <a:endParaRPr lang="en-GB"/>
        </a:p>
      </dgm:t>
    </dgm:pt>
    <dgm:pt modelId="{77151428-A549-4BC0-A719-7E62FD471036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200"/>
            <a:t>If STUMBL Score &gt;16 and / or clinical presentation considered high risk:</a:t>
          </a:r>
        </a:p>
      </dgm:t>
    </dgm:pt>
    <dgm:pt modelId="{7CC0DC04-A015-44BB-A58E-25F73DE84ACC}" type="parTrans" cxnId="{B94266E1-FC87-4972-87B4-4E47131ED224}">
      <dgm:prSet/>
      <dgm:spPr/>
      <dgm:t>
        <a:bodyPr/>
        <a:lstStyle/>
        <a:p>
          <a:endParaRPr lang="en-GB"/>
        </a:p>
      </dgm:t>
    </dgm:pt>
    <dgm:pt modelId="{8C71B85F-BAA9-4444-AAA9-4F9E778EA7C1}" type="sibTrans" cxnId="{B94266E1-FC87-4972-87B4-4E47131ED224}">
      <dgm:prSet/>
      <dgm:spPr/>
      <dgm:t>
        <a:bodyPr/>
        <a:lstStyle/>
        <a:p>
          <a:endParaRPr lang="en-GB"/>
        </a:p>
      </dgm:t>
    </dgm:pt>
    <dgm:pt modelId="{656C5AE7-D219-4101-859D-975C5875D67E}">
      <dgm:prSet phldrT="[Text]" custT="1"/>
      <dgm:spPr/>
      <dgm:t>
        <a:bodyPr/>
        <a:lstStyle/>
        <a:p>
          <a:pPr algn="l"/>
          <a:r>
            <a:rPr lang="en-GB" sz="1200" b="1">
              <a:solidFill>
                <a:sysClr val="windowText" lastClr="000000"/>
              </a:solidFill>
            </a:rPr>
            <a:t>0-72 hours post admission:</a:t>
          </a:r>
          <a:r>
            <a:rPr lang="en-GB" sz="1200">
              <a:solidFill>
                <a:sysClr val="windowText" lastClr="000000"/>
              </a:solidFill>
            </a:rPr>
            <a:t> </a:t>
          </a:r>
          <a:r>
            <a:rPr lang="en-GB" sz="1200"/>
            <a:t>Twice daily assessment and intervention (IS provided to this group). If deteriorating, liaise with chest trauma physio team</a:t>
          </a:r>
        </a:p>
      </dgm:t>
    </dgm:pt>
    <dgm:pt modelId="{ABAFB39A-96C8-468E-9A45-AEEBE2C64B0F}" type="parTrans" cxnId="{CC1011BD-2C4D-4F2B-B572-0B042F2A0D88}">
      <dgm:prSet/>
      <dgm:spPr/>
      <dgm:t>
        <a:bodyPr/>
        <a:lstStyle/>
        <a:p>
          <a:endParaRPr lang="en-GB"/>
        </a:p>
      </dgm:t>
    </dgm:pt>
    <dgm:pt modelId="{F29A89DF-1542-4854-8973-6557BCB47B29}" type="sibTrans" cxnId="{CC1011BD-2C4D-4F2B-B572-0B042F2A0D88}">
      <dgm:prSet/>
      <dgm:spPr/>
      <dgm:t>
        <a:bodyPr/>
        <a:lstStyle/>
        <a:p>
          <a:endParaRPr lang="en-GB"/>
        </a:p>
      </dgm:t>
    </dgm:pt>
    <dgm:pt modelId="{4D86B28B-3436-481A-9F5F-9A8F14435041}">
      <dgm:prSet custT="1"/>
      <dgm:spPr/>
      <dgm:t>
        <a:bodyPr/>
        <a:lstStyle/>
        <a:p>
          <a:pPr algn="l"/>
          <a:endParaRPr lang="en-GB" sz="1000"/>
        </a:p>
        <a:p>
          <a:pPr algn="l"/>
          <a:r>
            <a:rPr lang="en-GB" sz="1200" b="1">
              <a:solidFill>
                <a:sysClr val="windowText" lastClr="000000"/>
              </a:solidFill>
            </a:rPr>
            <a:t>On discharge: Give patient information resource and refer for a follow-up appointment if:</a:t>
          </a:r>
        </a:p>
        <a:p>
          <a:pPr algn="l"/>
          <a:r>
            <a:rPr lang="en-GB" sz="1200"/>
            <a:t>1: Chest trauma is the primary injury </a:t>
          </a:r>
        </a:p>
        <a:p>
          <a:pPr algn="l"/>
          <a:r>
            <a:rPr lang="en-GB" sz="1200"/>
            <a:t>2. The patient is not going to be followed-up by another team</a:t>
          </a:r>
        </a:p>
        <a:p>
          <a:pPr algn="l"/>
          <a:r>
            <a:rPr lang="en-GB" sz="1200"/>
            <a:t>3. The patient has sufficient capacity to complete outcome measures</a:t>
          </a:r>
        </a:p>
        <a:p>
          <a:pPr algn="l"/>
          <a:endParaRPr lang="en-GB" sz="1200"/>
        </a:p>
      </dgm:t>
    </dgm:pt>
    <dgm:pt modelId="{0D77A090-06A7-44D4-AA16-B73BC8F716BC}" type="parTrans" cxnId="{A22F04EB-7238-4410-8261-F0EE9B285DFD}">
      <dgm:prSet/>
      <dgm:spPr/>
      <dgm:t>
        <a:bodyPr/>
        <a:lstStyle/>
        <a:p>
          <a:endParaRPr lang="en-GB"/>
        </a:p>
      </dgm:t>
    </dgm:pt>
    <dgm:pt modelId="{71CE8DEC-0D07-4198-9F75-32D06F1E8F03}" type="sibTrans" cxnId="{A22F04EB-7238-4410-8261-F0EE9B285DFD}">
      <dgm:prSet/>
      <dgm:spPr/>
      <dgm:t>
        <a:bodyPr/>
        <a:lstStyle/>
        <a:p>
          <a:endParaRPr lang="en-GB"/>
        </a:p>
      </dgm:t>
    </dgm:pt>
    <dgm:pt modelId="{5CCE5B0D-D1D6-4222-B077-A66CC9212046}" type="pres">
      <dgm:prSet presAssocID="{D0CF84BB-7819-499B-A9AB-05B5DC3424D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358FD80-C1CF-4734-8C55-F16E5B8EBEE0}" type="pres">
      <dgm:prSet presAssocID="{6E49C219-0996-44A9-8B76-62AAD77C9463}" presName="root" presStyleCnt="0"/>
      <dgm:spPr/>
    </dgm:pt>
    <dgm:pt modelId="{875634B3-B017-4E4D-A41D-9E9C8270B1FC}" type="pres">
      <dgm:prSet presAssocID="{6E49C219-0996-44A9-8B76-62AAD77C9463}" presName="rootComposite" presStyleCnt="0"/>
      <dgm:spPr/>
    </dgm:pt>
    <dgm:pt modelId="{B3A6E2D2-AF1E-4D9F-871F-83A14CF1D80B}" type="pres">
      <dgm:prSet presAssocID="{6E49C219-0996-44A9-8B76-62AAD77C9463}" presName="rootText" presStyleLbl="node1" presStyleIdx="0" presStyleCnt="2" custScaleY="53268" custLinFactNeighborX="-7"/>
      <dgm:spPr/>
    </dgm:pt>
    <dgm:pt modelId="{CA582DB6-27B0-4579-9597-FBB77EA3BE25}" type="pres">
      <dgm:prSet presAssocID="{6E49C219-0996-44A9-8B76-62AAD77C9463}" presName="rootConnector" presStyleLbl="node1" presStyleIdx="0" presStyleCnt="2"/>
      <dgm:spPr/>
    </dgm:pt>
    <dgm:pt modelId="{3927E268-7A8C-4AC8-960E-BD62A31DEC2A}" type="pres">
      <dgm:prSet presAssocID="{6E49C219-0996-44A9-8B76-62AAD77C9463}" presName="childShape" presStyleCnt="0"/>
      <dgm:spPr/>
    </dgm:pt>
    <dgm:pt modelId="{24BCEC9E-7779-4C34-9F98-E1226B120364}" type="pres">
      <dgm:prSet presAssocID="{5B1B2F81-E1A9-4827-8352-4AF928A5A000}" presName="Name13" presStyleLbl="parChTrans1D2" presStyleIdx="0" presStyleCnt="4"/>
      <dgm:spPr/>
    </dgm:pt>
    <dgm:pt modelId="{A7D19CA7-6443-409D-868F-4076E76441D0}" type="pres">
      <dgm:prSet presAssocID="{B465FF09-73C0-4793-AAB5-FA28EECD2020}" presName="childText" presStyleLbl="bgAcc1" presStyleIdx="0" presStyleCnt="4" custScaleX="129433" custScaleY="111316" custLinFactNeighborX="-394" custLinFactNeighborY="-10708">
        <dgm:presLayoutVars>
          <dgm:bulletEnabled val="1"/>
        </dgm:presLayoutVars>
      </dgm:prSet>
      <dgm:spPr/>
    </dgm:pt>
    <dgm:pt modelId="{3146413F-C300-4C4D-A1F5-B714540FF10B}" type="pres">
      <dgm:prSet presAssocID="{C346E2F6-74ED-44AC-9C38-D924C80D6CFF}" presName="Name13" presStyleLbl="parChTrans1D2" presStyleIdx="1" presStyleCnt="4"/>
      <dgm:spPr/>
    </dgm:pt>
    <dgm:pt modelId="{D5C50121-1FB1-4439-8A73-6E04E258C9F0}" type="pres">
      <dgm:prSet presAssocID="{7957274E-BF22-4CED-BF00-155520D27310}" presName="childText" presStyleLbl="bgAcc1" presStyleIdx="1" presStyleCnt="4" custScaleX="293643" custScaleY="121352" custLinFactNeighborX="95" custLinFactNeighborY="-4135">
        <dgm:presLayoutVars>
          <dgm:bulletEnabled val="1"/>
        </dgm:presLayoutVars>
      </dgm:prSet>
      <dgm:spPr/>
    </dgm:pt>
    <dgm:pt modelId="{991F8504-904C-49AC-8E5E-4350C94A5E63}" type="pres">
      <dgm:prSet presAssocID="{0D77A090-06A7-44D4-AA16-B73BC8F716BC}" presName="Name13" presStyleLbl="parChTrans1D2" presStyleIdx="2" presStyleCnt="4"/>
      <dgm:spPr/>
    </dgm:pt>
    <dgm:pt modelId="{0C23B0C2-519D-4621-B22C-9E49E73924BA}" type="pres">
      <dgm:prSet presAssocID="{4D86B28B-3436-481A-9F5F-9A8F14435041}" presName="childText" presStyleLbl="bgAcc1" presStyleIdx="2" presStyleCnt="4" custScaleX="299796" custScaleY="97637" custLinFactNeighborX="-1171" custLinFactNeighborY="3214">
        <dgm:presLayoutVars>
          <dgm:bulletEnabled val="1"/>
        </dgm:presLayoutVars>
      </dgm:prSet>
      <dgm:spPr/>
    </dgm:pt>
    <dgm:pt modelId="{372CDC34-0FC3-40C6-8B1F-E7F6DDF2E2C9}" type="pres">
      <dgm:prSet presAssocID="{77151428-A549-4BC0-A719-7E62FD471036}" presName="root" presStyleCnt="0"/>
      <dgm:spPr/>
    </dgm:pt>
    <dgm:pt modelId="{8CE104B9-5B9C-40CF-AEA1-9174B5C71FA3}" type="pres">
      <dgm:prSet presAssocID="{77151428-A549-4BC0-A719-7E62FD471036}" presName="rootComposite" presStyleCnt="0"/>
      <dgm:spPr/>
    </dgm:pt>
    <dgm:pt modelId="{A12C4F28-9A50-4C72-83DC-20BD48EEB05C}" type="pres">
      <dgm:prSet presAssocID="{77151428-A549-4BC0-A719-7E62FD471036}" presName="rootText" presStyleLbl="node1" presStyleIdx="1" presStyleCnt="2" custScaleY="49253"/>
      <dgm:spPr/>
    </dgm:pt>
    <dgm:pt modelId="{98C7F377-1BB7-451D-BAE0-78530449012F}" type="pres">
      <dgm:prSet presAssocID="{77151428-A549-4BC0-A719-7E62FD471036}" presName="rootConnector" presStyleLbl="node1" presStyleIdx="1" presStyleCnt="2"/>
      <dgm:spPr/>
    </dgm:pt>
    <dgm:pt modelId="{FBE64C36-867C-4C94-B8C3-9EAD523E4E04}" type="pres">
      <dgm:prSet presAssocID="{77151428-A549-4BC0-A719-7E62FD471036}" presName="childShape" presStyleCnt="0"/>
      <dgm:spPr/>
    </dgm:pt>
    <dgm:pt modelId="{06DCEB99-B847-4C8F-9CC0-187D45DB5931}" type="pres">
      <dgm:prSet presAssocID="{ABAFB39A-96C8-468E-9A45-AEEBE2C64B0F}" presName="Name13" presStyleLbl="parChTrans1D2" presStyleIdx="3" presStyleCnt="4"/>
      <dgm:spPr/>
    </dgm:pt>
    <dgm:pt modelId="{22FA2FE9-B9A3-4D8D-8BE2-F627DB2003E8}" type="pres">
      <dgm:prSet presAssocID="{656C5AE7-D219-4101-859D-975C5875D67E}" presName="childText" presStyleLbl="bgAcc1" presStyleIdx="3" presStyleCnt="4" custScaleX="135230" custScaleY="107495" custLinFactNeighborX="146" custLinFactNeighborY="-4187">
        <dgm:presLayoutVars>
          <dgm:bulletEnabled val="1"/>
        </dgm:presLayoutVars>
      </dgm:prSet>
      <dgm:spPr/>
    </dgm:pt>
  </dgm:ptLst>
  <dgm:cxnLst>
    <dgm:cxn modelId="{B4E98402-4C9C-4EDA-8CD0-A4E8188F2109}" srcId="{6E49C219-0996-44A9-8B76-62AAD77C9463}" destId="{B465FF09-73C0-4793-AAB5-FA28EECD2020}" srcOrd="0" destOrd="0" parTransId="{5B1B2F81-E1A9-4827-8352-4AF928A5A000}" sibTransId="{2314562F-C095-4866-AD06-FAE012083E43}"/>
    <dgm:cxn modelId="{F508580D-3FE1-4367-938C-5D8BC802F191}" srcId="{D0CF84BB-7819-499B-A9AB-05B5DC3424D4}" destId="{6E49C219-0996-44A9-8B76-62AAD77C9463}" srcOrd="0" destOrd="0" parTransId="{59E3F98B-2751-4C65-BD4C-74A5CB992743}" sibTransId="{A207D833-8A82-4BBF-BD09-51F7DA8BA46C}"/>
    <dgm:cxn modelId="{0692CB0E-CE3E-4520-B1E6-9755E6D77C5B}" type="presOf" srcId="{D0CF84BB-7819-499B-A9AB-05B5DC3424D4}" destId="{5CCE5B0D-D1D6-4222-B077-A66CC9212046}" srcOrd="0" destOrd="0" presId="urn:microsoft.com/office/officeart/2005/8/layout/hierarchy3"/>
    <dgm:cxn modelId="{D7E9C93B-B88D-461F-9C2E-709D080B6191}" type="presOf" srcId="{77151428-A549-4BC0-A719-7E62FD471036}" destId="{A12C4F28-9A50-4C72-83DC-20BD48EEB05C}" srcOrd="0" destOrd="0" presId="urn:microsoft.com/office/officeart/2005/8/layout/hierarchy3"/>
    <dgm:cxn modelId="{7791E85E-5A56-407F-A118-16FB911609D1}" type="presOf" srcId="{656C5AE7-D219-4101-859D-975C5875D67E}" destId="{22FA2FE9-B9A3-4D8D-8BE2-F627DB2003E8}" srcOrd="0" destOrd="0" presId="urn:microsoft.com/office/officeart/2005/8/layout/hierarchy3"/>
    <dgm:cxn modelId="{E7E0BF59-5444-4D87-8CF3-5F4927E8C3D8}" type="presOf" srcId="{C346E2F6-74ED-44AC-9C38-D924C80D6CFF}" destId="{3146413F-C300-4C4D-A1F5-B714540FF10B}" srcOrd="0" destOrd="0" presId="urn:microsoft.com/office/officeart/2005/8/layout/hierarchy3"/>
    <dgm:cxn modelId="{FD4C1CB2-A628-45DE-ABE5-6FF52F02DA80}" type="presOf" srcId="{ABAFB39A-96C8-468E-9A45-AEEBE2C64B0F}" destId="{06DCEB99-B847-4C8F-9CC0-187D45DB5931}" srcOrd="0" destOrd="0" presId="urn:microsoft.com/office/officeart/2005/8/layout/hierarchy3"/>
    <dgm:cxn modelId="{882596B3-F889-4692-805C-535FFE12E54B}" srcId="{6E49C219-0996-44A9-8B76-62AAD77C9463}" destId="{7957274E-BF22-4CED-BF00-155520D27310}" srcOrd="1" destOrd="0" parTransId="{C346E2F6-74ED-44AC-9C38-D924C80D6CFF}" sibTransId="{7F977C0D-93EA-4B9A-8FD6-C19C93D6DCBD}"/>
    <dgm:cxn modelId="{1A4048BB-B350-462B-8CF8-309B1965721D}" type="presOf" srcId="{B465FF09-73C0-4793-AAB5-FA28EECD2020}" destId="{A7D19CA7-6443-409D-868F-4076E76441D0}" srcOrd="0" destOrd="0" presId="urn:microsoft.com/office/officeart/2005/8/layout/hierarchy3"/>
    <dgm:cxn modelId="{CC1011BD-2C4D-4F2B-B572-0B042F2A0D88}" srcId="{77151428-A549-4BC0-A719-7E62FD471036}" destId="{656C5AE7-D219-4101-859D-975C5875D67E}" srcOrd="0" destOrd="0" parTransId="{ABAFB39A-96C8-468E-9A45-AEEBE2C64B0F}" sibTransId="{F29A89DF-1542-4854-8973-6557BCB47B29}"/>
    <dgm:cxn modelId="{24223BC3-6542-477D-8F13-AC442A963283}" type="presOf" srcId="{0D77A090-06A7-44D4-AA16-B73BC8F716BC}" destId="{991F8504-904C-49AC-8E5E-4350C94A5E63}" srcOrd="0" destOrd="0" presId="urn:microsoft.com/office/officeart/2005/8/layout/hierarchy3"/>
    <dgm:cxn modelId="{43060BD2-FD53-4134-95E4-AFC144C25378}" type="presOf" srcId="{4D86B28B-3436-481A-9F5F-9A8F14435041}" destId="{0C23B0C2-519D-4621-B22C-9E49E73924BA}" srcOrd="0" destOrd="0" presId="urn:microsoft.com/office/officeart/2005/8/layout/hierarchy3"/>
    <dgm:cxn modelId="{B79F9ED2-15BD-4B73-ABF7-3F873239D92D}" type="presOf" srcId="{6E49C219-0996-44A9-8B76-62AAD77C9463}" destId="{CA582DB6-27B0-4579-9597-FBB77EA3BE25}" srcOrd="1" destOrd="0" presId="urn:microsoft.com/office/officeart/2005/8/layout/hierarchy3"/>
    <dgm:cxn modelId="{F6F9A9D5-9D13-427E-917D-5E49A41BDD99}" type="presOf" srcId="{5B1B2F81-E1A9-4827-8352-4AF928A5A000}" destId="{24BCEC9E-7779-4C34-9F98-E1226B120364}" srcOrd="0" destOrd="0" presId="urn:microsoft.com/office/officeart/2005/8/layout/hierarchy3"/>
    <dgm:cxn modelId="{C9D661DD-459E-4EE3-9A5C-0920B3489399}" type="presOf" srcId="{7957274E-BF22-4CED-BF00-155520D27310}" destId="{D5C50121-1FB1-4439-8A73-6E04E258C9F0}" srcOrd="0" destOrd="0" presId="urn:microsoft.com/office/officeart/2005/8/layout/hierarchy3"/>
    <dgm:cxn modelId="{B94266E1-FC87-4972-87B4-4E47131ED224}" srcId="{D0CF84BB-7819-499B-A9AB-05B5DC3424D4}" destId="{77151428-A549-4BC0-A719-7E62FD471036}" srcOrd="1" destOrd="0" parTransId="{7CC0DC04-A015-44BB-A58E-25F73DE84ACC}" sibTransId="{8C71B85F-BAA9-4444-AAA9-4F9E778EA7C1}"/>
    <dgm:cxn modelId="{15D7ADE5-E9F1-41A3-9288-1E28272EC192}" type="presOf" srcId="{6E49C219-0996-44A9-8B76-62AAD77C9463}" destId="{B3A6E2D2-AF1E-4D9F-871F-83A14CF1D80B}" srcOrd="0" destOrd="0" presId="urn:microsoft.com/office/officeart/2005/8/layout/hierarchy3"/>
    <dgm:cxn modelId="{A22F04EB-7238-4410-8261-F0EE9B285DFD}" srcId="{6E49C219-0996-44A9-8B76-62AAD77C9463}" destId="{4D86B28B-3436-481A-9F5F-9A8F14435041}" srcOrd="2" destOrd="0" parTransId="{0D77A090-06A7-44D4-AA16-B73BC8F716BC}" sibTransId="{71CE8DEC-0D07-4198-9F75-32D06F1E8F03}"/>
    <dgm:cxn modelId="{3599BBFC-AB35-47A9-B523-DA592C0022DD}" type="presOf" srcId="{77151428-A549-4BC0-A719-7E62FD471036}" destId="{98C7F377-1BB7-451D-BAE0-78530449012F}" srcOrd="1" destOrd="0" presId="urn:microsoft.com/office/officeart/2005/8/layout/hierarchy3"/>
    <dgm:cxn modelId="{B0B755A2-36CE-4751-80CD-596C46702E4E}" type="presParOf" srcId="{5CCE5B0D-D1D6-4222-B077-A66CC9212046}" destId="{E358FD80-C1CF-4734-8C55-F16E5B8EBEE0}" srcOrd="0" destOrd="0" presId="urn:microsoft.com/office/officeart/2005/8/layout/hierarchy3"/>
    <dgm:cxn modelId="{0573ED9F-12F5-47C7-B3B8-DF22392B84C3}" type="presParOf" srcId="{E358FD80-C1CF-4734-8C55-F16E5B8EBEE0}" destId="{875634B3-B017-4E4D-A41D-9E9C8270B1FC}" srcOrd="0" destOrd="0" presId="urn:microsoft.com/office/officeart/2005/8/layout/hierarchy3"/>
    <dgm:cxn modelId="{374455D5-E315-44EA-AD20-1DBA6E8926A3}" type="presParOf" srcId="{875634B3-B017-4E4D-A41D-9E9C8270B1FC}" destId="{B3A6E2D2-AF1E-4D9F-871F-83A14CF1D80B}" srcOrd="0" destOrd="0" presId="urn:microsoft.com/office/officeart/2005/8/layout/hierarchy3"/>
    <dgm:cxn modelId="{47962A20-706C-451E-A755-4E0B21839676}" type="presParOf" srcId="{875634B3-B017-4E4D-A41D-9E9C8270B1FC}" destId="{CA582DB6-27B0-4579-9597-FBB77EA3BE25}" srcOrd="1" destOrd="0" presId="urn:microsoft.com/office/officeart/2005/8/layout/hierarchy3"/>
    <dgm:cxn modelId="{23D629F1-6C77-4023-A5CE-5863A9E18B50}" type="presParOf" srcId="{E358FD80-C1CF-4734-8C55-F16E5B8EBEE0}" destId="{3927E268-7A8C-4AC8-960E-BD62A31DEC2A}" srcOrd="1" destOrd="0" presId="urn:microsoft.com/office/officeart/2005/8/layout/hierarchy3"/>
    <dgm:cxn modelId="{A4C88C75-BE32-4592-BD07-A34E5532E09B}" type="presParOf" srcId="{3927E268-7A8C-4AC8-960E-BD62A31DEC2A}" destId="{24BCEC9E-7779-4C34-9F98-E1226B120364}" srcOrd="0" destOrd="0" presId="urn:microsoft.com/office/officeart/2005/8/layout/hierarchy3"/>
    <dgm:cxn modelId="{FC631999-28FD-40CD-B9D9-5154B888C52D}" type="presParOf" srcId="{3927E268-7A8C-4AC8-960E-BD62A31DEC2A}" destId="{A7D19CA7-6443-409D-868F-4076E76441D0}" srcOrd="1" destOrd="0" presId="urn:microsoft.com/office/officeart/2005/8/layout/hierarchy3"/>
    <dgm:cxn modelId="{7D516150-4B19-4FA1-BBFF-F7A729B4331F}" type="presParOf" srcId="{3927E268-7A8C-4AC8-960E-BD62A31DEC2A}" destId="{3146413F-C300-4C4D-A1F5-B714540FF10B}" srcOrd="2" destOrd="0" presId="urn:microsoft.com/office/officeart/2005/8/layout/hierarchy3"/>
    <dgm:cxn modelId="{8A28C4C8-EDAD-4A75-BBCF-2E8E277BF382}" type="presParOf" srcId="{3927E268-7A8C-4AC8-960E-BD62A31DEC2A}" destId="{D5C50121-1FB1-4439-8A73-6E04E258C9F0}" srcOrd="3" destOrd="0" presId="urn:microsoft.com/office/officeart/2005/8/layout/hierarchy3"/>
    <dgm:cxn modelId="{9E8DF112-BFB4-4F86-B7AB-D06BE686169A}" type="presParOf" srcId="{3927E268-7A8C-4AC8-960E-BD62A31DEC2A}" destId="{991F8504-904C-49AC-8E5E-4350C94A5E63}" srcOrd="4" destOrd="0" presId="urn:microsoft.com/office/officeart/2005/8/layout/hierarchy3"/>
    <dgm:cxn modelId="{3C2385D3-BC9D-4C80-A449-D43F8658365D}" type="presParOf" srcId="{3927E268-7A8C-4AC8-960E-BD62A31DEC2A}" destId="{0C23B0C2-519D-4621-B22C-9E49E73924BA}" srcOrd="5" destOrd="0" presId="urn:microsoft.com/office/officeart/2005/8/layout/hierarchy3"/>
    <dgm:cxn modelId="{AE2D90B3-0D1D-466E-BE06-542F9F69A6E7}" type="presParOf" srcId="{5CCE5B0D-D1D6-4222-B077-A66CC9212046}" destId="{372CDC34-0FC3-40C6-8B1F-E7F6DDF2E2C9}" srcOrd="1" destOrd="0" presId="urn:microsoft.com/office/officeart/2005/8/layout/hierarchy3"/>
    <dgm:cxn modelId="{51FCBD32-E702-405D-AA26-7CCC40B85DD0}" type="presParOf" srcId="{372CDC34-0FC3-40C6-8B1F-E7F6DDF2E2C9}" destId="{8CE104B9-5B9C-40CF-AEA1-9174B5C71FA3}" srcOrd="0" destOrd="0" presId="urn:microsoft.com/office/officeart/2005/8/layout/hierarchy3"/>
    <dgm:cxn modelId="{06D653F4-B7DC-42C8-964C-9B4144E0C921}" type="presParOf" srcId="{8CE104B9-5B9C-40CF-AEA1-9174B5C71FA3}" destId="{A12C4F28-9A50-4C72-83DC-20BD48EEB05C}" srcOrd="0" destOrd="0" presId="urn:microsoft.com/office/officeart/2005/8/layout/hierarchy3"/>
    <dgm:cxn modelId="{7A74B872-10AE-45F9-9EDA-B6CB3164D23F}" type="presParOf" srcId="{8CE104B9-5B9C-40CF-AEA1-9174B5C71FA3}" destId="{98C7F377-1BB7-451D-BAE0-78530449012F}" srcOrd="1" destOrd="0" presId="urn:microsoft.com/office/officeart/2005/8/layout/hierarchy3"/>
    <dgm:cxn modelId="{2F752D7F-F709-44A7-8044-9816B12FE083}" type="presParOf" srcId="{372CDC34-0FC3-40C6-8B1F-E7F6DDF2E2C9}" destId="{FBE64C36-867C-4C94-B8C3-9EAD523E4E04}" srcOrd="1" destOrd="0" presId="urn:microsoft.com/office/officeart/2005/8/layout/hierarchy3"/>
    <dgm:cxn modelId="{B339633A-DA9B-41E0-AA46-7A12DADCBB27}" type="presParOf" srcId="{FBE64C36-867C-4C94-B8C3-9EAD523E4E04}" destId="{06DCEB99-B847-4C8F-9CC0-187D45DB5931}" srcOrd="0" destOrd="0" presId="urn:microsoft.com/office/officeart/2005/8/layout/hierarchy3"/>
    <dgm:cxn modelId="{9BB5F6F9-76EC-4A65-9613-138229FC1FB4}" type="presParOf" srcId="{FBE64C36-867C-4C94-B8C3-9EAD523E4E04}" destId="{22FA2FE9-B9A3-4D8D-8BE2-F627DB2003E8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6E2D2-AF1E-4D9F-871F-83A14CF1D80B}">
      <dsp:nvSpPr>
        <dsp:cNvPr id="0" name=""/>
        <dsp:cNvSpPr/>
      </dsp:nvSpPr>
      <dsp:spPr>
        <a:xfrm>
          <a:off x="596" y="316452"/>
          <a:ext cx="2503121" cy="666681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If STUMBL Score </a:t>
          </a: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≤</a:t>
          </a:r>
          <a:r>
            <a:rPr lang="en-GB" sz="1200" kern="1200">
              <a:latin typeface="Calibri" panose="020F0502020204030204" pitchFamily="34" charset="0"/>
              <a:cs typeface="Calibri" panose="020F0502020204030204" pitchFamily="34" charset="0"/>
            </a:rPr>
            <a:t>16 and / or clinical presentation considered low risk:</a:t>
          </a:r>
          <a:endParaRPr lang="en-GB" sz="1200" kern="1200"/>
        </a:p>
      </dsp:txBody>
      <dsp:txXfrm>
        <a:off x="20122" y="335978"/>
        <a:ext cx="2464069" cy="627629"/>
      </dsp:txXfrm>
    </dsp:sp>
    <dsp:sp modelId="{24BCEC9E-7779-4C34-9F98-E1226B120364}">
      <dsp:nvSpPr>
        <dsp:cNvPr id="0" name=""/>
        <dsp:cNvSpPr/>
      </dsp:nvSpPr>
      <dsp:spPr>
        <a:xfrm>
          <a:off x="250908" y="983133"/>
          <a:ext cx="242597" cy="875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5466"/>
              </a:lnTo>
              <a:lnTo>
                <a:pt x="242597" y="87546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19CA7-6443-409D-868F-4076E76441D0}">
      <dsp:nvSpPr>
        <dsp:cNvPr id="0" name=""/>
        <dsp:cNvSpPr/>
      </dsp:nvSpPr>
      <dsp:spPr>
        <a:xfrm>
          <a:off x="493506" y="1162006"/>
          <a:ext cx="2591892" cy="13931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0000"/>
              </a:solidFill>
            </a:rPr>
            <a:t>**Consider referral to Virtual Ward Fracture Discharge Service (liaise with inpatient chest trauma physio team)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0-72 hours post admission: </a:t>
          </a:r>
          <a:r>
            <a:rPr lang="en-GB" sz="1200" kern="1200"/>
            <a:t>Daily assessment and intervention (more frequent if clinical suspicion of deterioration) </a:t>
          </a:r>
        </a:p>
      </dsp:txBody>
      <dsp:txXfrm>
        <a:off x="534311" y="1202811"/>
        <a:ext cx="2510282" cy="1311577"/>
      </dsp:txXfrm>
    </dsp:sp>
    <dsp:sp modelId="{3146413F-C300-4C4D-A1F5-B714540FF10B}">
      <dsp:nvSpPr>
        <dsp:cNvPr id="0" name=""/>
        <dsp:cNvSpPr/>
      </dsp:nvSpPr>
      <dsp:spPr>
        <a:xfrm>
          <a:off x="250908" y="983133"/>
          <a:ext cx="252389" cy="27266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6612"/>
              </a:lnTo>
              <a:lnTo>
                <a:pt x="252389" y="27266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C50121-1FB1-4439-8A73-6E04E258C9F0}">
      <dsp:nvSpPr>
        <dsp:cNvPr id="0" name=""/>
        <dsp:cNvSpPr/>
      </dsp:nvSpPr>
      <dsp:spPr>
        <a:xfrm>
          <a:off x="503298" y="2950349"/>
          <a:ext cx="5880193" cy="15187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&gt;72 hours post admission: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Patients to be stratified by clinical assessment of risk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7030A0"/>
              </a:solidFill>
            </a:rPr>
            <a:t>* Low risk: </a:t>
          </a:r>
          <a:r>
            <a:rPr lang="en-GB" sz="1200" kern="1200"/>
            <a:t>Monitor only and advise re return to ADL, work and exercise.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7030A0"/>
              </a:solidFill>
            </a:rPr>
            <a:t>* Moderate risk: </a:t>
          </a:r>
          <a:r>
            <a:rPr lang="en-GB" sz="1200" kern="1200"/>
            <a:t>Once daily review. Supervised intervention as indicated.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7030A0"/>
              </a:solidFill>
            </a:rPr>
            <a:t>* High risk: </a:t>
          </a:r>
          <a:r>
            <a:rPr lang="en-GB" sz="1200" kern="1200"/>
            <a:t>Full physio intervention.</a:t>
          </a:r>
        </a:p>
      </dsp:txBody>
      <dsp:txXfrm>
        <a:off x="547782" y="2994833"/>
        <a:ext cx="5791225" cy="1429826"/>
      </dsp:txXfrm>
    </dsp:sp>
    <dsp:sp modelId="{991F8504-904C-49AC-8E5E-4350C94A5E63}">
      <dsp:nvSpPr>
        <dsp:cNvPr id="0" name=""/>
        <dsp:cNvSpPr/>
      </dsp:nvSpPr>
      <dsp:spPr>
        <a:xfrm>
          <a:off x="250908" y="983133"/>
          <a:ext cx="227038" cy="4501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01870"/>
              </a:lnTo>
              <a:lnTo>
                <a:pt x="227038" y="45018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23B0C2-519D-4621-B22C-9E49E73924BA}">
      <dsp:nvSpPr>
        <dsp:cNvPr id="0" name=""/>
        <dsp:cNvSpPr/>
      </dsp:nvSpPr>
      <dsp:spPr>
        <a:xfrm>
          <a:off x="477947" y="4874011"/>
          <a:ext cx="6003406" cy="12219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On discharge: Give patient information resource and refer for a follow-up appointment if: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1: Chest trauma is the primary injury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2. The patient is not going to be followed-up by another team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3. The patient has sufficient capacity to complete outcome measures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>
        <a:off x="513738" y="4909802"/>
        <a:ext cx="5931824" cy="1150404"/>
      </dsp:txXfrm>
    </dsp:sp>
    <dsp:sp modelId="{A12C4F28-9A50-4C72-83DC-20BD48EEB05C}">
      <dsp:nvSpPr>
        <dsp:cNvPr id="0" name=""/>
        <dsp:cNvSpPr/>
      </dsp:nvSpPr>
      <dsp:spPr>
        <a:xfrm>
          <a:off x="3218444" y="316452"/>
          <a:ext cx="2503121" cy="616431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If STUMBL Score &gt;16 and / or clinical presentation considered high risk:</a:t>
          </a:r>
        </a:p>
      </dsp:txBody>
      <dsp:txXfrm>
        <a:off x="3236499" y="334507"/>
        <a:ext cx="2467011" cy="580321"/>
      </dsp:txXfrm>
    </dsp:sp>
    <dsp:sp modelId="{06DCEB99-B847-4C8F-9CC0-187D45DB5931}">
      <dsp:nvSpPr>
        <dsp:cNvPr id="0" name=""/>
        <dsp:cNvSpPr/>
      </dsp:nvSpPr>
      <dsp:spPr>
        <a:xfrm>
          <a:off x="3468756" y="932883"/>
          <a:ext cx="253235" cy="9331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3170"/>
              </a:lnTo>
              <a:lnTo>
                <a:pt x="253235" y="9331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FA2FE9-B9A3-4D8D-8BE2-F627DB2003E8}">
      <dsp:nvSpPr>
        <dsp:cNvPr id="0" name=""/>
        <dsp:cNvSpPr/>
      </dsp:nvSpPr>
      <dsp:spPr>
        <a:xfrm>
          <a:off x="3721992" y="1193371"/>
          <a:ext cx="2707977" cy="134536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0-72 hours post admission:</a:t>
          </a:r>
          <a:r>
            <a:rPr lang="en-GB" sz="1200" kern="1200">
              <a:solidFill>
                <a:sysClr val="windowText" lastClr="000000"/>
              </a:solidFill>
            </a:rPr>
            <a:t> </a:t>
          </a:r>
          <a:r>
            <a:rPr lang="en-GB" sz="1200" kern="1200"/>
            <a:t>Twice daily assessment and intervention (IS provided to this group). If deteriorating, liaise with chest trauma physio team</a:t>
          </a:r>
        </a:p>
      </dsp:txBody>
      <dsp:txXfrm>
        <a:off x="3761396" y="1232775"/>
        <a:ext cx="2629169" cy="12665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Battle (Swansea Bay UHB - Physiotherapy)</dc:creator>
  <cp:keywords/>
  <dc:description/>
  <cp:lastModifiedBy>Louise Megrath (Swansea Bay UHB - Corporate Services)</cp:lastModifiedBy>
  <cp:revision>3</cp:revision>
  <cp:lastPrinted>2022-07-20T11:50:00Z</cp:lastPrinted>
  <dcterms:created xsi:type="dcterms:W3CDTF">2024-08-06T11:41:00Z</dcterms:created>
  <dcterms:modified xsi:type="dcterms:W3CDTF">2026-07-28T07:31:00Z</dcterms:modified>
</cp:coreProperties>
</file>