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AB4040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655A1">
                              <w:rPr>
                                <w:rFonts w:ascii="Verdana" w:hAnsi="Verdana"/>
                                <w:b/>
                                <w:sz w:val="22"/>
                                <w:szCs w:val="22"/>
                              </w:rPr>
                              <w:t>26-F-047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55A1">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AB4040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655A1">
                        <w:rPr>
                          <w:rFonts w:ascii="Verdana" w:hAnsi="Verdana"/>
                          <w:b/>
                          <w:sz w:val="22"/>
                          <w:szCs w:val="22"/>
                        </w:rPr>
                        <w:t>26-F-047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55A1">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6BB2DFE3" w14:textId="77777777" w:rsidR="009655A1" w:rsidRPr="009655A1" w:rsidRDefault="009655A1" w:rsidP="009655A1">
      <w:pPr>
        <w:rPr>
          <w:rFonts w:ascii="Verdana" w:hAnsi="Verdana"/>
          <w:b/>
          <w:bCs/>
          <w:noProof/>
          <w:sz w:val="22"/>
          <w:szCs w:val="22"/>
        </w:rPr>
      </w:pPr>
      <w:r w:rsidRPr="009655A1">
        <w:rPr>
          <w:rFonts w:ascii="Verdana" w:hAnsi="Verdana"/>
          <w:b/>
          <w:bCs/>
          <w:noProof/>
          <w:sz w:val="22"/>
          <w:szCs w:val="22"/>
        </w:rPr>
        <w:t>Please provide the following data for each of the last three calendar years (2023, 2024, and 2025). Please categorise all data using the NHS standard 18+1 ethnic category codes. If granular data triggers privacy thresholds or Section 40 exemptions, please group them into broad categories (White, Black African, Black Caribbean, Mixed Black, Asian, Mixed/Other, and Not Stated/Unknown).</w:t>
      </w:r>
    </w:p>
    <w:p w14:paraId="4843E700" w14:textId="77777777" w:rsidR="009655A1" w:rsidRPr="009655A1" w:rsidRDefault="009655A1" w:rsidP="009655A1">
      <w:pPr>
        <w:rPr>
          <w:rFonts w:ascii="Verdana" w:hAnsi="Verdana"/>
          <w:b/>
          <w:bCs/>
          <w:noProof/>
          <w:sz w:val="22"/>
          <w:szCs w:val="22"/>
        </w:rPr>
      </w:pPr>
      <w:r w:rsidRPr="009655A1">
        <w:rPr>
          <w:rFonts w:ascii="Verdana" w:hAnsi="Verdana"/>
          <w:b/>
          <w:bCs/>
          <w:noProof/>
          <w:sz w:val="22"/>
          <w:szCs w:val="22"/>
        </w:rPr>
        <w:t>Specifically, I request:</w:t>
      </w:r>
    </w:p>
    <w:p w14:paraId="7001B540" w14:textId="14C8FE98" w:rsidR="009655A1" w:rsidRPr="009655A1" w:rsidRDefault="009655A1" w:rsidP="009655A1">
      <w:pPr>
        <w:pStyle w:val="ListParagraph"/>
        <w:numPr>
          <w:ilvl w:val="0"/>
          <w:numId w:val="20"/>
        </w:numPr>
        <w:rPr>
          <w:rFonts w:ascii="Verdana" w:hAnsi="Verdana"/>
          <w:b/>
          <w:bCs/>
          <w:noProof/>
          <w:sz w:val="22"/>
          <w:szCs w:val="22"/>
        </w:rPr>
      </w:pPr>
      <w:r w:rsidRPr="009655A1">
        <w:rPr>
          <w:rFonts w:ascii="Verdana" w:hAnsi="Verdana"/>
          <w:b/>
          <w:bCs/>
          <w:noProof/>
          <w:sz w:val="22"/>
          <w:szCs w:val="22"/>
        </w:rPr>
        <w:t>Total Diagnoses &amp; Age Baseline</w:t>
      </w:r>
    </w:p>
    <w:p w14:paraId="0C9358AE" w14:textId="0319EDE2" w:rsidR="009655A1" w:rsidRPr="009655A1" w:rsidRDefault="009655A1" w:rsidP="009655A1">
      <w:pPr>
        <w:pStyle w:val="ListParagraph"/>
        <w:numPr>
          <w:ilvl w:val="0"/>
          <w:numId w:val="22"/>
        </w:numPr>
        <w:rPr>
          <w:rFonts w:ascii="Verdana" w:hAnsi="Verdana"/>
          <w:b/>
          <w:bCs/>
          <w:noProof/>
          <w:sz w:val="22"/>
          <w:szCs w:val="22"/>
        </w:rPr>
      </w:pPr>
      <w:r w:rsidRPr="009655A1">
        <w:rPr>
          <w:rFonts w:ascii="Verdana" w:hAnsi="Verdana"/>
          <w:b/>
          <w:bCs/>
          <w:noProof/>
          <w:sz w:val="22"/>
          <w:szCs w:val="22"/>
        </w:rPr>
        <w:t>The total number of patients newly diagnosed with prostate cancer (ICD-10 code C61), broken down by ethnic group.</w:t>
      </w:r>
    </w:p>
    <w:p w14:paraId="0BBDCB94" w14:textId="352846E8" w:rsidR="009655A1" w:rsidRPr="009655A1" w:rsidRDefault="009655A1" w:rsidP="009655A1">
      <w:pPr>
        <w:pStyle w:val="ListParagraph"/>
        <w:numPr>
          <w:ilvl w:val="0"/>
          <w:numId w:val="22"/>
        </w:numPr>
        <w:rPr>
          <w:rFonts w:ascii="Verdana" w:hAnsi="Verdana"/>
          <w:b/>
          <w:bCs/>
          <w:noProof/>
          <w:sz w:val="22"/>
          <w:szCs w:val="22"/>
        </w:rPr>
      </w:pPr>
      <w:r w:rsidRPr="009655A1">
        <w:rPr>
          <w:rFonts w:ascii="Verdana" w:hAnsi="Verdana"/>
          <w:b/>
          <w:bCs/>
          <w:noProof/>
          <w:sz w:val="22"/>
          <w:szCs w:val="22"/>
        </w:rPr>
        <w:t>The median age at diagnosis for prostate cancer patients, broken down by ethnic group.</w:t>
      </w:r>
    </w:p>
    <w:p w14:paraId="0B37A15E" w14:textId="423043C7" w:rsidR="009655A1" w:rsidRPr="009655A1" w:rsidRDefault="009655A1" w:rsidP="009655A1">
      <w:pPr>
        <w:pStyle w:val="ListParagraph"/>
        <w:numPr>
          <w:ilvl w:val="0"/>
          <w:numId w:val="22"/>
        </w:numPr>
        <w:rPr>
          <w:rFonts w:ascii="Verdana" w:hAnsi="Verdana"/>
          <w:b/>
          <w:bCs/>
          <w:noProof/>
          <w:sz w:val="22"/>
          <w:szCs w:val="22"/>
        </w:rPr>
      </w:pPr>
      <w:r w:rsidRPr="009655A1">
        <w:rPr>
          <w:rFonts w:ascii="Verdana" w:hAnsi="Verdana"/>
          <w:b/>
          <w:bCs/>
          <w:noProof/>
          <w:sz w:val="22"/>
          <w:szCs w:val="22"/>
        </w:rPr>
        <w:t>The total number of individuals diagnosed under the age of 55, broken down by ethnic group.</w:t>
      </w:r>
      <w:r>
        <w:rPr>
          <w:rFonts w:ascii="Verdana" w:hAnsi="Verdana"/>
          <w:b/>
          <w:bCs/>
          <w:noProof/>
          <w:sz w:val="22"/>
          <w:szCs w:val="22"/>
        </w:rPr>
        <w:br/>
      </w:r>
      <w:r w:rsidR="00943740">
        <w:rPr>
          <w:rFonts w:ascii="Verdana" w:hAnsi="Verdana"/>
          <w:b/>
          <w:bCs/>
          <w:noProof/>
          <w:sz w:val="22"/>
          <w:szCs w:val="22"/>
        </w:rPr>
        <w:br/>
      </w:r>
      <w:r w:rsidR="00943740" w:rsidRPr="00943740">
        <w:rPr>
          <w:rFonts w:ascii="Verdana" w:hAnsi="Verdana"/>
          <w:noProof/>
          <w:sz w:val="22"/>
          <w:szCs w:val="22"/>
        </w:rPr>
        <w:t>I can confirm t</w:t>
      </w:r>
      <w:r w:rsidR="00943740" w:rsidRPr="00943740">
        <w:t>hat t</w:t>
      </w:r>
      <w:r w:rsidR="00943740" w:rsidRPr="00943740">
        <w:rPr>
          <w:rFonts w:ascii="Verdana" w:hAnsi="Verdana"/>
          <w:noProof/>
          <w:sz w:val="22"/>
          <w:szCs w:val="22"/>
        </w:rPr>
        <w: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943740">
        <w:rPr>
          <w:rFonts w:ascii="Verdana" w:hAnsi="Verdana"/>
          <w:b/>
          <w:bCs/>
          <w:noProof/>
          <w:sz w:val="22"/>
          <w:szCs w:val="22"/>
        </w:rPr>
        <w:br/>
      </w:r>
    </w:p>
    <w:p w14:paraId="70365A41" w14:textId="441DD3D2" w:rsidR="009655A1" w:rsidRPr="009655A1" w:rsidRDefault="009655A1" w:rsidP="009655A1">
      <w:pPr>
        <w:pStyle w:val="ListParagraph"/>
        <w:numPr>
          <w:ilvl w:val="0"/>
          <w:numId w:val="20"/>
        </w:numPr>
        <w:rPr>
          <w:rFonts w:ascii="Verdana" w:hAnsi="Verdana"/>
          <w:b/>
          <w:bCs/>
          <w:noProof/>
          <w:sz w:val="22"/>
          <w:szCs w:val="22"/>
        </w:rPr>
      </w:pPr>
      <w:r w:rsidRPr="009655A1">
        <w:rPr>
          <w:rFonts w:ascii="Verdana" w:hAnsi="Verdana"/>
          <w:b/>
          <w:bCs/>
          <w:noProof/>
          <w:sz w:val="22"/>
          <w:szCs w:val="22"/>
        </w:rPr>
        <w:t>Stage at Diagnosis</w:t>
      </w:r>
    </w:p>
    <w:p w14:paraId="703157E9" w14:textId="1D015D48" w:rsidR="009655A1" w:rsidRPr="00943740" w:rsidRDefault="009655A1" w:rsidP="00943740">
      <w:pPr>
        <w:pStyle w:val="ListParagraph"/>
        <w:numPr>
          <w:ilvl w:val="0"/>
          <w:numId w:val="22"/>
        </w:numPr>
        <w:rPr>
          <w:rFonts w:ascii="Verdana" w:hAnsi="Verdana"/>
          <w:b/>
          <w:bCs/>
          <w:noProof/>
          <w:sz w:val="22"/>
          <w:szCs w:val="22"/>
        </w:rPr>
      </w:pPr>
      <w:r w:rsidRPr="00943740">
        <w:rPr>
          <w:rFonts w:ascii="Verdana" w:hAnsi="Verdana"/>
          <w:b/>
          <w:bCs/>
          <w:noProof/>
          <w:sz w:val="22"/>
          <w:szCs w:val="22"/>
        </w:rPr>
        <w:t>The number and percentage of these patients diagnosed at Stage 1, Stage 2, Stage 3, and Stage 4, broken down by ethnic group.</w:t>
      </w:r>
      <w:r w:rsidR="00943740">
        <w:rPr>
          <w:rFonts w:ascii="Verdana" w:hAnsi="Verdana"/>
          <w:b/>
          <w:bCs/>
          <w:noProof/>
          <w:sz w:val="22"/>
          <w:szCs w:val="22"/>
        </w:rPr>
        <w:br/>
      </w:r>
      <w:r w:rsidR="00943740">
        <w:rPr>
          <w:rFonts w:ascii="Verdana" w:hAnsi="Verdana"/>
          <w:b/>
          <w:bCs/>
          <w:noProof/>
          <w:sz w:val="22"/>
          <w:szCs w:val="22"/>
        </w:rPr>
        <w:br/>
      </w:r>
      <w:r w:rsidR="00943740" w:rsidRPr="00943740">
        <w:rPr>
          <w:rFonts w:ascii="Verdana" w:hAnsi="Verdana"/>
          <w:noProof/>
          <w:sz w:val="22"/>
          <w:szCs w:val="22"/>
        </w:rPr>
        <w:t>Please see question 1.</w:t>
      </w:r>
      <w:r w:rsidR="00943740">
        <w:rPr>
          <w:rFonts w:ascii="Verdana" w:hAnsi="Verdana"/>
          <w:b/>
          <w:bCs/>
          <w:noProof/>
          <w:sz w:val="22"/>
          <w:szCs w:val="22"/>
        </w:rPr>
        <w:br/>
      </w:r>
    </w:p>
    <w:p w14:paraId="30067FDB" w14:textId="3F1DE36C" w:rsidR="009655A1" w:rsidRPr="00943740" w:rsidRDefault="009655A1" w:rsidP="00943740">
      <w:pPr>
        <w:pStyle w:val="ListParagraph"/>
        <w:numPr>
          <w:ilvl w:val="0"/>
          <w:numId w:val="20"/>
        </w:numPr>
        <w:rPr>
          <w:rFonts w:ascii="Verdana" w:hAnsi="Verdana"/>
          <w:b/>
          <w:bCs/>
          <w:noProof/>
          <w:sz w:val="22"/>
          <w:szCs w:val="22"/>
        </w:rPr>
      </w:pPr>
      <w:r w:rsidRPr="00943740">
        <w:rPr>
          <w:rFonts w:ascii="Verdana" w:hAnsi="Verdana"/>
          <w:b/>
          <w:bCs/>
          <w:noProof/>
          <w:sz w:val="22"/>
          <w:szCs w:val="22"/>
        </w:rPr>
        <w:t>Referral Route</w:t>
      </w:r>
    </w:p>
    <w:p w14:paraId="0463B1EE" w14:textId="3198AA4F" w:rsidR="009655A1" w:rsidRPr="00943740" w:rsidRDefault="009655A1" w:rsidP="00943740">
      <w:pPr>
        <w:pStyle w:val="ListParagraph"/>
        <w:numPr>
          <w:ilvl w:val="0"/>
          <w:numId w:val="22"/>
        </w:numPr>
        <w:rPr>
          <w:rFonts w:ascii="Verdana" w:hAnsi="Verdana"/>
          <w:b/>
          <w:bCs/>
          <w:noProof/>
          <w:sz w:val="22"/>
          <w:szCs w:val="22"/>
        </w:rPr>
      </w:pPr>
      <w:r w:rsidRPr="00943740">
        <w:rPr>
          <w:rFonts w:ascii="Verdana" w:hAnsi="Verdana"/>
          <w:b/>
          <w:bCs/>
          <w:noProof/>
          <w:sz w:val="22"/>
          <w:szCs w:val="22"/>
        </w:rPr>
        <w:lastRenderedPageBreak/>
        <w:t>The primary route of referral (e.g., Urgent GP 2-Week Wait, routine GP referral, Emergency Admission, or Secondary Care transfer), broken down by ethnic group.</w:t>
      </w:r>
      <w:r w:rsidR="00943740">
        <w:rPr>
          <w:rFonts w:ascii="Verdana" w:hAnsi="Verdana"/>
          <w:b/>
          <w:bCs/>
          <w:noProof/>
          <w:sz w:val="22"/>
          <w:szCs w:val="22"/>
        </w:rPr>
        <w:br/>
      </w:r>
      <w:r w:rsidR="00943740">
        <w:rPr>
          <w:rFonts w:ascii="Verdana" w:hAnsi="Verdana"/>
          <w:b/>
          <w:bCs/>
          <w:noProof/>
          <w:sz w:val="22"/>
          <w:szCs w:val="22"/>
        </w:rPr>
        <w:br/>
      </w:r>
      <w:r w:rsidR="00943740" w:rsidRPr="00943740">
        <w:rPr>
          <w:rFonts w:ascii="Verdana" w:hAnsi="Verdana"/>
          <w:noProof/>
          <w:sz w:val="22"/>
          <w:szCs w:val="22"/>
        </w:rPr>
        <w:t>Please see question 1.</w:t>
      </w:r>
      <w:r w:rsidR="00943740">
        <w:rPr>
          <w:rFonts w:ascii="Verdana" w:hAnsi="Verdana"/>
          <w:b/>
          <w:bCs/>
          <w:noProof/>
          <w:sz w:val="22"/>
          <w:szCs w:val="22"/>
        </w:rPr>
        <w:br/>
      </w:r>
    </w:p>
    <w:p w14:paraId="7FADA1DE" w14:textId="060B8E1A" w:rsidR="009655A1" w:rsidRPr="00943740" w:rsidRDefault="009655A1" w:rsidP="00943740">
      <w:pPr>
        <w:pStyle w:val="ListParagraph"/>
        <w:numPr>
          <w:ilvl w:val="0"/>
          <w:numId w:val="20"/>
        </w:numPr>
        <w:rPr>
          <w:rFonts w:ascii="Verdana" w:hAnsi="Verdana"/>
          <w:b/>
          <w:bCs/>
          <w:noProof/>
          <w:sz w:val="22"/>
          <w:szCs w:val="22"/>
        </w:rPr>
      </w:pPr>
      <w:r w:rsidRPr="00943740">
        <w:rPr>
          <w:rFonts w:ascii="Verdana" w:hAnsi="Verdana"/>
          <w:b/>
          <w:bCs/>
          <w:noProof/>
          <w:sz w:val="22"/>
          <w:szCs w:val="22"/>
        </w:rPr>
        <w:t>The Diagnostic Timeline</w:t>
      </w:r>
    </w:p>
    <w:p w14:paraId="4327BA82" w14:textId="2450180C" w:rsidR="009655A1" w:rsidRPr="00943740" w:rsidRDefault="009655A1" w:rsidP="00943740">
      <w:pPr>
        <w:pStyle w:val="ListParagraph"/>
        <w:numPr>
          <w:ilvl w:val="0"/>
          <w:numId w:val="22"/>
        </w:numPr>
        <w:rPr>
          <w:rFonts w:ascii="Verdana" w:hAnsi="Verdana"/>
          <w:b/>
          <w:bCs/>
          <w:noProof/>
          <w:sz w:val="22"/>
          <w:szCs w:val="22"/>
        </w:rPr>
      </w:pPr>
      <w:r w:rsidRPr="00943740">
        <w:rPr>
          <w:rFonts w:ascii="Verdana" w:hAnsi="Verdana"/>
          <w:b/>
          <w:bCs/>
          <w:noProof/>
          <w:sz w:val="22"/>
          <w:szCs w:val="22"/>
        </w:rPr>
        <w:t>The median number of days from the initial urgent GP referral to the diagnostic multiparametric MRI (mpMRI) scan, broken down by ethnic group.</w:t>
      </w:r>
    </w:p>
    <w:p w14:paraId="662AE69D" w14:textId="1E9899C8" w:rsidR="009655A1" w:rsidRPr="00943740" w:rsidRDefault="009655A1" w:rsidP="00943740">
      <w:pPr>
        <w:pStyle w:val="ListParagraph"/>
        <w:numPr>
          <w:ilvl w:val="0"/>
          <w:numId w:val="22"/>
        </w:numPr>
        <w:rPr>
          <w:rFonts w:ascii="Verdana" w:hAnsi="Verdana"/>
          <w:b/>
          <w:bCs/>
          <w:noProof/>
          <w:sz w:val="22"/>
          <w:szCs w:val="22"/>
        </w:rPr>
      </w:pPr>
      <w:r w:rsidRPr="00943740">
        <w:rPr>
          <w:rFonts w:ascii="Verdana" w:hAnsi="Verdana"/>
          <w:b/>
          <w:bCs/>
          <w:noProof/>
          <w:sz w:val="22"/>
          <w:szCs w:val="22"/>
        </w:rPr>
        <w:t>The median number of days from the mpMRI scan to a definitive prostate biopsy, broken down by ethnic group.</w:t>
      </w:r>
      <w:r w:rsidR="00943740">
        <w:rPr>
          <w:rFonts w:ascii="Verdana" w:hAnsi="Verdana"/>
          <w:b/>
          <w:bCs/>
          <w:noProof/>
          <w:sz w:val="22"/>
          <w:szCs w:val="22"/>
        </w:rPr>
        <w:br/>
      </w:r>
      <w:r w:rsidR="00943740">
        <w:rPr>
          <w:rFonts w:ascii="Verdana" w:hAnsi="Verdana"/>
          <w:b/>
          <w:bCs/>
          <w:noProof/>
          <w:sz w:val="22"/>
          <w:szCs w:val="22"/>
        </w:rPr>
        <w:br/>
      </w:r>
      <w:r w:rsidR="00943740" w:rsidRPr="00943740">
        <w:rPr>
          <w:rFonts w:ascii="Verdana" w:hAnsi="Verdana"/>
          <w:noProof/>
          <w:sz w:val="22"/>
          <w:szCs w:val="22"/>
        </w:rPr>
        <w:t>Please see question 1.</w:t>
      </w:r>
      <w:r w:rsidR="00943740">
        <w:rPr>
          <w:rFonts w:ascii="Verdana" w:hAnsi="Verdana"/>
          <w:b/>
          <w:bCs/>
          <w:noProof/>
          <w:sz w:val="22"/>
          <w:szCs w:val="22"/>
        </w:rPr>
        <w:br/>
      </w:r>
    </w:p>
    <w:p w14:paraId="16DE09A0" w14:textId="081A2211" w:rsidR="009655A1" w:rsidRPr="00943740" w:rsidRDefault="009655A1" w:rsidP="00943740">
      <w:pPr>
        <w:pStyle w:val="ListParagraph"/>
        <w:numPr>
          <w:ilvl w:val="0"/>
          <w:numId w:val="20"/>
        </w:numPr>
        <w:rPr>
          <w:rFonts w:ascii="Verdana" w:hAnsi="Verdana"/>
          <w:b/>
          <w:bCs/>
          <w:noProof/>
          <w:sz w:val="22"/>
          <w:szCs w:val="22"/>
        </w:rPr>
      </w:pPr>
      <w:r w:rsidRPr="00943740">
        <w:rPr>
          <w:rFonts w:ascii="Verdana" w:hAnsi="Verdana"/>
          <w:b/>
          <w:bCs/>
          <w:noProof/>
          <w:sz w:val="22"/>
          <w:szCs w:val="22"/>
        </w:rPr>
        <w:t>Root Cause of Target Breaches</w:t>
      </w:r>
    </w:p>
    <w:p w14:paraId="5F240AE0" w14:textId="7D27E7CD" w:rsidR="009655A1" w:rsidRPr="00943740" w:rsidRDefault="009655A1" w:rsidP="00943740">
      <w:pPr>
        <w:pStyle w:val="ListParagraph"/>
        <w:numPr>
          <w:ilvl w:val="0"/>
          <w:numId w:val="22"/>
        </w:numPr>
        <w:rPr>
          <w:rFonts w:ascii="Verdana" w:hAnsi="Verdana"/>
          <w:b/>
          <w:bCs/>
          <w:noProof/>
          <w:sz w:val="22"/>
          <w:szCs w:val="22"/>
        </w:rPr>
      </w:pPr>
      <w:r w:rsidRPr="00943740">
        <w:rPr>
          <w:rFonts w:ascii="Verdana" w:hAnsi="Verdana"/>
          <w:b/>
          <w:bCs/>
          <w:noProof/>
          <w:sz w:val="22"/>
          <w:szCs w:val="22"/>
        </w:rPr>
        <w:t>The percentage of patients who breached the national 62-day urgent referral-to-treatment target, broken down by ethnic group.</w:t>
      </w:r>
    </w:p>
    <w:p w14:paraId="04C225B8" w14:textId="2598345B" w:rsidR="009655A1" w:rsidRPr="00943740" w:rsidRDefault="009655A1" w:rsidP="00943740">
      <w:pPr>
        <w:pStyle w:val="ListParagraph"/>
        <w:numPr>
          <w:ilvl w:val="0"/>
          <w:numId w:val="22"/>
        </w:numPr>
        <w:rPr>
          <w:rFonts w:ascii="Verdana" w:hAnsi="Verdana"/>
          <w:b/>
          <w:bCs/>
          <w:noProof/>
          <w:sz w:val="22"/>
          <w:szCs w:val="22"/>
        </w:rPr>
      </w:pPr>
      <w:r w:rsidRPr="00943740">
        <w:rPr>
          <w:rFonts w:ascii="Verdana" w:hAnsi="Verdana"/>
          <w:b/>
          <w:bCs/>
          <w:noProof/>
          <w:sz w:val="22"/>
          <w:szCs w:val="22"/>
        </w:rPr>
        <w:t>For those patients who breached the 62-day target,  provdea percentage breakdown of the primary Delay Reason Code (per the NHS National Cancer Waiting Times Monitoring Dataset), aggregated by ethnic group—specifically contrasting provider-driven delays (e.g., Capacity inadequate, Complex diagnostic pathway) against patient-driven delays (e.g., Patient Choice, Patient DNA).</w:t>
      </w:r>
      <w:r w:rsidR="00943740">
        <w:rPr>
          <w:rFonts w:ascii="Verdana" w:hAnsi="Verdana"/>
          <w:b/>
          <w:bCs/>
          <w:noProof/>
          <w:sz w:val="22"/>
          <w:szCs w:val="22"/>
        </w:rPr>
        <w:br/>
      </w:r>
      <w:r w:rsidR="00943740">
        <w:rPr>
          <w:rFonts w:ascii="Verdana" w:hAnsi="Verdana"/>
          <w:b/>
          <w:bCs/>
          <w:noProof/>
          <w:sz w:val="22"/>
          <w:szCs w:val="22"/>
        </w:rPr>
        <w:br/>
      </w:r>
      <w:r w:rsidR="00943740" w:rsidRPr="00943740">
        <w:rPr>
          <w:rFonts w:ascii="Verdana" w:hAnsi="Verdana"/>
          <w:noProof/>
          <w:sz w:val="22"/>
          <w:szCs w:val="22"/>
        </w:rPr>
        <w:t>Please see question 1.</w:t>
      </w:r>
      <w:r w:rsidR="00943740">
        <w:rPr>
          <w:rFonts w:ascii="Verdana" w:hAnsi="Verdana"/>
          <w:b/>
          <w:bCs/>
          <w:noProof/>
          <w:sz w:val="22"/>
          <w:szCs w:val="22"/>
        </w:rPr>
        <w:br/>
      </w:r>
    </w:p>
    <w:p w14:paraId="272DBE5D" w14:textId="549BABAA" w:rsidR="009655A1" w:rsidRPr="00943740" w:rsidRDefault="009655A1" w:rsidP="00943740">
      <w:pPr>
        <w:pStyle w:val="ListParagraph"/>
        <w:numPr>
          <w:ilvl w:val="0"/>
          <w:numId w:val="20"/>
        </w:numPr>
        <w:rPr>
          <w:rFonts w:ascii="Verdana" w:hAnsi="Verdana"/>
          <w:b/>
          <w:bCs/>
          <w:noProof/>
          <w:sz w:val="22"/>
          <w:szCs w:val="22"/>
        </w:rPr>
      </w:pPr>
      <w:r w:rsidRPr="00943740">
        <w:rPr>
          <w:rFonts w:ascii="Verdana" w:hAnsi="Verdana"/>
          <w:b/>
          <w:bCs/>
          <w:noProof/>
          <w:sz w:val="22"/>
          <w:szCs w:val="22"/>
        </w:rPr>
        <w:t>Population Catchment Area Baseline</w:t>
      </w:r>
    </w:p>
    <w:p w14:paraId="23DF621B" w14:textId="43985A64" w:rsidR="00873328" w:rsidRPr="00943740" w:rsidRDefault="009655A1" w:rsidP="00943740">
      <w:pPr>
        <w:pStyle w:val="ListParagraph"/>
        <w:numPr>
          <w:ilvl w:val="0"/>
          <w:numId w:val="22"/>
        </w:numPr>
        <w:rPr>
          <w:rFonts w:ascii="Verdana" w:hAnsi="Verdana"/>
          <w:noProof/>
          <w:sz w:val="22"/>
          <w:szCs w:val="22"/>
        </w:rPr>
      </w:pPr>
      <w:r w:rsidRPr="00943740">
        <w:rPr>
          <w:rFonts w:ascii="Verdana" w:hAnsi="Verdana"/>
          <w:b/>
          <w:bCs/>
          <w:noProof/>
          <w:sz w:val="22"/>
          <w:szCs w:val="22"/>
        </w:rPr>
        <w:t xml:space="preserve">The estimated total population size, or the percentage demographic breakdown, of the primary Integrated Care Board (ICB) or catchment area that this </w:t>
      </w:r>
      <w:r w:rsidR="00943740">
        <w:rPr>
          <w:rFonts w:ascii="Verdana" w:hAnsi="Verdana"/>
          <w:b/>
          <w:bCs/>
          <w:noProof/>
          <w:sz w:val="22"/>
          <w:szCs w:val="22"/>
        </w:rPr>
        <w:t>Health Board</w:t>
      </w:r>
      <w:r w:rsidRPr="00943740">
        <w:rPr>
          <w:rFonts w:ascii="Verdana" w:hAnsi="Verdana"/>
          <w:b/>
          <w:bCs/>
          <w:noProof/>
          <w:sz w:val="22"/>
          <w:szCs w:val="22"/>
        </w:rPr>
        <w:t xml:space="preserve"> serves.</w:t>
      </w:r>
      <w:r w:rsidR="00943740">
        <w:rPr>
          <w:rFonts w:ascii="Verdana" w:hAnsi="Verdana"/>
          <w:b/>
          <w:bCs/>
          <w:noProof/>
          <w:sz w:val="22"/>
          <w:szCs w:val="22"/>
        </w:rPr>
        <w:br/>
      </w:r>
      <w:r w:rsidR="00943740" w:rsidRPr="00943740">
        <w:rPr>
          <w:rFonts w:ascii="Verdana" w:hAnsi="Verdana"/>
          <w:noProof/>
          <w:sz w:val="22"/>
          <w:szCs w:val="22"/>
        </w:rPr>
        <w:t>390,000 population size.</w:t>
      </w:r>
    </w:p>
    <w:p w14:paraId="2178A95B" w14:textId="77777777" w:rsidR="00873328" w:rsidRDefault="00873328" w:rsidP="00421E7F">
      <w:pPr>
        <w:rPr>
          <w:rFonts w:ascii="Verdana" w:hAnsi="Verdana"/>
          <w:b/>
          <w:bCs/>
          <w:noProof/>
          <w:sz w:val="22"/>
          <w:szCs w:val="22"/>
        </w:rPr>
      </w:pPr>
    </w:p>
    <w:p w14:paraId="7F202BA5" w14:textId="7DDB3DBC"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BF072" w14:textId="77777777" w:rsidR="005C64EC" w:rsidRDefault="005C64EC" w:rsidP="007D6A3E">
      <w:pPr>
        <w:spacing w:before="0" w:after="0" w:line="240" w:lineRule="auto"/>
      </w:pPr>
      <w:r>
        <w:separator/>
      </w:r>
    </w:p>
  </w:endnote>
  <w:endnote w:type="continuationSeparator" w:id="0">
    <w:p w14:paraId="1238E821" w14:textId="77777777" w:rsidR="005C64EC" w:rsidRDefault="005C64E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2B26E" w14:textId="77777777" w:rsidR="005C64EC" w:rsidRDefault="005C64EC" w:rsidP="007D6A3E">
      <w:pPr>
        <w:spacing w:before="0" w:after="0" w:line="240" w:lineRule="auto"/>
      </w:pPr>
      <w:r>
        <w:separator/>
      </w:r>
    </w:p>
  </w:footnote>
  <w:footnote w:type="continuationSeparator" w:id="0">
    <w:p w14:paraId="6305E5B3" w14:textId="77777777" w:rsidR="005C64EC" w:rsidRDefault="005C64E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6623C8"/>
    <w:multiLevelType w:val="hybridMultilevel"/>
    <w:tmpl w:val="F3C20D5A"/>
    <w:lvl w:ilvl="0" w:tplc="6E985B48">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0A4688"/>
    <w:multiLevelType w:val="hybridMultilevel"/>
    <w:tmpl w:val="C420924A"/>
    <w:lvl w:ilvl="0" w:tplc="709EFB7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301D81"/>
    <w:multiLevelType w:val="hybridMultilevel"/>
    <w:tmpl w:val="23DE8362"/>
    <w:lvl w:ilvl="0" w:tplc="6E985B48">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67AB8"/>
    <w:multiLevelType w:val="hybridMultilevel"/>
    <w:tmpl w:val="80D6F366"/>
    <w:lvl w:ilvl="0" w:tplc="6E985B48">
      <w:start w:val="1"/>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4B7562A"/>
    <w:multiLevelType w:val="hybridMultilevel"/>
    <w:tmpl w:val="BE1CF13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6184EBC"/>
    <w:multiLevelType w:val="hybridMultilevel"/>
    <w:tmpl w:val="9274D48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A2F3DF5"/>
    <w:multiLevelType w:val="hybridMultilevel"/>
    <w:tmpl w:val="29C85D3A"/>
    <w:lvl w:ilvl="0" w:tplc="6E985B48">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4"/>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262687911">
    <w:abstractNumId w:val="21"/>
  </w:num>
  <w:num w:numId="20" w16cid:durableId="950553238">
    <w:abstractNumId w:val="6"/>
  </w:num>
  <w:num w:numId="21" w16cid:durableId="2061510334">
    <w:abstractNumId w:val="22"/>
  </w:num>
  <w:num w:numId="22" w16cid:durableId="1523516386">
    <w:abstractNumId w:val="19"/>
  </w:num>
  <w:num w:numId="23" w16cid:durableId="2131509152">
    <w:abstractNumId w:val="3"/>
  </w:num>
  <w:num w:numId="24" w16cid:durableId="1925264412">
    <w:abstractNumId w:val="13"/>
  </w:num>
  <w:num w:numId="25" w16cid:durableId="19229824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64E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4416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43740"/>
    <w:rsid w:val="009574AC"/>
    <w:rsid w:val="009655A1"/>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2026-07-10T08:31:00Z</dcterms:modified>
</cp:coreProperties>
</file>