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EE77406">
                <wp:simplePos x="0" y="0"/>
                <wp:positionH relativeFrom="column">
                  <wp:posOffset>284480</wp:posOffset>
                </wp:positionH>
                <wp:positionV relativeFrom="paragraph">
                  <wp:posOffset>-80645</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E067C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0A2B4C">
                              <w:rPr>
                                <w:rFonts w:ascii="Verdana" w:hAnsi="Verdana"/>
                                <w:b/>
                                <w:sz w:val="22"/>
                                <w:szCs w:val="22"/>
                              </w:rPr>
                              <w:t>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6.35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" filled="f" stroked="f">
                <v:textbox>
                  <w:txbxContent>
                    <w:p w14:paraId="6B840BE9" w14:textId="4AE067C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0A2B4C">
                        <w:rPr>
                          <w:rFonts w:ascii="Verdana" w:hAnsi="Verdana"/>
                          <w:b/>
                          <w:sz w:val="22"/>
                          <w:szCs w:val="22"/>
                        </w:rPr>
                        <w:t>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534479AF" w:rsidR="00DC0D5A" w:rsidRDefault="00A10460" w:rsidP="00DC0D5A">
      <w:pPr>
        <w:spacing w:before="280"/>
        <w:rPr>
          <w:rFonts w:ascii="Verdana" w:hAnsi="Verdana"/>
          <w:b/>
          <w:sz w:val="22"/>
        </w:rPr>
      </w:pPr>
      <w:r w:rsidRPr="00A10460">
        <w:rPr>
          <w:rFonts w:ascii="Verdana" w:hAnsi="Verdana"/>
          <w:b/>
          <w:sz w:val="22"/>
        </w:rPr>
        <w:t>You asked:</w:t>
      </w:r>
    </w:p>
    <w:p w14:paraId="73ECC716" w14:textId="77777777" w:rsidR="000A2B4C" w:rsidRPr="000A2B4C" w:rsidRDefault="000A2B4C" w:rsidP="000A2B4C">
      <w:pPr>
        <w:rPr>
          <w:rFonts w:ascii="Verdana" w:hAnsi="Verdana"/>
          <w:b/>
          <w:bCs/>
          <w:noProof/>
          <w:sz w:val="22"/>
          <w:szCs w:val="22"/>
        </w:rPr>
      </w:pPr>
      <w:r w:rsidRPr="000A2B4C">
        <w:rPr>
          <w:rFonts w:ascii="Verdana" w:hAnsi="Verdana"/>
          <w:b/>
          <w:bCs/>
          <w:noProof/>
          <w:sz w:val="22"/>
          <w:szCs w:val="22"/>
        </w:rPr>
        <w:t>Please provide the following information relating specifically to the use of Kenalog (triamcinolone) within your Ophthalmology department:</w:t>
      </w:r>
    </w:p>
    <w:p w14:paraId="479F32F8" w14:textId="0B6152BB" w:rsidR="00961853" w:rsidRPr="00961853" w:rsidRDefault="000A2B4C" w:rsidP="00961853">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The number of Kenalog administrations carried out in Ophthalmology for each of the last three financial years.</w:t>
      </w:r>
      <w:r>
        <w:rPr>
          <w:rFonts w:ascii="Verdana" w:hAnsi="Verdana"/>
          <w:b/>
          <w:bCs/>
          <w:noProof/>
          <w:sz w:val="22"/>
          <w:szCs w:val="22"/>
        </w:rPr>
        <w:br/>
      </w:r>
      <w:r w:rsidR="00961853">
        <w:rPr>
          <w:rFonts w:ascii="Verdana" w:hAnsi="Verdana"/>
          <w:noProof/>
          <w:sz w:val="22"/>
          <w:szCs w:val="22"/>
        </w:rPr>
        <w:t xml:space="preserve">I can confirm that this information is not recorded centrally. </w:t>
      </w:r>
      <w:r w:rsidR="00961853">
        <w:rPr>
          <w:rFonts w:ascii="Verdana" w:hAnsi="Verdana"/>
          <w:noProof/>
          <w:sz w:val="22"/>
          <w:szCs w:val="22"/>
        </w:rPr>
        <w:br/>
      </w:r>
      <w:r w:rsidR="00961853" w:rsidRPr="00961853">
        <w:rPr>
          <w:rFonts w:ascii="Verdana" w:hAnsi="Verdana"/>
          <w:sz w:val="22"/>
          <w:szCs w:val="22"/>
        </w:rPr>
        <w:t xml:space="preserve">To obtain this information would involve a manual trawl and search of </w:t>
      </w:r>
      <w:r w:rsidR="00961853">
        <w:rPr>
          <w:rFonts w:ascii="Verdana" w:hAnsi="Verdana"/>
          <w:sz w:val="22"/>
          <w:szCs w:val="22"/>
        </w:rPr>
        <w:t xml:space="preserve">patient </w:t>
      </w:r>
      <w:r w:rsidR="00961853" w:rsidRPr="00961853">
        <w:rPr>
          <w:rFonts w:ascii="Verdana" w:hAnsi="Verdana"/>
          <w:sz w:val="22"/>
          <w:szCs w:val="22"/>
        </w:rPr>
        <w:t xml:space="preserve">records which </w:t>
      </w:r>
      <w:r w:rsidR="00961853" w:rsidRPr="00961853">
        <w:rPr>
          <w:rFonts w:ascii="Verdana" w:hAnsi="Verdana" w:cs="Times New Roman"/>
          <w:sz w:val="22"/>
          <w:szCs w:val="22"/>
        </w:rPr>
        <w:t xml:space="preserve">we have estimated would significantly exceed the 18 hours limit set down by the </w:t>
      </w:r>
      <w:smartTag w:uri="urn:schemas-microsoft-com:office:smarttags" w:element="address">
        <w:r w:rsidR="00961853" w:rsidRPr="00961853">
          <w:rPr>
            <w:rFonts w:ascii="Verdana" w:hAnsi="Verdana" w:cs="Times New Roman"/>
            <w:sz w:val="22"/>
            <w:szCs w:val="22"/>
          </w:rPr>
          <w:t>FOI</w:t>
        </w:r>
      </w:smartTag>
      <w:r w:rsidR="00961853" w:rsidRPr="00961853">
        <w:rPr>
          <w:rFonts w:ascii="Verdana" w:hAnsi="Verdana" w:cs="Times New Roman"/>
          <w:sz w:val="22"/>
          <w:szCs w:val="22"/>
        </w:rPr>
        <w:t xml:space="preserve"> Act as the reasonable limit. </w:t>
      </w:r>
      <w:r w:rsidR="00961853" w:rsidRPr="00961853">
        <w:rPr>
          <w:rFonts w:ascii="Verdana" w:hAnsi="Verdana" w:cs="Tahoma"/>
          <w:sz w:val="22"/>
          <w:szCs w:val="22"/>
        </w:rPr>
        <w:t>Section 12 of the FOI Act and T</w:t>
      </w:r>
      <w:r w:rsidR="00961853" w:rsidRPr="00961853">
        <w:rPr>
          <w:rFonts w:ascii="Verdana" w:hAnsi="Verdana"/>
          <w:sz w:val="22"/>
          <w:szCs w:val="22"/>
        </w:rPr>
        <w:t xml:space="preserve">he Freedom of Information and Data Protection (Appropriate Limit and Fees) Regulation 2004 </w:t>
      </w:r>
      <w:r w:rsidR="00961853" w:rsidRPr="00961853">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5D9E86B5" w14:textId="6CFE3C8D" w:rsidR="000A2B4C" w:rsidRPr="000A2B4C" w:rsidRDefault="000A2B4C" w:rsidP="00961853">
      <w:pPr>
        <w:pStyle w:val="ListParagraph"/>
        <w:ind w:left="993"/>
        <w:rPr>
          <w:rFonts w:ascii="Verdana" w:hAnsi="Verdana"/>
          <w:b/>
          <w:bCs/>
          <w:noProof/>
          <w:sz w:val="22"/>
          <w:szCs w:val="22"/>
        </w:rPr>
      </w:pPr>
      <w:r w:rsidRPr="00093152">
        <w:rPr>
          <w:rFonts w:ascii="Verdana" w:hAnsi="Verdana"/>
          <w:noProof/>
          <w:sz w:val="22"/>
          <w:szCs w:val="22"/>
        </w:rPr>
        <w:br/>
      </w:r>
    </w:p>
    <w:p w14:paraId="25A2C75D" w14:textId="46F36C68" w:rsidR="000A2B4C" w:rsidRPr="000A2B4C"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A breakdown of the clinical indications recorded for Kenalog use in Ophthalmology (e.g., uveitis, macular oedema, post operative inflammation), if available.</w:t>
      </w:r>
      <w:r>
        <w:rPr>
          <w:rFonts w:ascii="Verdana" w:hAnsi="Verdana"/>
          <w:b/>
          <w:bCs/>
          <w:noProof/>
          <w:sz w:val="22"/>
          <w:szCs w:val="22"/>
        </w:rPr>
        <w:br/>
      </w:r>
      <w:r w:rsidR="00093152" w:rsidRPr="00093152">
        <w:rPr>
          <w:rFonts w:ascii="Verdana" w:hAnsi="Verdana"/>
          <w:noProof/>
          <w:sz w:val="22"/>
          <w:szCs w:val="22"/>
        </w:rPr>
        <w:t>I can confirm that this information is not held.</w:t>
      </w:r>
      <w:r>
        <w:rPr>
          <w:rFonts w:ascii="Verdana" w:hAnsi="Verdana"/>
          <w:b/>
          <w:bCs/>
          <w:noProof/>
          <w:sz w:val="22"/>
          <w:szCs w:val="22"/>
        </w:rPr>
        <w:br/>
      </w:r>
    </w:p>
    <w:p w14:paraId="70C70D0E" w14:textId="3F9F36B6" w:rsidR="000A2B4C" w:rsidRPr="000A2B4C"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Any local guidelines, protocols, or clinical policies governing the use of Kenalog in Ophthalmology.</w:t>
      </w:r>
      <w:r>
        <w:rPr>
          <w:rFonts w:ascii="Verdana" w:hAnsi="Verdana"/>
          <w:b/>
          <w:bCs/>
          <w:noProof/>
          <w:sz w:val="22"/>
          <w:szCs w:val="22"/>
        </w:rPr>
        <w:br/>
      </w:r>
      <w:r w:rsidR="00961853">
        <w:rPr>
          <w:rFonts w:ascii="Verdana" w:hAnsi="Verdana"/>
          <w:noProof/>
          <w:sz w:val="22"/>
          <w:szCs w:val="22"/>
        </w:rPr>
        <w:t>Not applicable – Kenalog is no longer used in Ophthalmology.</w:t>
      </w:r>
      <w:r>
        <w:rPr>
          <w:rFonts w:ascii="Verdana" w:hAnsi="Verdana"/>
          <w:b/>
          <w:bCs/>
          <w:noProof/>
          <w:sz w:val="22"/>
          <w:szCs w:val="22"/>
        </w:rPr>
        <w:br/>
      </w:r>
    </w:p>
    <w:p w14:paraId="1F4CBCDC" w14:textId="2EF6D28E" w:rsidR="000A2B4C" w:rsidRPr="000A2B4C"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Any recorded adverse events, Datix reports, or safety concerns relating to Kenalog use in Ophthalmology during the same period.</w:t>
      </w:r>
      <w:r>
        <w:rPr>
          <w:rFonts w:ascii="Verdana" w:hAnsi="Verdana"/>
          <w:b/>
          <w:bCs/>
          <w:noProof/>
          <w:sz w:val="22"/>
          <w:szCs w:val="22"/>
        </w:rPr>
        <w:br/>
      </w:r>
      <w:r w:rsidR="00545506" w:rsidRPr="00545506">
        <w:rPr>
          <w:rFonts w:ascii="Verdana" w:hAnsi="Verdana"/>
          <w:noProof/>
          <w:sz w:val="22"/>
          <w:szCs w:val="22"/>
        </w:rPr>
        <w:t>Nil</w:t>
      </w:r>
      <w:r>
        <w:rPr>
          <w:rFonts w:ascii="Verdana" w:hAnsi="Verdana"/>
          <w:b/>
          <w:bCs/>
          <w:noProof/>
          <w:sz w:val="22"/>
          <w:szCs w:val="22"/>
        </w:rPr>
        <w:br/>
      </w:r>
    </w:p>
    <w:p w14:paraId="26ED9475" w14:textId="29FFAAD8" w:rsidR="00545506"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The number of vials issued by pharmacy to Ophthalmology for Kenalog in each of the last three financial years, if held.</w:t>
      </w:r>
    </w:p>
    <w:tbl>
      <w:tblPr>
        <w:tblW w:w="8676" w:type="dxa"/>
        <w:jc w:val="center"/>
        <w:tblCellMar>
          <w:left w:w="0" w:type="dxa"/>
          <w:right w:w="0" w:type="dxa"/>
        </w:tblCellMar>
        <w:tblLook w:val="04A0" w:firstRow="1" w:lastRow="0" w:firstColumn="1" w:lastColumn="0" w:noHBand="0" w:noVBand="1"/>
      </w:tblPr>
      <w:tblGrid>
        <w:gridCol w:w="1518"/>
        <w:gridCol w:w="1611"/>
        <w:gridCol w:w="5547"/>
      </w:tblGrid>
      <w:tr w:rsidR="00545506" w:rsidRPr="00545506" w14:paraId="2A7B0C47" w14:textId="77777777" w:rsidTr="00411408">
        <w:trPr>
          <w:trHeight w:val="300"/>
          <w:jc w:val="center"/>
        </w:trPr>
        <w:tc>
          <w:tcPr>
            <w:tcW w:w="151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36514F7"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01/05/2025</w:t>
            </w:r>
          </w:p>
        </w:tc>
        <w:tc>
          <w:tcPr>
            <w:tcW w:w="161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57E1EDA5"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66A956"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r w:rsidR="00545506" w:rsidRPr="00545506" w14:paraId="15DCC478" w14:textId="77777777" w:rsidTr="00411408">
        <w:trPr>
          <w:trHeight w:val="300"/>
          <w:jc w:val="center"/>
        </w:trPr>
        <w:tc>
          <w:tcPr>
            <w:tcW w:w="1518" w:type="dxa"/>
            <w:tcBorders>
              <w:top w:val="nil"/>
              <w:left w:val="single" w:sz="4" w:space="0" w:color="auto"/>
              <w:bottom w:val="single" w:sz="4" w:space="0" w:color="auto"/>
              <w:right w:val="single" w:sz="4" w:space="0" w:color="auto"/>
            </w:tcBorders>
            <w:shd w:val="clear" w:color="auto" w:fill="F5FFFA"/>
            <w:tcMar>
              <w:top w:w="15" w:type="dxa"/>
              <w:left w:w="15" w:type="dxa"/>
              <w:bottom w:w="0" w:type="dxa"/>
              <w:right w:w="15" w:type="dxa"/>
            </w:tcMar>
            <w:vAlign w:val="center"/>
            <w:hideMark/>
          </w:tcPr>
          <w:p w14:paraId="4D92D6EF"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01/09/2024</w:t>
            </w:r>
          </w:p>
        </w:tc>
        <w:tc>
          <w:tcPr>
            <w:tcW w:w="1611" w:type="dxa"/>
            <w:tcBorders>
              <w:top w:val="nil"/>
              <w:left w:val="nil"/>
              <w:bottom w:val="single" w:sz="4" w:space="0" w:color="auto"/>
              <w:right w:val="single" w:sz="4" w:space="0" w:color="auto"/>
            </w:tcBorders>
            <w:shd w:val="clear" w:color="auto" w:fill="F5FFFA"/>
            <w:tcMar>
              <w:top w:w="15" w:type="dxa"/>
              <w:left w:w="15" w:type="dxa"/>
              <w:bottom w:w="0" w:type="dxa"/>
              <w:right w:w="15" w:type="dxa"/>
            </w:tcMar>
            <w:vAlign w:val="center"/>
            <w:hideMark/>
          </w:tcPr>
          <w:p w14:paraId="154C722F"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C52302"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r w:rsidR="00545506" w:rsidRPr="00545506" w14:paraId="3CF0B477" w14:textId="77777777" w:rsidTr="00411408">
        <w:trPr>
          <w:trHeight w:val="300"/>
          <w:jc w:val="center"/>
        </w:trPr>
        <w:tc>
          <w:tcPr>
            <w:tcW w:w="1518" w:type="dxa"/>
            <w:tcBorders>
              <w:top w:val="nil"/>
              <w:left w:val="single" w:sz="4" w:space="0" w:color="auto"/>
              <w:bottom w:val="single" w:sz="4" w:space="0" w:color="auto"/>
              <w:right w:val="single" w:sz="4" w:space="0" w:color="auto"/>
            </w:tcBorders>
            <w:shd w:val="clear" w:color="auto" w:fill="F5FFFA"/>
            <w:tcMar>
              <w:top w:w="15" w:type="dxa"/>
              <w:left w:w="15" w:type="dxa"/>
              <w:bottom w:w="0" w:type="dxa"/>
              <w:right w:w="15" w:type="dxa"/>
            </w:tcMar>
            <w:vAlign w:val="center"/>
            <w:hideMark/>
          </w:tcPr>
          <w:p w14:paraId="5169E0AC"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01/08/2024</w:t>
            </w:r>
          </w:p>
        </w:tc>
        <w:tc>
          <w:tcPr>
            <w:tcW w:w="1611" w:type="dxa"/>
            <w:tcBorders>
              <w:top w:val="nil"/>
              <w:left w:val="nil"/>
              <w:bottom w:val="single" w:sz="4" w:space="0" w:color="auto"/>
              <w:right w:val="single" w:sz="4" w:space="0" w:color="auto"/>
            </w:tcBorders>
            <w:shd w:val="clear" w:color="auto" w:fill="F5FFFA"/>
            <w:tcMar>
              <w:top w:w="15" w:type="dxa"/>
              <w:left w:w="15" w:type="dxa"/>
              <w:bottom w:w="0" w:type="dxa"/>
              <w:right w:w="15" w:type="dxa"/>
            </w:tcMar>
            <w:vAlign w:val="center"/>
            <w:hideMark/>
          </w:tcPr>
          <w:p w14:paraId="65DCFF59"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A3CE381"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r w:rsidR="00545506" w:rsidRPr="00545506" w14:paraId="3DC27E16" w14:textId="77777777" w:rsidTr="00411408">
        <w:trPr>
          <w:trHeight w:val="300"/>
          <w:jc w:val="center"/>
        </w:trPr>
        <w:tc>
          <w:tcPr>
            <w:tcW w:w="1518"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480295"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lastRenderedPageBreak/>
              <w:t>01/06/2024</w:t>
            </w:r>
          </w:p>
        </w:tc>
        <w:tc>
          <w:tcPr>
            <w:tcW w:w="1611" w:type="dxa"/>
            <w:tcBorders>
              <w:top w:val="nil"/>
              <w:left w:val="nil"/>
              <w:bottom w:val="single" w:sz="4" w:space="0" w:color="auto"/>
              <w:right w:val="single" w:sz="4" w:space="0" w:color="auto"/>
            </w:tcBorders>
            <w:shd w:val="clear" w:color="auto" w:fill="F5FFFA"/>
            <w:tcMar>
              <w:top w:w="15" w:type="dxa"/>
              <w:left w:w="15" w:type="dxa"/>
              <w:bottom w:w="0" w:type="dxa"/>
              <w:right w:w="15" w:type="dxa"/>
            </w:tcMar>
            <w:vAlign w:val="center"/>
            <w:hideMark/>
          </w:tcPr>
          <w:p w14:paraId="5A9807A9"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6AD037"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r w:rsidR="00545506" w:rsidRPr="00545506" w14:paraId="0510369E" w14:textId="77777777" w:rsidTr="00411408">
        <w:trPr>
          <w:trHeight w:val="300"/>
          <w:jc w:val="center"/>
        </w:trPr>
        <w:tc>
          <w:tcPr>
            <w:tcW w:w="1518"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96BDCFE"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01/02/2024</w:t>
            </w:r>
          </w:p>
        </w:tc>
        <w:tc>
          <w:tcPr>
            <w:tcW w:w="1611"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6A09F5A8"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B2211C3"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r w:rsidR="00545506" w:rsidRPr="00545506" w14:paraId="46F1821B" w14:textId="77777777" w:rsidTr="00411408">
        <w:trPr>
          <w:trHeight w:val="300"/>
          <w:jc w:val="center"/>
        </w:trPr>
        <w:tc>
          <w:tcPr>
            <w:tcW w:w="1518"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A0BF788"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01/04/2023</w:t>
            </w:r>
          </w:p>
        </w:tc>
        <w:tc>
          <w:tcPr>
            <w:tcW w:w="1611"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hideMark/>
          </w:tcPr>
          <w:p w14:paraId="1823F5B9"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1 x 5 Vial Pack</w:t>
            </w:r>
          </w:p>
        </w:tc>
        <w:tc>
          <w:tcPr>
            <w:tcW w:w="554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968177" w14:textId="77777777" w:rsidR="00545506" w:rsidRPr="00545506" w:rsidRDefault="00545506" w:rsidP="00545506">
            <w:pPr>
              <w:spacing w:before="0" w:after="0" w:line="240" w:lineRule="auto"/>
              <w:ind w:left="0" w:right="0"/>
              <w:jc w:val="center"/>
              <w:rPr>
                <w:rFonts w:ascii="Verdana" w:eastAsia="Times New Roman" w:hAnsi="Verdana"/>
                <w:color w:val="333333"/>
                <w:sz w:val="20"/>
                <w:szCs w:val="20"/>
              </w:rPr>
            </w:pPr>
            <w:r w:rsidRPr="00545506">
              <w:rPr>
                <w:rFonts w:ascii="Verdana" w:eastAsia="Times New Roman" w:hAnsi="Verdana"/>
                <w:color w:val="333333"/>
                <w:sz w:val="20"/>
                <w:szCs w:val="20"/>
              </w:rPr>
              <w:t>TRIAMCINOLONE ACETONIDE 40 mg in 1mL Injection</w:t>
            </w:r>
          </w:p>
        </w:tc>
      </w:tr>
    </w:tbl>
    <w:p w14:paraId="5DF6179E" w14:textId="38E43C64" w:rsidR="000A2B4C" w:rsidRPr="000A2B4C" w:rsidRDefault="00545506" w:rsidP="00093152">
      <w:pPr>
        <w:pStyle w:val="ListParagraph"/>
        <w:ind w:left="993"/>
        <w:rPr>
          <w:rFonts w:ascii="Verdana" w:hAnsi="Verdana"/>
          <w:b/>
          <w:bCs/>
          <w:noProof/>
          <w:sz w:val="22"/>
          <w:szCs w:val="22"/>
        </w:rPr>
      </w:pPr>
      <w:r>
        <w:rPr>
          <w:rFonts w:ascii="Verdana" w:hAnsi="Verdana"/>
          <w:b/>
          <w:bCs/>
          <w:noProof/>
          <w:sz w:val="22"/>
          <w:szCs w:val="22"/>
        </w:rPr>
        <w:br/>
      </w:r>
    </w:p>
    <w:p w14:paraId="44F4DE1E" w14:textId="738E5EC5" w:rsidR="000A2B4C" w:rsidRPr="000A2B4C"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 xml:space="preserve">Whether Kenalog (triamcinolone) is listed on the </w:t>
      </w:r>
      <w:r w:rsidR="00545506">
        <w:rPr>
          <w:rFonts w:ascii="Verdana" w:hAnsi="Verdana"/>
          <w:b/>
          <w:bCs/>
          <w:noProof/>
          <w:sz w:val="22"/>
          <w:szCs w:val="22"/>
        </w:rPr>
        <w:t>Health Board</w:t>
      </w:r>
      <w:r w:rsidRPr="000A2B4C">
        <w:rPr>
          <w:rFonts w:ascii="Verdana" w:hAnsi="Verdana"/>
          <w:b/>
          <w:bCs/>
          <w:noProof/>
          <w:sz w:val="22"/>
          <w:szCs w:val="22"/>
        </w:rPr>
        <w:t>’s formulary for Ophthalmology, and if so, any restrictions or criteria for its use.</w:t>
      </w:r>
      <w:r>
        <w:rPr>
          <w:rFonts w:ascii="Verdana" w:hAnsi="Verdana"/>
          <w:b/>
          <w:bCs/>
          <w:noProof/>
          <w:sz w:val="22"/>
          <w:szCs w:val="22"/>
        </w:rPr>
        <w:br/>
      </w:r>
      <w:r w:rsidR="00093152" w:rsidRPr="00093152">
        <w:rPr>
          <w:rFonts w:ascii="Verdana" w:hAnsi="Verdana"/>
          <w:noProof/>
          <w:sz w:val="22"/>
          <w:szCs w:val="22"/>
        </w:rPr>
        <w:t>No, not listed on formulary for Ophthalmology.</w:t>
      </w:r>
      <w:r>
        <w:rPr>
          <w:rFonts w:ascii="Verdana" w:hAnsi="Verdana"/>
          <w:b/>
          <w:bCs/>
          <w:noProof/>
          <w:sz w:val="22"/>
          <w:szCs w:val="22"/>
        </w:rPr>
        <w:br/>
      </w:r>
    </w:p>
    <w:p w14:paraId="00F9F6F3" w14:textId="1DE0323B" w:rsidR="000A2B4C" w:rsidRPr="000A2B4C" w:rsidRDefault="000A2B4C" w:rsidP="000A2B4C">
      <w:pPr>
        <w:pStyle w:val="ListParagraph"/>
        <w:numPr>
          <w:ilvl w:val="0"/>
          <w:numId w:val="20"/>
        </w:numPr>
        <w:ind w:left="993" w:hanging="488"/>
        <w:rPr>
          <w:rFonts w:ascii="Verdana" w:hAnsi="Verdana"/>
          <w:b/>
          <w:bCs/>
          <w:noProof/>
          <w:sz w:val="22"/>
          <w:szCs w:val="22"/>
        </w:rPr>
      </w:pPr>
      <w:r w:rsidRPr="000A2B4C">
        <w:rPr>
          <w:rFonts w:ascii="Verdana" w:hAnsi="Verdana"/>
          <w:b/>
          <w:bCs/>
          <w:noProof/>
          <w:sz w:val="22"/>
          <w:szCs w:val="22"/>
        </w:rPr>
        <w:t>As Kenalog has been withdrawn from the UK market, please provide any recorded information, internal communications, policies, or decisions relating to:</w:t>
      </w:r>
    </w:p>
    <w:p w14:paraId="108377C9" w14:textId="0B5F9410" w:rsidR="000A2B4C" w:rsidRPr="000A2B4C" w:rsidRDefault="000A2B4C" w:rsidP="000A2B4C">
      <w:pPr>
        <w:pStyle w:val="ListParagraph"/>
        <w:numPr>
          <w:ilvl w:val="0"/>
          <w:numId w:val="22"/>
        </w:numPr>
        <w:rPr>
          <w:rFonts w:ascii="Verdana" w:hAnsi="Verdana"/>
          <w:b/>
          <w:bCs/>
          <w:noProof/>
          <w:sz w:val="22"/>
          <w:szCs w:val="22"/>
        </w:rPr>
      </w:pPr>
      <w:r w:rsidRPr="000A2B4C">
        <w:rPr>
          <w:rFonts w:ascii="Verdana" w:hAnsi="Verdana"/>
          <w:b/>
          <w:bCs/>
          <w:noProof/>
          <w:sz w:val="22"/>
          <w:szCs w:val="22"/>
        </w:rPr>
        <w:t>whether the Ophthalmology department is continuing to use existing stock,</w:t>
      </w:r>
    </w:p>
    <w:p w14:paraId="1E9713A5" w14:textId="3ABB467C" w:rsidR="000A2B4C" w:rsidRPr="000A2B4C" w:rsidRDefault="000A2B4C" w:rsidP="000A2B4C">
      <w:pPr>
        <w:pStyle w:val="ListParagraph"/>
        <w:numPr>
          <w:ilvl w:val="0"/>
          <w:numId w:val="22"/>
        </w:numPr>
        <w:rPr>
          <w:rFonts w:ascii="Verdana" w:hAnsi="Verdana"/>
          <w:b/>
          <w:bCs/>
          <w:noProof/>
          <w:sz w:val="22"/>
          <w:szCs w:val="22"/>
        </w:rPr>
      </w:pPr>
      <w:r w:rsidRPr="000A2B4C">
        <w:rPr>
          <w:rFonts w:ascii="Verdana" w:hAnsi="Verdana"/>
          <w:b/>
          <w:bCs/>
          <w:noProof/>
          <w:sz w:val="22"/>
          <w:szCs w:val="22"/>
        </w:rPr>
        <w:t>any plans or decisions to discontinue its use, and</w:t>
      </w:r>
    </w:p>
    <w:p w14:paraId="23DF621B" w14:textId="6694CDAD" w:rsidR="00873328" w:rsidRPr="000A2B4C" w:rsidRDefault="000A2B4C" w:rsidP="000A2B4C">
      <w:pPr>
        <w:pStyle w:val="ListParagraph"/>
        <w:numPr>
          <w:ilvl w:val="0"/>
          <w:numId w:val="22"/>
        </w:numPr>
        <w:rPr>
          <w:rFonts w:ascii="Verdana" w:hAnsi="Verdana"/>
          <w:b/>
          <w:bCs/>
          <w:noProof/>
          <w:sz w:val="22"/>
          <w:szCs w:val="22"/>
        </w:rPr>
      </w:pPr>
      <w:r w:rsidRPr="000A2B4C">
        <w:rPr>
          <w:rFonts w:ascii="Verdana" w:hAnsi="Verdana"/>
          <w:b/>
          <w:bCs/>
          <w:noProof/>
          <w:sz w:val="22"/>
          <w:szCs w:val="22"/>
        </w:rPr>
        <w:t>any identified or recommended alternative treatments.</w:t>
      </w:r>
    </w:p>
    <w:p w14:paraId="20F627E8" w14:textId="77777777" w:rsidR="00961853" w:rsidRDefault="00961853" w:rsidP="00093152">
      <w:pPr>
        <w:ind w:left="993"/>
        <w:rPr>
          <w:rFonts w:ascii="Verdana" w:hAnsi="Verdana"/>
          <w:noProof/>
          <w:sz w:val="22"/>
          <w:szCs w:val="22"/>
        </w:rPr>
      </w:pPr>
      <w:r>
        <w:rPr>
          <w:rFonts w:ascii="Verdana" w:hAnsi="Verdana"/>
          <w:noProof/>
          <w:sz w:val="22"/>
          <w:szCs w:val="22"/>
        </w:rPr>
        <w:t>Please find attached;</w:t>
      </w:r>
    </w:p>
    <w:p w14:paraId="2178A95B" w14:textId="46B84376" w:rsidR="00873328" w:rsidRDefault="00961853" w:rsidP="00093152">
      <w:pPr>
        <w:ind w:left="993"/>
        <w:rPr>
          <w:rFonts w:ascii="Verdana" w:hAnsi="Verdana"/>
          <w:noProof/>
          <w:sz w:val="22"/>
          <w:szCs w:val="22"/>
        </w:rPr>
      </w:pPr>
      <w:r>
        <w:rPr>
          <w:rFonts w:ascii="Verdana" w:hAnsi="Verdana"/>
          <w:noProof/>
          <w:sz w:val="22"/>
          <w:szCs w:val="22"/>
        </w:rPr>
        <w:t>Attachment 1 - an email received in May 2025 relating to the discontinuation of the use of Kenalog.</w:t>
      </w:r>
    </w:p>
    <w:p w14:paraId="0B258DD5" w14:textId="52F7C491" w:rsidR="00961853" w:rsidRDefault="00961853" w:rsidP="00093152">
      <w:pPr>
        <w:ind w:left="993"/>
        <w:rPr>
          <w:rFonts w:ascii="Verdana" w:hAnsi="Verdana"/>
          <w:noProof/>
          <w:sz w:val="22"/>
          <w:szCs w:val="22"/>
        </w:rPr>
      </w:pPr>
      <w:r>
        <w:rPr>
          <w:rFonts w:ascii="Verdana" w:hAnsi="Verdana"/>
          <w:noProof/>
          <w:sz w:val="22"/>
          <w:szCs w:val="22"/>
        </w:rPr>
        <w:t>Attachment 2 – the NHS England annoucement regarding the discontinuation of the use of Kenalog.</w:t>
      </w:r>
    </w:p>
    <w:p w14:paraId="55CFA771" w14:textId="77777777" w:rsidR="00CC1B65" w:rsidRDefault="00CC1B65" w:rsidP="00093152">
      <w:pPr>
        <w:ind w:left="993"/>
        <w:rPr>
          <w:rFonts w:ascii="Verdana" w:hAnsi="Verdana"/>
          <w:noProof/>
          <w:sz w:val="22"/>
          <w:szCs w:val="22"/>
        </w:rPr>
      </w:pPr>
    </w:p>
    <w:p w14:paraId="4EEA01CC" w14:textId="06B77B85" w:rsidR="00CC1B65" w:rsidRDefault="00CC1B65" w:rsidP="00CC1B65">
      <w:pPr>
        <w:ind w:left="720"/>
        <w:rPr>
          <w:rFonts w:ascii="Verdana" w:hAnsi="Verdana"/>
          <w:iCs/>
          <w:sz w:val="22"/>
          <w:szCs w:val="22"/>
        </w:rPr>
      </w:pPr>
      <w:r w:rsidRPr="00FC3B42">
        <w:rPr>
          <w:rFonts w:ascii="Verdana" w:hAnsi="Verdana" w:cs="Times New Roman"/>
          <w:sz w:val="22"/>
          <w:szCs w:val="22"/>
        </w:rPr>
        <w:t>It is not our usual practice to disclose the names of</w:t>
      </w:r>
      <w:r>
        <w:rPr>
          <w:rFonts w:ascii="Verdana" w:hAnsi="Verdana" w:cs="Times New Roman"/>
          <w:sz w:val="22"/>
          <w:szCs w:val="22"/>
        </w:rPr>
        <w:t xml:space="preserve"> individuals outside our organisation or</w:t>
      </w:r>
      <w:r w:rsidRPr="00FC3B42">
        <w:rPr>
          <w:rFonts w:ascii="Verdana" w:hAnsi="Verdana" w:cs="Times New Roman"/>
          <w:sz w:val="22"/>
          <w:szCs w:val="22"/>
        </w:rPr>
        <w:t xml:space="preserve"> staff other than those at Executive/Consultant level.  </w:t>
      </w:r>
      <w:r>
        <w:rPr>
          <w:rFonts w:ascii="Verdana" w:hAnsi="Verdana" w:cs="Times New Roman"/>
          <w:sz w:val="22"/>
          <w:szCs w:val="22"/>
        </w:rPr>
        <w:t>The names of staff or individuals outside the organisation in the attachments 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8228235" w14:textId="77777777" w:rsidR="00CC1B65" w:rsidRPr="00093152" w:rsidRDefault="00CC1B65" w:rsidP="00093152">
      <w:pPr>
        <w:ind w:left="993"/>
        <w:rPr>
          <w:rFonts w:ascii="Verdana" w:hAnsi="Verdana"/>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411408">
      <w:footerReference w:type="default" r:id="rId8"/>
      <w:headerReference w:type="first" r:id="rId9"/>
      <w:footerReference w:type="first" r:id="rId10"/>
      <w:pgSz w:w="11906" w:h="16838"/>
      <w:pgMar w:top="1276"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27332436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64077502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3684088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F31060"/>
    <w:multiLevelType w:val="hybridMultilevel"/>
    <w:tmpl w:val="AF40AF5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2153773"/>
    <w:multiLevelType w:val="hybridMultilevel"/>
    <w:tmpl w:val="F2BEF54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05C69DF"/>
    <w:multiLevelType w:val="hybridMultilevel"/>
    <w:tmpl w:val="AD66C99C"/>
    <w:lvl w:ilvl="0" w:tplc="FECA589C">
      <w:start w:val="1"/>
      <w:numFmt w:val="decimal"/>
      <w:lvlText w:val="%1."/>
      <w:lvlJc w:val="left"/>
      <w:pPr>
        <w:ind w:left="1720" w:hanging="1215"/>
      </w:pPr>
      <w:rPr>
        <w:rFonts w:hint="default"/>
      </w:rPr>
    </w:lvl>
    <w:lvl w:ilvl="1" w:tplc="F7B6A1E6">
      <w:start w:val="7"/>
      <w:numFmt w:val="bullet"/>
      <w:lvlText w:val="•"/>
      <w:lvlJc w:val="left"/>
      <w:pPr>
        <w:ind w:left="2515" w:hanging="1290"/>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AED38B0"/>
    <w:multiLevelType w:val="hybridMultilevel"/>
    <w:tmpl w:val="DE60AF7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8"/>
  </w:num>
  <w:num w:numId="5" w16cid:durableId="1143425367">
    <w:abstractNumId w:val="4"/>
  </w:num>
  <w:num w:numId="6" w16cid:durableId="1293360629">
    <w:abstractNumId w:val="3"/>
  </w:num>
  <w:num w:numId="7" w16cid:durableId="479228409">
    <w:abstractNumId w:val="11"/>
  </w:num>
  <w:num w:numId="8" w16cid:durableId="1553300907">
    <w:abstractNumId w:val="17"/>
  </w:num>
  <w:num w:numId="9" w16cid:durableId="687946864">
    <w:abstractNumId w:val="21"/>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815100866">
    <w:abstractNumId w:val="9"/>
  </w:num>
  <w:num w:numId="20" w16cid:durableId="1136216038">
    <w:abstractNumId w:val="16"/>
  </w:num>
  <w:num w:numId="21" w16cid:durableId="1561748208">
    <w:abstractNumId w:val="13"/>
  </w:num>
  <w:num w:numId="22" w16cid:durableId="1414324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3152"/>
    <w:rsid w:val="00095DF5"/>
    <w:rsid w:val="000A2B4C"/>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11408"/>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45506"/>
    <w:rsid w:val="005472B8"/>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0C3C"/>
    <w:rsid w:val="0090178A"/>
    <w:rsid w:val="00912B14"/>
    <w:rsid w:val="009267EE"/>
    <w:rsid w:val="009269BD"/>
    <w:rsid w:val="00937E61"/>
    <w:rsid w:val="009574AC"/>
    <w:rsid w:val="00961853"/>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51D2"/>
    <w:rsid w:val="00BC67E1"/>
    <w:rsid w:val="00C021A4"/>
    <w:rsid w:val="00C050BE"/>
    <w:rsid w:val="00C16126"/>
    <w:rsid w:val="00C21013"/>
    <w:rsid w:val="00C75A00"/>
    <w:rsid w:val="00CA07E3"/>
    <w:rsid w:val="00CB2BBE"/>
    <w:rsid w:val="00CC1B65"/>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134</TotalTime>
  <Pages>2</Pages>
  <Words>562</Words>
  <Characters>3026</Characters>
  <Application>Microsoft Office Word</Application>
  <DocSecurity>0</DocSecurity>
  <Lines>97</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2026-04-02T10:01:00Z</dcterms:modified>
</cp:coreProperties>
</file>