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Pr="0052781B" w:rsidRDefault="00A10460" w:rsidP="00D62A67">
      <w:pPr>
        <w:spacing w:before="280"/>
        <w:rPr>
          <w:rFonts w:ascii="Verdana" w:hAnsi="Verdana"/>
          <w:sz w:val="22"/>
          <w:szCs w:val="22"/>
        </w:rPr>
      </w:pPr>
      <w:r w:rsidRPr="0052781B">
        <w:rPr>
          <w:rFonts w:ascii="Verdana" w:hAnsi="Verdana"/>
          <w:noProof/>
          <w:sz w:val="22"/>
          <w:szCs w:val="22"/>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21A911FC"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A116A6">
                              <w:rPr>
                                <w:rFonts w:ascii="Verdana" w:hAnsi="Verdana"/>
                                <w:b/>
                                <w:sz w:val="22"/>
                                <w:szCs w:val="22"/>
                              </w:rPr>
                              <w:t>26-C-0</w:t>
                            </w:r>
                            <w:r w:rsidR="00A76247">
                              <w:rPr>
                                <w:rFonts w:ascii="Verdana" w:hAnsi="Verdana"/>
                                <w:b/>
                                <w:sz w:val="22"/>
                                <w:szCs w:val="22"/>
                              </w:rPr>
                              <w:t>17</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" filled="f" stroked="f">
                <v:textbox>
                  <w:txbxContent>
                    <w:p w14:paraId="6B840BE9" w14:textId="21A911FC"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A116A6">
                        <w:rPr>
                          <w:rFonts w:ascii="Verdana" w:hAnsi="Verdana"/>
                          <w:b/>
                          <w:sz w:val="22"/>
                          <w:szCs w:val="22"/>
                        </w:rPr>
                        <w:t>26-C-0</w:t>
                      </w:r>
                      <w:r w:rsidR="00A76247">
                        <w:rPr>
                          <w:rFonts w:ascii="Verdana" w:hAnsi="Verdana"/>
                          <w:b/>
                          <w:sz w:val="22"/>
                          <w:szCs w:val="22"/>
                        </w:rPr>
                        <w:t>17</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52781B" w:rsidRDefault="00DC7FA9" w:rsidP="00D62A67">
      <w:pPr>
        <w:spacing w:before="280"/>
        <w:rPr>
          <w:rFonts w:ascii="Verdana" w:hAnsi="Verdana"/>
          <w:sz w:val="22"/>
          <w:szCs w:val="22"/>
        </w:rPr>
      </w:pPr>
    </w:p>
    <w:p w14:paraId="635CAE49" w14:textId="751048E7" w:rsidR="00DC0D5A" w:rsidRPr="0052781B" w:rsidRDefault="00A10460" w:rsidP="00DC0D5A">
      <w:pPr>
        <w:spacing w:before="280"/>
        <w:rPr>
          <w:rFonts w:ascii="Verdana" w:hAnsi="Verdana"/>
          <w:b/>
          <w:sz w:val="22"/>
          <w:szCs w:val="22"/>
        </w:rPr>
      </w:pPr>
      <w:r w:rsidRPr="0052781B">
        <w:rPr>
          <w:rFonts w:ascii="Verdana" w:hAnsi="Verdana"/>
          <w:b/>
          <w:sz w:val="22"/>
          <w:szCs w:val="22"/>
        </w:rPr>
        <w:t>You asked:</w:t>
      </w:r>
    </w:p>
    <w:p w14:paraId="23DF621B" w14:textId="77777777" w:rsidR="00873328" w:rsidRPr="0052781B" w:rsidRDefault="00873328" w:rsidP="00421E7F">
      <w:pPr>
        <w:rPr>
          <w:rFonts w:ascii="Verdana" w:hAnsi="Verdana"/>
          <w:b/>
          <w:bCs/>
          <w:noProof/>
          <w:sz w:val="22"/>
          <w:szCs w:val="22"/>
        </w:rPr>
      </w:pPr>
    </w:p>
    <w:p w14:paraId="31F40AE8" w14:textId="108980CC" w:rsidR="00810333" w:rsidRPr="0052781B" w:rsidRDefault="00810333" w:rsidP="00810333">
      <w:pPr>
        <w:rPr>
          <w:rFonts w:ascii="Verdana" w:hAnsi="Verdana"/>
          <w:b/>
          <w:bCs/>
          <w:noProof/>
          <w:sz w:val="22"/>
          <w:szCs w:val="22"/>
        </w:rPr>
      </w:pPr>
      <w:r w:rsidRPr="0052781B">
        <w:rPr>
          <w:rFonts w:ascii="Verdana" w:hAnsi="Verdana"/>
          <w:b/>
          <w:bCs/>
          <w:noProof/>
          <w:sz w:val="22"/>
          <w:szCs w:val="22"/>
        </w:rPr>
        <w:t>Is it possible to provide hospital policies on:</w:t>
      </w:r>
    </w:p>
    <w:p w14:paraId="7A532571" w14:textId="756B9E1A" w:rsidR="00810333" w:rsidRPr="0052781B" w:rsidRDefault="00810333" w:rsidP="00810333">
      <w:pPr>
        <w:numPr>
          <w:ilvl w:val="0"/>
          <w:numId w:val="19"/>
        </w:numPr>
        <w:rPr>
          <w:rFonts w:ascii="Verdana" w:hAnsi="Verdana"/>
          <w:b/>
          <w:bCs/>
          <w:noProof/>
          <w:sz w:val="22"/>
          <w:szCs w:val="22"/>
        </w:rPr>
      </w:pPr>
      <w:r w:rsidRPr="0052781B">
        <w:rPr>
          <w:rFonts w:ascii="Verdana" w:hAnsi="Verdana"/>
          <w:b/>
          <w:bCs/>
          <w:noProof/>
          <w:sz w:val="22"/>
          <w:szCs w:val="22"/>
        </w:rPr>
        <w:t xml:space="preserve">NEWS score – </w:t>
      </w:r>
      <w:r w:rsidRPr="0052781B">
        <w:rPr>
          <w:rFonts w:ascii="Verdana" w:hAnsi="Verdana"/>
          <w:noProof/>
          <w:sz w:val="22"/>
          <w:szCs w:val="22"/>
        </w:rPr>
        <w:t>please see attached CID4806 and CID340</w:t>
      </w:r>
    </w:p>
    <w:p w14:paraId="62D064F9" w14:textId="0387D65A" w:rsidR="00810333" w:rsidRPr="0052781B" w:rsidRDefault="00810333" w:rsidP="00810333">
      <w:pPr>
        <w:numPr>
          <w:ilvl w:val="0"/>
          <w:numId w:val="19"/>
        </w:numPr>
        <w:rPr>
          <w:rFonts w:ascii="Verdana" w:hAnsi="Verdana"/>
          <w:b/>
          <w:bCs/>
          <w:noProof/>
          <w:sz w:val="22"/>
          <w:szCs w:val="22"/>
        </w:rPr>
      </w:pPr>
      <w:r w:rsidRPr="0052781B">
        <w:rPr>
          <w:rFonts w:ascii="Verdana" w:hAnsi="Verdana"/>
          <w:b/>
          <w:bCs/>
          <w:noProof/>
          <w:sz w:val="22"/>
          <w:szCs w:val="22"/>
        </w:rPr>
        <w:t>Anti coagulation</w:t>
      </w:r>
      <w:r w:rsidR="0065145B" w:rsidRPr="0052781B">
        <w:rPr>
          <w:rFonts w:ascii="Verdana" w:hAnsi="Verdana"/>
          <w:noProof/>
          <w:sz w:val="22"/>
          <w:szCs w:val="22"/>
        </w:rPr>
        <w:t xml:space="preserve"> - please see attached CID1884 and CID2780</w:t>
      </w:r>
    </w:p>
    <w:p w14:paraId="6FBE8749" w14:textId="7F1F2863" w:rsidR="00810333" w:rsidRPr="0052781B" w:rsidRDefault="00810333" w:rsidP="00810333">
      <w:pPr>
        <w:numPr>
          <w:ilvl w:val="0"/>
          <w:numId w:val="19"/>
        </w:numPr>
        <w:rPr>
          <w:rFonts w:ascii="Verdana" w:hAnsi="Verdana"/>
          <w:b/>
          <w:bCs/>
          <w:noProof/>
          <w:sz w:val="22"/>
          <w:szCs w:val="22"/>
        </w:rPr>
      </w:pPr>
      <w:r w:rsidRPr="0052781B">
        <w:rPr>
          <w:rFonts w:ascii="Verdana" w:hAnsi="Verdana"/>
          <w:b/>
          <w:bCs/>
          <w:noProof/>
          <w:sz w:val="22"/>
          <w:szCs w:val="22"/>
        </w:rPr>
        <w:t>Sepsis </w:t>
      </w:r>
      <w:r w:rsidR="00927207" w:rsidRPr="0052781B">
        <w:rPr>
          <w:rFonts w:ascii="Verdana" w:hAnsi="Verdana"/>
          <w:noProof/>
          <w:sz w:val="22"/>
          <w:szCs w:val="22"/>
        </w:rPr>
        <w:t>- please see attached CID5100, CID4646, CID450</w:t>
      </w:r>
    </w:p>
    <w:p w14:paraId="7B58EBC2" w14:textId="77777777" w:rsidR="00810333" w:rsidRPr="0052781B" w:rsidRDefault="00810333" w:rsidP="00810333">
      <w:pPr>
        <w:numPr>
          <w:ilvl w:val="0"/>
          <w:numId w:val="19"/>
        </w:numPr>
        <w:rPr>
          <w:rFonts w:ascii="Verdana" w:hAnsi="Verdana"/>
          <w:b/>
          <w:bCs/>
          <w:noProof/>
          <w:sz w:val="22"/>
          <w:szCs w:val="22"/>
        </w:rPr>
      </w:pPr>
      <w:r w:rsidRPr="0052781B">
        <w:rPr>
          <w:rFonts w:ascii="Verdana" w:hAnsi="Verdana"/>
          <w:b/>
          <w:bCs/>
          <w:noProof/>
          <w:sz w:val="22"/>
          <w:szCs w:val="22"/>
        </w:rPr>
        <w:t>Clinical pathway for AF</w:t>
      </w:r>
    </w:p>
    <w:p w14:paraId="03221BA5" w14:textId="6773F9A5" w:rsidR="00EE4307" w:rsidRPr="0052781B" w:rsidRDefault="00EE4307" w:rsidP="00EE4307">
      <w:pPr>
        <w:pStyle w:val="NormalWeb"/>
        <w:shd w:val="clear" w:color="auto" w:fill="FFFFFF"/>
        <w:spacing w:after="336" w:line="336" w:lineRule="atLeast"/>
        <w:ind w:left="505"/>
        <w:rPr>
          <w:rFonts w:ascii="Verdana" w:hAnsi="Verdana" w:cs="Segoe UI"/>
          <w:color w:val="323130"/>
          <w:sz w:val="22"/>
          <w:szCs w:val="22"/>
        </w:rPr>
      </w:pPr>
      <w:r w:rsidRPr="0052781B">
        <w:rPr>
          <w:rFonts w:ascii="Verdana" w:hAnsi="Verdana" w:cs="Segoe UI"/>
          <w:color w:val="323130"/>
          <w:sz w:val="22"/>
          <w:szCs w:val="22"/>
        </w:rPr>
        <w:t xml:space="preserve">Health Technology Wales </w:t>
      </w:r>
      <w:r w:rsidR="0010339D" w:rsidRPr="0052781B">
        <w:rPr>
          <w:rFonts w:ascii="Verdana" w:hAnsi="Verdana" w:cs="Segoe UI"/>
          <w:color w:val="323130"/>
          <w:sz w:val="22"/>
          <w:szCs w:val="22"/>
        </w:rPr>
        <w:t xml:space="preserve">(HTW) </w:t>
      </w:r>
      <w:r w:rsidRPr="0052781B">
        <w:rPr>
          <w:rFonts w:ascii="Verdana" w:hAnsi="Verdana" w:cs="Segoe UI"/>
          <w:color w:val="323130"/>
          <w:sz w:val="22"/>
          <w:szCs w:val="22"/>
        </w:rPr>
        <w:t>has published guidance on a type of heart surgery that can be used to prevent blood clots in adults with atrial fibrillation (AF).</w:t>
      </w:r>
    </w:p>
    <w:p w14:paraId="4E8B2F3B" w14:textId="77777777" w:rsidR="00EE4307" w:rsidRPr="0052781B" w:rsidRDefault="00EE4307" w:rsidP="00EE4307">
      <w:pPr>
        <w:pStyle w:val="NormalWeb"/>
        <w:shd w:val="clear" w:color="auto" w:fill="FFFFFF"/>
        <w:spacing w:after="336" w:line="336" w:lineRule="atLeast"/>
        <w:ind w:left="505"/>
        <w:rPr>
          <w:rFonts w:ascii="Verdana" w:hAnsi="Verdana" w:cs="Segoe UI"/>
          <w:color w:val="323130"/>
          <w:sz w:val="22"/>
          <w:szCs w:val="22"/>
        </w:rPr>
      </w:pPr>
      <w:r w:rsidRPr="0052781B">
        <w:rPr>
          <w:rFonts w:ascii="Verdana" w:hAnsi="Verdana" w:cs="Segoe UI"/>
          <w:color w:val="323130"/>
          <w:sz w:val="22"/>
          <w:szCs w:val="22"/>
        </w:rPr>
        <w:t>AF is an irregular and often rapid heart rhythm that can cause blood clots in the heart. These blood clots can form in the left atrial appendage part of the heart and can lead to a stroke.</w:t>
      </w:r>
    </w:p>
    <w:p w14:paraId="4C9FBD4E" w14:textId="77777777" w:rsidR="00EE4307" w:rsidRPr="0052781B" w:rsidRDefault="00EE4307" w:rsidP="00EE4307">
      <w:pPr>
        <w:pStyle w:val="NormalWeb"/>
        <w:shd w:val="clear" w:color="auto" w:fill="FFFFFF"/>
        <w:spacing w:after="336" w:line="336" w:lineRule="atLeast"/>
        <w:ind w:left="505"/>
        <w:rPr>
          <w:rFonts w:ascii="Verdana" w:hAnsi="Verdana" w:cs="Segoe UI"/>
          <w:color w:val="323130"/>
          <w:sz w:val="22"/>
          <w:szCs w:val="22"/>
        </w:rPr>
      </w:pPr>
      <w:r w:rsidRPr="0052781B">
        <w:rPr>
          <w:rFonts w:ascii="Verdana" w:hAnsi="Verdana" w:cs="Segoe UI"/>
          <w:color w:val="323130"/>
          <w:sz w:val="22"/>
          <w:szCs w:val="22"/>
        </w:rPr>
        <w:t>People with AF are usually treated with anticoagulant medication to prevent blood clots, however not everyone can take this medication.</w:t>
      </w:r>
    </w:p>
    <w:p w14:paraId="272E4622" w14:textId="77777777" w:rsidR="00EE4307" w:rsidRPr="0052781B" w:rsidRDefault="00EE4307" w:rsidP="00EE4307">
      <w:pPr>
        <w:pStyle w:val="NormalWeb"/>
        <w:shd w:val="clear" w:color="auto" w:fill="FFFFFF"/>
        <w:spacing w:after="336" w:line="336" w:lineRule="atLeast"/>
        <w:ind w:left="505"/>
        <w:rPr>
          <w:rFonts w:ascii="Verdana" w:hAnsi="Verdana" w:cs="Segoe UI"/>
          <w:color w:val="323130"/>
          <w:sz w:val="22"/>
          <w:szCs w:val="22"/>
        </w:rPr>
      </w:pPr>
      <w:r w:rsidRPr="0052781B">
        <w:rPr>
          <w:rFonts w:ascii="Verdana" w:hAnsi="Verdana" w:cs="Segoe UI"/>
          <w:color w:val="323130"/>
          <w:sz w:val="22"/>
          <w:szCs w:val="22"/>
        </w:rPr>
        <w:t>Left atrial appendage occlusion (LAAO) can be used as an alternative way to prevent blood clots in adults with AF who cannot take anticoagulant medication.</w:t>
      </w:r>
    </w:p>
    <w:p w14:paraId="3545564D" w14:textId="77777777" w:rsidR="00EE4307" w:rsidRPr="0052781B" w:rsidRDefault="00EE4307" w:rsidP="00EE4307">
      <w:pPr>
        <w:pStyle w:val="NormalWeb"/>
        <w:shd w:val="clear" w:color="auto" w:fill="FFFFFF"/>
        <w:spacing w:after="336" w:line="336" w:lineRule="atLeast"/>
        <w:ind w:left="505"/>
        <w:rPr>
          <w:rFonts w:ascii="Verdana" w:hAnsi="Verdana" w:cs="Segoe UI"/>
          <w:color w:val="323130"/>
          <w:sz w:val="22"/>
          <w:szCs w:val="22"/>
        </w:rPr>
      </w:pPr>
      <w:r w:rsidRPr="0052781B">
        <w:rPr>
          <w:rFonts w:ascii="Verdana" w:hAnsi="Verdana" w:cs="Segoe UI"/>
          <w:color w:val="323130"/>
          <w:sz w:val="22"/>
          <w:szCs w:val="22"/>
        </w:rPr>
        <w:t>According to the guidance published by HTW, the evidence does not support the routine adoption of left atrial appendage occlusion in adults with non-valvular atrial fibrillation who cannot take anti-coagulant medication.</w:t>
      </w:r>
    </w:p>
    <w:p w14:paraId="400C9A8B" w14:textId="77777777" w:rsidR="00EE4307" w:rsidRPr="0052781B" w:rsidRDefault="00EE4307" w:rsidP="00EE4307">
      <w:pPr>
        <w:pStyle w:val="NormalWeb"/>
        <w:shd w:val="clear" w:color="auto" w:fill="FFFFFF"/>
        <w:spacing w:after="336" w:line="336" w:lineRule="atLeast"/>
        <w:ind w:left="505"/>
        <w:rPr>
          <w:rFonts w:ascii="Verdana" w:hAnsi="Verdana" w:cs="Segoe UI"/>
          <w:color w:val="323130"/>
          <w:sz w:val="22"/>
          <w:szCs w:val="22"/>
        </w:rPr>
      </w:pPr>
      <w:hyperlink r:id="rId8" w:tooltip="https://healthtechnology.wales/reports-guidance/left-atrial-appendage-occlusion-in-patients-with-atrial-fibrillation/" w:history="1">
        <w:r w:rsidRPr="0052781B">
          <w:rPr>
            <w:rStyle w:val="Hyperlink"/>
            <w:rFonts w:ascii="Verdana" w:hAnsi="Verdana" w:cs="Segoe UI"/>
            <w:color w:val="1F355E"/>
            <w:sz w:val="22"/>
            <w:szCs w:val="22"/>
          </w:rPr>
          <w:t>Follow this link to read the guidance in full on the HTW website.</w:t>
        </w:r>
      </w:hyperlink>
    </w:p>
    <w:p w14:paraId="3E91A6C8" w14:textId="77777777" w:rsidR="00EE4307" w:rsidRPr="0052781B" w:rsidRDefault="00EE4307" w:rsidP="00EE4307">
      <w:pPr>
        <w:pStyle w:val="NormalWeb"/>
        <w:shd w:val="clear" w:color="auto" w:fill="FFFFFF"/>
        <w:spacing w:line="336" w:lineRule="atLeast"/>
        <w:ind w:left="505"/>
        <w:rPr>
          <w:rFonts w:ascii="Verdana" w:hAnsi="Verdana" w:cs="Segoe UI"/>
          <w:color w:val="323130"/>
          <w:sz w:val="22"/>
          <w:szCs w:val="22"/>
        </w:rPr>
      </w:pPr>
      <w:hyperlink r:id="rId9" w:tooltip="https://healthtechnology.wales/guidance-published-on-left-atrial-appendage-occlusion-to-treat-adults-with-atrial-fibrillation/" w:history="1">
        <w:r w:rsidRPr="0052781B">
          <w:rPr>
            <w:rStyle w:val="Hyperlink"/>
            <w:rFonts w:ascii="Verdana" w:hAnsi="Verdana" w:cs="Segoe UI"/>
            <w:color w:val="1F355E"/>
            <w:sz w:val="22"/>
            <w:szCs w:val="22"/>
          </w:rPr>
          <w:t>You can find more information on the new guidance here</w:t>
        </w:r>
      </w:hyperlink>
      <w:r w:rsidRPr="0052781B">
        <w:rPr>
          <w:rFonts w:ascii="Verdana" w:hAnsi="Verdana" w:cs="Segoe UI"/>
          <w:color w:val="323130"/>
          <w:sz w:val="22"/>
          <w:szCs w:val="22"/>
        </w:rPr>
        <w:t> and you can </w:t>
      </w:r>
      <w:hyperlink r:id="rId10" w:tooltip="https://healthtechnology.wales/wp-content/uploads/2022/01/GUI041-LAAO-FINAL_English.pdf" w:history="1">
        <w:r w:rsidRPr="0052781B">
          <w:rPr>
            <w:rStyle w:val="Hyperlink"/>
            <w:rFonts w:ascii="Verdana" w:hAnsi="Verdana" w:cs="Segoe UI"/>
            <w:color w:val="1F355E"/>
            <w:sz w:val="22"/>
            <w:szCs w:val="22"/>
          </w:rPr>
          <w:t>access the guidance document here.</w:t>
        </w:r>
      </w:hyperlink>
    </w:p>
    <w:p w14:paraId="7D59CF79" w14:textId="77777777" w:rsidR="00EE4307" w:rsidRPr="0052781B" w:rsidRDefault="00EE4307" w:rsidP="00EE4307">
      <w:pPr>
        <w:rPr>
          <w:rFonts w:ascii="Verdana" w:hAnsi="Verdana"/>
          <w:noProof/>
          <w:sz w:val="22"/>
          <w:szCs w:val="22"/>
        </w:rPr>
      </w:pPr>
    </w:p>
    <w:p w14:paraId="6B93D0C4" w14:textId="3EBF44EC" w:rsidR="00EE4307" w:rsidRPr="0052781B" w:rsidRDefault="00EE4307" w:rsidP="00EE4307">
      <w:pPr>
        <w:rPr>
          <w:rFonts w:ascii="Verdana" w:hAnsi="Verdana"/>
          <w:noProof/>
          <w:sz w:val="22"/>
          <w:szCs w:val="22"/>
        </w:rPr>
      </w:pPr>
      <w:r w:rsidRPr="0052781B">
        <w:rPr>
          <w:rFonts w:ascii="Verdana" w:hAnsi="Verdana"/>
          <w:noProof/>
          <w:sz w:val="22"/>
          <w:szCs w:val="22"/>
        </w:rPr>
        <w:t>Please also see attached CID3450, CID4838</w:t>
      </w:r>
    </w:p>
    <w:p w14:paraId="064593A4" w14:textId="77777777" w:rsidR="00EE4307" w:rsidRPr="0052781B" w:rsidRDefault="00EE4307" w:rsidP="00EE4307">
      <w:pPr>
        <w:rPr>
          <w:rFonts w:ascii="Verdana" w:hAnsi="Verdana"/>
          <w:b/>
          <w:bCs/>
          <w:noProof/>
          <w:sz w:val="22"/>
          <w:szCs w:val="22"/>
        </w:rPr>
      </w:pPr>
    </w:p>
    <w:p w14:paraId="1D597594" w14:textId="56572039" w:rsidR="00810333" w:rsidRPr="0052781B" w:rsidRDefault="00810333" w:rsidP="00810333">
      <w:pPr>
        <w:numPr>
          <w:ilvl w:val="0"/>
          <w:numId w:val="19"/>
        </w:numPr>
        <w:rPr>
          <w:rFonts w:ascii="Verdana" w:hAnsi="Verdana"/>
          <w:b/>
          <w:bCs/>
          <w:noProof/>
          <w:sz w:val="22"/>
          <w:szCs w:val="22"/>
        </w:rPr>
      </w:pPr>
      <w:r w:rsidRPr="0052781B">
        <w:rPr>
          <w:rFonts w:ascii="Verdana" w:hAnsi="Verdana"/>
          <w:b/>
          <w:bCs/>
          <w:noProof/>
          <w:sz w:val="22"/>
          <w:szCs w:val="22"/>
        </w:rPr>
        <w:lastRenderedPageBreak/>
        <w:t>Clinical pathway for hyponatremia</w:t>
      </w:r>
      <w:r w:rsidR="0065145B" w:rsidRPr="0052781B">
        <w:rPr>
          <w:rFonts w:ascii="Verdana" w:hAnsi="Verdana"/>
          <w:noProof/>
          <w:sz w:val="22"/>
          <w:szCs w:val="22"/>
        </w:rPr>
        <w:t xml:space="preserve"> – please see attached CID1410</w:t>
      </w:r>
    </w:p>
    <w:p w14:paraId="0C006B3C" w14:textId="553F61A2" w:rsidR="00810333" w:rsidRPr="0052781B" w:rsidRDefault="00810333" w:rsidP="00810333">
      <w:pPr>
        <w:numPr>
          <w:ilvl w:val="0"/>
          <w:numId w:val="19"/>
        </w:numPr>
        <w:rPr>
          <w:rFonts w:ascii="Verdana" w:hAnsi="Verdana"/>
          <w:b/>
          <w:bCs/>
          <w:noProof/>
          <w:sz w:val="22"/>
          <w:szCs w:val="22"/>
        </w:rPr>
      </w:pPr>
      <w:r w:rsidRPr="0052781B">
        <w:rPr>
          <w:rFonts w:ascii="Verdana" w:hAnsi="Verdana"/>
          <w:b/>
          <w:bCs/>
          <w:noProof/>
          <w:sz w:val="22"/>
          <w:szCs w:val="22"/>
        </w:rPr>
        <w:t>VTE</w:t>
      </w:r>
      <w:r w:rsidR="00927207" w:rsidRPr="0052781B">
        <w:rPr>
          <w:rFonts w:ascii="Verdana" w:hAnsi="Verdana"/>
          <w:noProof/>
          <w:sz w:val="22"/>
          <w:szCs w:val="22"/>
        </w:rPr>
        <w:t xml:space="preserve"> - please see attached CID1884</w:t>
      </w:r>
    </w:p>
    <w:p w14:paraId="071EA6AE" w14:textId="6C6A0697" w:rsidR="00810333" w:rsidRPr="0052781B" w:rsidRDefault="00810333" w:rsidP="00810333">
      <w:pPr>
        <w:numPr>
          <w:ilvl w:val="0"/>
          <w:numId w:val="19"/>
        </w:numPr>
        <w:rPr>
          <w:rFonts w:ascii="Verdana" w:hAnsi="Verdana"/>
          <w:b/>
          <w:bCs/>
          <w:noProof/>
          <w:sz w:val="22"/>
          <w:szCs w:val="22"/>
        </w:rPr>
      </w:pPr>
      <w:r w:rsidRPr="0052781B">
        <w:rPr>
          <w:rFonts w:ascii="Verdana" w:hAnsi="Verdana"/>
          <w:b/>
          <w:bCs/>
          <w:noProof/>
          <w:sz w:val="22"/>
          <w:szCs w:val="22"/>
        </w:rPr>
        <w:t>Stroke</w:t>
      </w:r>
      <w:r w:rsidRPr="0052781B">
        <w:rPr>
          <w:rFonts w:ascii="Verdana" w:hAnsi="Verdana"/>
          <w:noProof/>
          <w:sz w:val="22"/>
          <w:szCs w:val="22"/>
        </w:rPr>
        <w:t xml:space="preserve"> – please see attached CID1</w:t>
      </w:r>
      <w:r w:rsidR="0065145B" w:rsidRPr="0052781B">
        <w:rPr>
          <w:rFonts w:ascii="Verdana" w:hAnsi="Verdana"/>
          <w:noProof/>
          <w:sz w:val="22"/>
          <w:szCs w:val="22"/>
        </w:rPr>
        <w:t>22</w:t>
      </w:r>
      <w:r w:rsidRPr="0052781B">
        <w:rPr>
          <w:rFonts w:ascii="Verdana" w:hAnsi="Verdana"/>
          <w:noProof/>
          <w:sz w:val="22"/>
          <w:szCs w:val="22"/>
        </w:rPr>
        <w:t>, CID1262, CID1636</w:t>
      </w:r>
      <w:r w:rsidR="0065145B" w:rsidRPr="0052781B">
        <w:rPr>
          <w:rFonts w:ascii="Verdana" w:hAnsi="Verdana"/>
          <w:noProof/>
          <w:sz w:val="22"/>
          <w:szCs w:val="22"/>
        </w:rPr>
        <w:t xml:space="preserve"> </w:t>
      </w:r>
      <w:r w:rsidRPr="0052781B">
        <w:rPr>
          <w:rFonts w:ascii="Verdana" w:hAnsi="Verdana"/>
          <w:noProof/>
          <w:sz w:val="22"/>
          <w:szCs w:val="22"/>
        </w:rPr>
        <w:t>and CID4934</w:t>
      </w:r>
    </w:p>
    <w:p w14:paraId="2178A95B" w14:textId="77777777" w:rsidR="00873328" w:rsidRPr="0052781B" w:rsidRDefault="00873328" w:rsidP="00421E7F">
      <w:pPr>
        <w:rPr>
          <w:rFonts w:ascii="Verdana" w:hAnsi="Verdana"/>
          <w:b/>
          <w:bCs/>
          <w:noProof/>
          <w:sz w:val="22"/>
          <w:szCs w:val="22"/>
        </w:rPr>
      </w:pPr>
    </w:p>
    <w:p w14:paraId="75970B72" w14:textId="4BC3614D" w:rsidR="00A10460" w:rsidRPr="0052781B" w:rsidRDefault="00421E7F" w:rsidP="00421E7F">
      <w:pPr>
        <w:rPr>
          <w:rFonts w:ascii="Verdana" w:hAnsi="Verdana"/>
          <w:b/>
          <w:bCs/>
          <w:noProof/>
          <w:sz w:val="22"/>
          <w:szCs w:val="22"/>
        </w:rPr>
      </w:pPr>
      <w:r w:rsidRPr="0052781B">
        <w:rPr>
          <w:rFonts w:ascii="Verdana" w:hAnsi="Verdana"/>
          <w:b/>
          <w:bCs/>
          <w:noProof/>
          <w:sz w:val="22"/>
          <w:szCs w:val="22"/>
        </w:rPr>
        <w:br/>
        <w:t xml:space="preserve">_____________________________________________________________ </w:t>
      </w:r>
    </w:p>
    <w:p w14:paraId="6644CEA6" w14:textId="1949337D" w:rsidR="00AC7F3C" w:rsidRPr="0052781B" w:rsidRDefault="00AC7F3C" w:rsidP="004F001A">
      <w:pPr>
        <w:spacing w:before="0" w:after="0" w:line="240" w:lineRule="auto"/>
        <w:ind w:left="0" w:right="0"/>
        <w:rPr>
          <w:rFonts w:ascii="Verdana" w:hAnsi="Verdana"/>
          <w:b/>
          <w:bCs/>
          <w:noProof/>
          <w:sz w:val="22"/>
          <w:szCs w:val="22"/>
        </w:rPr>
      </w:pPr>
    </w:p>
    <w:sectPr w:rsidR="00AC7F3C" w:rsidRPr="0052781B" w:rsidSect="00EE4307">
      <w:footerReference w:type="default" r:id="rId11"/>
      <w:headerReference w:type="first" r:id="rId12"/>
      <w:footerReference w:type="first" r:id="rId13"/>
      <w:pgSz w:w="11906" w:h="16838"/>
      <w:pgMar w:top="1276"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C22999B"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2576" behindDoc="1" locked="0" layoutInCell="1" allowOverlap="1" wp14:anchorId="0D6B943D" wp14:editId="203C8B44">
          <wp:simplePos x="0" y="0"/>
          <wp:positionH relativeFrom="column">
            <wp:posOffset>1666875</wp:posOffset>
          </wp:positionH>
          <wp:positionV relativeFrom="paragraph">
            <wp:posOffset>-290830</wp:posOffset>
          </wp:positionV>
          <wp:extent cx="5407660" cy="1537295"/>
          <wp:effectExtent l="0" t="0" r="2540" b="6350"/>
          <wp:wrapNone/>
          <wp:docPr id="1670842094"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710632"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Pr>
        <w:b/>
        <w:bCs/>
        <w:color w:val="1F355E"/>
        <w:sz w:val="14"/>
        <w:szCs w:val="14"/>
      </w:rPr>
      <w:t>Rydym</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croesawu</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neu'r</w:t>
    </w:r>
    <w:proofErr w:type="spellEnd"/>
    <w:r w:rsidR="004F001A">
      <w:rPr>
        <w:b/>
        <w:bCs/>
        <w:color w:val="1F355E"/>
        <w:sz w:val="14"/>
        <w:szCs w:val="14"/>
      </w:rPr>
      <w:t xml:space="preserve"> </w:t>
    </w:r>
    <w:proofErr w:type="spellStart"/>
    <w:r w:rsidR="004F001A">
      <w:rPr>
        <w:b/>
        <w:bCs/>
        <w:color w:val="1F355E"/>
        <w:sz w:val="14"/>
        <w:szCs w:val="14"/>
      </w:rPr>
      <w:t>Saesneg</w:t>
    </w:r>
    <w:proofErr w:type="spellEnd"/>
    <w:r w:rsidR="004F001A">
      <w:rPr>
        <w:b/>
        <w:bCs/>
        <w:color w:val="1F355E"/>
        <w:sz w:val="14"/>
        <w:szCs w:val="14"/>
      </w:rPr>
      <w:t xml:space="preserve">. </w:t>
    </w:r>
    <w:proofErr w:type="spellStart"/>
    <w:r w:rsidR="004F001A">
      <w:rPr>
        <w:b/>
        <w:bCs/>
        <w:color w:val="1F355E"/>
        <w:sz w:val="14"/>
        <w:szCs w:val="14"/>
      </w:rPr>
      <w:t>Atebir</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ac </w:t>
    </w:r>
    <w:proofErr w:type="spellStart"/>
    <w:r w:rsidR="004F001A">
      <w:rPr>
        <w:b/>
        <w:bCs/>
        <w:color w:val="1F355E"/>
        <w:sz w:val="14"/>
        <w:szCs w:val="14"/>
      </w:rPr>
      <w:t>ni</w:t>
    </w:r>
    <w:proofErr w:type="spellEnd"/>
    <w:r w:rsidR="004F001A">
      <w:rPr>
        <w:b/>
        <w:bCs/>
        <w:color w:val="1F355E"/>
        <w:sz w:val="14"/>
        <w:szCs w:val="14"/>
      </w:rPr>
      <w:t xml:space="preserve"> </w:t>
    </w:r>
    <w:proofErr w:type="spellStart"/>
    <w:r w:rsidR="004F001A">
      <w:rPr>
        <w:b/>
        <w:bCs/>
        <w:color w:val="1F355E"/>
        <w:sz w:val="14"/>
        <w:szCs w:val="14"/>
      </w:rPr>
      <w:t>fydd</w:t>
    </w:r>
    <w:proofErr w:type="spellEnd"/>
    <w:r w:rsidR="004F001A">
      <w:rPr>
        <w:b/>
        <w:bCs/>
        <w:color w:val="1F355E"/>
        <w:sz w:val="14"/>
        <w:szCs w:val="14"/>
      </w:rPr>
      <w:t xml:space="preserve"> </w:t>
    </w:r>
    <w:proofErr w:type="spellStart"/>
    <w:r w:rsidR="004F001A">
      <w:rPr>
        <w:b/>
        <w:bCs/>
        <w:color w:val="1F355E"/>
        <w:sz w:val="14"/>
        <w:szCs w:val="14"/>
      </w:rPr>
      <w:t>hyn</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arwain</w:t>
    </w:r>
    <w:proofErr w:type="spellEnd"/>
    <w:r w:rsidR="004F001A">
      <w:rPr>
        <w:b/>
        <w:bCs/>
        <w:color w:val="1F355E"/>
        <w:sz w:val="14"/>
        <w:szCs w:val="14"/>
      </w:rPr>
      <w:t xml:space="preserve"> at </w:t>
    </w:r>
    <w:proofErr w:type="spellStart"/>
    <w:r w:rsidR="004F001A">
      <w:rPr>
        <w:b/>
        <w:bCs/>
        <w:color w:val="1F355E"/>
        <w:sz w:val="14"/>
        <w:szCs w:val="14"/>
      </w:rPr>
      <w:t>oedi</w:t>
    </w:r>
    <w:proofErr w:type="spellEnd"/>
    <w:r w:rsidR="004F001A">
      <w:rPr>
        <w:b/>
        <w:bCs/>
        <w:color w:val="1F355E"/>
        <w:sz w:val="14"/>
        <w:szCs w:val="14"/>
      </w:rPr>
      <w:t>.</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1EBD6AA6"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C861281" w14:textId="4D803FF6"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19D5081E"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0528" behindDoc="1" locked="0" layoutInCell="1" allowOverlap="1" wp14:anchorId="1CA527F0" wp14:editId="682C9C4C">
          <wp:simplePos x="0" y="0"/>
          <wp:positionH relativeFrom="column">
            <wp:posOffset>1743075</wp:posOffset>
          </wp:positionH>
          <wp:positionV relativeFrom="paragraph">
            <wp:posOffset>-295910</wp:posOffset>
          </wp:positionV>
          <wp:extent cx="5407660" cy="1537295"/>
          <wp:effectExtent l="0" t="0" r="2540" b="0"/>
          <wp:wrapNone/>
          <wp:docPr id="1109050220"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628164"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Pr>
        <w:b/>
        <w:bCs/>
        <w:color w:val="1F355E"/>
        <w:sz w:val="14"/>
        <w:szCs w:val="14"/>
      </w:rPr>
      <w:t>Rydym</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croesawu</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neu'r</w:t>
    </w:r>
    <w:proofErr w:type="spellEnd"/>
    <w:r w:rsidR="004F001A">
      <w:rPr>
        <w:b/>
        <w:bCs/>
        <w:color w:val="1F355E"/>
        <w:sz w:val="14"/>
        <w:szCs w:val="14"/>
      </w:rPr>
      <w:t xml:space="preserve"> </w:t>
    </w:r>
    <w:proofErr w:type="spellStart"/>
    <w:r w:rsidR="004F001A">
      <w:rPr>
        <w:b/>
        <w:bCs/>
        <w:color w:val="1F355E"/>
        <w:sz w:val="14"/>
        <w:szCs w:val="14"/>
      </w:rPr>
      <w:t>Saesneg</w:t>
    </w:r>
    <w:proofErr w:type="spellEnd"/>
    <w:r w:rsidR="004F001A">
      <w:rPr>
        <w:b/>
        <w:bCs/>
        <w:color w:val="1F355E"/>
        <w:sz w:val="14"/>
        <w:szCs w:val="14"/>
      </w:rPr>
      <w:t xml:space="preserve">. </w:t>
    </w:r>
    <w:proofErr w:type="spellStart"/>
    <w:r w:rsidR="004F001A">
      <w:rPr>
        <w:b/>
        <w:bCs/>
        <w:color w:val="1F355E"/>
        <w:sz w:val="14"/>
        <w:szCs w:val="14"/>
      </w:rPr>
      <w:t>Atebir</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ac </w:t>
    </w:r>
    <w:proofErr w:type="spellStart"/>
    <w:r w:rsidR="004F001A">
      <w:rPr>
        <w:b/>
        <w:bCs/>
        <w:color w:val="1F355E"/>
        <w:sz w:val="14"/>
        <w:szCs w:val="14"/>
      </w:rPr>
      <w:t>ni</w:t>
    </w:r>
    <w:proofErr w:type="spellEnd"/>
    <w:r w:rsidR="004F001A">
      <w:rPr>
        <w:b/>
        <w:bCs/>
        <w:color w:val="1F355E"/>
        <w:sz w:val="14"/>
        <w:szCs w:val="14"/>
      </w:rPr>
      <w:t xml:space="preserve"> </w:t>
    </w:r>
    <w:proofErr w:type="spellStart"/>
    <w:r w:rsidR="004F001A">
      <w:rPr>
        <w:b/>
        <w:bCs/>
        <w:color w:val="1F355E"/>
        <w:sz w:val="14"/>
        <w:szCs w:val="14"/>
      </w:rPr>
      <w:t>fydd</w:t>
    </w:r>
    <w:proofErr w:type="spellEnd"/>
    <w:r w:rsidR="004F001A">
      <w:rPr>
        <w:b/>
        <w:bCs/>
        <w:color w:val="1F355E"/>
        <w:sz w:val="14"/>
        <w:szCs w:val="14"/>
      </w:rPr>
      <w:t xml:space="preserve"> </w:t>
    </w:r>
    <w:proofErr w:type="spellStart"/>
    <w:r w:rsidR="004F001A">
      <w:rPr>
        <w:b/>
        <w:bCs/>
        <w:color w:val="1F355E"/>
        <w:sz w:val="14"/>
        <w:szCs w:val="14"/>
      </w:rPr>
      <w:t>hyn</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arwain</w:t>
    </w:r>
    <w:proofErr w:type="spellEnd"/>
    <w:r w:rsidR="004F001A">
      <w:rPr>
        <w:b/>
        <w:bCs/>
        <w:color w:val="1F355E"/>
        <w:sz w:val="14"/>
        <w:szCs w:val="14"/>
      </w:rPr>
      <w:t xml:space="preserve"> at </w:t>
    </w:r>
    <w:proofErr w:type="spellStart"/>
    <w:r w:rsidR="004F001A">
      <w:rPr>
        <w:b/>
        <w:bCs/>
        <w:color w:val="1F355E"/>
        <w:sz w:val="14"/>
        <w:szCs w:val="14"/>
      </w:rPr>
      <w:t>oedi</w:t>
    </w:r>
    <w:proofErr w:type="spellEnd"/>
    <w:r w:rsidR="004F001A">
      <w:rPr>
        <w:b/>
        <w:bCs/>
        <w:color w:val="1F355E"/>
        <w:sz w:val="14"/>
        <w:szCs w:val="14"/>
      </w:rPr>
      <w:t>.</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903538367"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600F91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25pt;height:20.25pt;visibility:visible;mso-wrap-style:square" o:bullet="t">
        <v:imagedata r:id="rId1" o:title=""/>
      </v:shape>
    </w:pict>
  </w:numPicBullet>
  <w:numPicBullet w:numPicBulletId="1">
    <w:pict>
      <v:shape id="_x0000_i1026" type="#_x0000_t75" style="width:382.5pt;height:382.5pt;visibility:visible;mso-wrap-style:square" o:bullet="t">
        <v:imagedata r:id="rId2" o:title=""/>
      </v:shape>
    </w:pict>
  </w:numPicBullet>
  <w:numPicBullet w:numPicBulletId="2">
    <w:pict>
      <v:shape id="_x0000_i1027" type="#_x0000_t75" style="width:225.75pt;height:225.75pt;visibility:visible;mso-wrap-style:square" o:bullet="t">
        <v:imagedata r:id="rId3" o:title=""/>
      </v:shape>
    </w:pict>
  </w:numPicBullet>
  <w:numPicBullet w:numPicBulletId="3">
    <w:pict>
      <v:shape id="_x0000_i1028"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6"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7"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60CB26E1"/>
    <w:multiLevelType w:val="multilevel"/>
    <w:tmpl w:val="9C34162A"/>
    <w:lvl w:ilvl="0">
      <w:start w:val="1"/>
      <w:numFmt w:val="decimal"/>
      <w:lvlText w:val="%1."/>
      <w:lvlJc w:val="left"/>
      <w:pPr>
        <w:tabs>
          <w:tab w:val="num" w:pos="865"/>
        </w:tabs>
        <w:ind w:left="865" w:hanging="360"/>
      </w:pPr>
    </w:lvl>
    <w:lvl w:ilvl="1">
      <w:start w:val="1"/>
      <w:numFmt w:val="decimal"/>
      <w:lvlText w:val="%2."/>
      <w:lvlJc w:val="left"/>
      <w:pPr>
        <w:tabs>
          <w:tab w:val="num" w:pos="1585"/>
        </w:tabs>
        <w:ind w:left="1585" w:hanging="360"/>
      </w:pPr>
    </w:lvl>
    <w:lvl w:ilvl="2">
      <w:start w:val="1"/>
      <w:numFmt w:val="decimal"/>
      <w:lvlText w:val="%3."/>
      <w:lvlJc w:val="left"/>
      <w:pPr>
        <w:tabs>
          <w:tab w:val="num" w:pos="2305"/>
        </w:tabs>
        <w:ind w:left="2305" w:hanging="360"/>
      </w:pPr>
    </w:lvl>
    <w:lvl w:ilvl="3">
      <w:start w:val="1"/>
      <w:numFmt w:val="decimal"/>
      <w:lvlText w:val="%4."/>
      <w:lvlJc w:val="left"/>
      <w:pPr>
        <w:tabs>
          <w:tab w:val="num" w:pos="3025"/>
        </w:tabs>
        <w:ind w:left="3025" w:hanging="360"/>
      </w:pPr>
    </w:lvl>
    <w:lvl w:ilvl="4">
      <w:start w:val="1"/>
      <w:numFmt w:val="decimal"/>
      <w:lvlText w:val="%5."/>
      <w:lvlJc w:val="left"/>
      <w:pPr>
        <w:tabs>
          <w:tab w:val="num" w:pos="3745"/>
        </w:tabs>
        <w:ind w:left="3745" w:hanging="360"/>
      </w:pPr>
    </w:lvl>
    <w:lvl w:ilvl="5">
      <w:start w:val="1"/>
      <w:numFmt w:val="decimal"/>
      <w:lvlText w:val="%6."/>
      <w:lvlJc w:val="left"/>
      <w:pPr>
        <w:tabs>
          <w:tab w:val="num" w:pos="4465"/>
        </w:tabs>
        <w:ind w:left="4465" w:hanging="360"/>
      </w:pPr>
    </w:lvl>
    <w:lvl w:ilvl="6">
      <w:start w:val="1"/>
      <w:numFmt w:val="decimal"/>
      <w:lvlText w:val="%7."/>
      <w:lvlJc w:val="left"/>
      <w:pPr>
        <w:tabs>
          <w:tab w:val="num" w:pos="5185"/>
        </w:tabs>
        <w:ind w:left="5185" w:hanging="360"/>
      </w:pPr>
    </w:lvl>
    <w:lvl w:ilvl="7">
      <w:start w:val="1"/>
      <w:numFmt w:val="decimal"/>
      <w:lvlText w:val="%8."/>
      <w:lvlJc w:val="left"/>
      <w:pPr>
        <w:tabs>
          <w:tab w:val="num" w:pos="5905"/>
        </w:tabs>
        <w:ind w:left="5905" w:hanging="360"/>
      </w:pPr>
    </w:lvl>
    <w:lvl w:ilvl="8">
      <w:start w:val="1"/>
      <w:numFmt w:val="decimal"/>
      <w:lvlText w:val="%9."/>
      <w:lvlJc w:val="left"/>
      <w:pPr>
        <w:tabs>
          <w:tab w:val="num" w:pos="6625"/>
        </w:tabs>
        <w:ind w:left="6625" w:hanging="360"/>
      </w:pPr>
    </w:lvl>
  </w:abstractNum>
  <w:abstractNum w:abstractNumId="15"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8"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3"/>
  </w:num>
  <w:num w:numId="2" w16cid:durableId="828599020">
    <w:abstractNumId w:val="0"/>
  </w:num>
  <w:num w:numId="3" w16cid:durableId="1966037800">
    <w:abstractNumId w:val="8"/>
  </w:num>
  <w:num w:numId="4" w16cid:durableId="1125923312">
    <w:abstractNumId w:val="16"/>
  </w:num>
  <w:num w:numId="5" w16cid:durableId="1143425367">
    <w:abstractNumId w:val="4"/>
  </w:num>
  <w:num w:numId="6" w16cid:durableId="1293360629">
    <w:abstractNumId w:val="3"/>
  </w:num>
  <w:num w:numId="7" w16cid:durableId="479228409">
    <w:abstractNumId w:val="10"/>
  </w:num>
  <w:num w:numId="8" w16cid:durableId="1553300907">
    <w:abstractNumId w:val="15"/>
  </w:num>
  <w:num w:numId="9" w16cid:durableId="687946864">
    <w:abstractNumId w:val="18"/>
  </w:num>
  <w:num w:numId="10" w16cid:durableId="993416643">
    <w:abstractNumId w:val="1"/>
  </w:num>
  <w:num w:numId="11" w16cid:durableId="1541481371">
    <w:abstractNumId w:val="9"/>
  </w:num>
  <w:num w:numId="12" w16cid:durableId="1525171868">
    <w:abstractNumId w:val="12"/>
  </w:num>
  <w:num w:numId="13" w16cid:durableId="200629463">
    <w:abstractNumId w:val="17"/>
  </w:num>
  <w:num w:numId="14" w16cid:durableId="54383208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1"/>
  </w:num>
  <w:num w:numId="17" w16cid:durableId="1764229674">
    <w:abstractNumId w:val="5"/>
  </w:num>
  <w:num w:numId="18" w16cid:durableId="949163570">
    <w:abstractNumId w:val="2"/>
  </w:num>
  <w:num w:numId="19" w16cid:durableId="207816404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A785B"/>
    <w:rsid w:val="000C00ED"/>
    <w:rsid w:val="000F6539"/>
    <w:rsid w:val="0010339D"/>
    <w:rsid w:val="00111757"/>
    <w:rsid w:val="001276F0"/>
    <w:rsid w:val="001508FC"/>
    <w:rsid w:val="00185784"/>
    <w:rsid w:val="001B1339"/>
    <w:rsid w:val="001E2D50"/>
    <w:rsid w:val="00213076"/>
    <w:rsid w:val="002156AF"/>
    <w:rsid w:val="00236F74"/>
    <w:rsid w:val="00257A6E"/>
    <w:rsid w:val="002677FD"/>
    <w:rsid w:val="00286642"/>
    <w:rsid w:val="00296FDA"/>
    <w:rsid w:val="002B74C8"/>
    <w:rsid w:val="002C252B"/>
    <w:rsid w:val="002D32B6"/>
    <w:rsid w:val="002E02A9"/>
    <w:rsid w:val="00304A21"/>
    <w:rsid w:val="0035435D"/>
    <w:rsid w:val="00355B9A"/>
    <w:rsid w:val="003648A8"/>
    <w:rsid w:val="0039422D"/>
    <w:rsid w:val="003B09B5"/>
    <w:rsid w:val="003F2312"/>
    <w:rsid w:val="004039EB"/>
    <w:rsid w:val="00421E7F"/>
    <w:rsid w:val="00442A3A"/>
    <w:rsid w:val="00453C57"/>
    <w:rsid w:val="0047028C"/>
    <w:rsid w:val="00486F7A"/>
    <w:rsid w:val="0048724F"/>
    <w:rsid w:val="004C59CA"/>
    <w:rsid w:val="004C7B47"/>
    <w:rsid w:val="004E1954"/>
    <w:rsid w:val="004F001A"/>
    <w:rsid w:val="004F1E5A"/>
    <w:rsid w:val="004F4D32"/>
    <w:rsid w:val="005029F2"/>
    <w:rsid w:val="0052781B"/>
    <w:rsid w:val="005317D4"/>
    <w:rsid w:val="00534D7A"/>
    <w:rsid w:val="00553E1D"/>
    <w:rsid w:val="0059250D"/>
    <w:rsid w:val="005925B8"/>
    <w:rsid w:val="0059485C"/>
    <w:rsid w:val="005F0E79"/>
    <w:rsid w:val="00602EE5"/>
    <w:rsid w:val="006137E4"/>
    <w:rsid w:val="00635BDA"/>
    <w:rsid w:val="0065145B"/>
    <w:rsid w:val="006564DF"/>
    <w:rsid w:val="00684641"/>
    <w:rsid w:val="006C4048"/>
    <w:rsid w:val="006D5578"/>
    <w:rsid w:val="006F4A69"/>
    <w:rsid w:val="006F5A5D"/>
    <w:rsid w:val="00711687"/>
    <w:rsid w:val="007119E1"/>
    <w:rsid w:val="00730DD2"/>
    <w:rsid w:val="00734492"/>
    <w:rsid w:val="0073651A"/>
    <w:rsid w:val="007658A1"/>
    <w:rsid w:val="00771F1B"/>
    <w:rsid w:val="007778CB"/>
    <w:rsid w:val="00790973"/>
    <w:rsid w:val="007953A0"/>
    <w:rsid w:val="00795AD1"/>
    <w:rsid w:val="007A5616"/>
    <w:rsid w:val="007B0951"/>
    <w:rsid w:val="007B516B"/>
    <w:rsid w:val="007B6D99"/>
    <w:rsid w:val="007D0444"/>
    <w:rsid w:val="007D06BB"/>
    <w:rsid w:val="007D6A3E"/>
    <w:rsid w:val="007F192C"/>
    <w:rsid w:val="00810333"/>
    <w:rsid w:val="00816437"/>
    <w:rsid w:val="00824D19"/>
    <w:rsid w:val="00846C1D"/>
    <w:rsid w:val="00860771"/>
    <w:rsid w:val="00873328"/>
    <w:rsid w:val="0089491A"/>
    <w:rsid w:val="008A2D60"/>
    <w:rsid w:val="0090178A"/>
    <w:rsid w:val="00912B14"/>
    <w:rsid w:val="009267EE"/>
    <w:rsid w:val="009269BD"/>
    <w:rsid w:val="00927207"/>
    <w:rsid w:val="00937E61"/>
    <w:rsid w:val="00955CD0"/>
    <w:rsid w:val="009574AC"/>
    <w:rsid w:val="0097092D"/>
    <w:rsid w:val="00982170"/>
    <w:rsid w:val="009A0943"/>
    <w:rsid w:val="009B087A"/>
    <w:rsid w:val="009B21AD"/>
    <w:rsid w:val="009B7CC6"/>
    <w:rsid w:val="009C5169"/>
    <w:rsid w:val="009D50E8"/>
    <w:rsid w:val="009F7815"/>
    <w:rsid w:val="00A10460"/>
    <w:rsid w:val="00A116A6"/>
    <w:rsid w:val="00A17614"/>
    <w:rsid w:val="00A56076"/>
    <w:rsid w:val="00A76247"/>
    <w:rsid w:val="00A84640"/>
    <w:rsid w:val="00AB4D54"/>
    <w:rsid w:val="00AC7F3C"/>
    <w:rsid w:val="00AF0E8B"/>
    <w:rsid w:val="00AF691A"/>
    <w:rsid w:val="00B031C2"/>
    <w:rsid w:val="00B34966"/>
    <w:rsid w:val="00B61DE2"/>
    <w:rsid w:val="00B73D24"/>
    <w:rsid w:val="00B82C9E"/>
    <w:rsid w:val="00B8458F"/>
    <w:rsid w:val="00BB4931"/>
    <w:rsid w:val="00BC67E1"/>
    <w:rsid w:val="00C021A4"/>
    <w:rsid w:val="00C050BE"/>
    <w:rsid w:val="00C21013"/>
    <w:rsid w:val="00C75A00"/>
    <w:rsid w:val="00CA07E3"/>
    <w:rsid w:val="00CB2BBE"/>
    <w:rsid w:val="00CE1516"/>
    <w:rsid w:val="00CE325E"/>
    <w:rsid w:val="00CE3DBC"/>
    <w:rsid w:val="00D15865"/>
    <w:rsid w:val="00D62A67"/>
    <w:rsid w:val="00DC0D5A"/>
    <w:rsid w:val="00DC47F3"/>
    <w:rsid w:val="00DC7FA9"/>
    <w:rsid w:val="00DD5E37"/>
    <w:rsid w:val="00DF2EA1"/>
    <w:rsid w:val="00E11F2D"/>
    <w:rsid w:val="00E26720"/>
    <w:rsid w:val="00E545D8"/>
    <w:rsid w:val="00E817B3"/>
    <w:rsid w:val="00E90BC7"/>
    <w:rsid w:val="00EE0615"/>
    <w:rsid w:val="00EE4307"/>
    <w:rsid w:val="00F26B29"/>
    <w:rsid w:val="00F5784B"/>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character" w:styleId="CommentReference">
    <w:name w:val="annotation reference"/>
    <w:basedOn w:val="DefaultParagraphFont"/>
    <w:uiPriority w:val="99"/>
    <w:semiHidden/>
    <w:unhideWhenUsed/>
    <w:rsid w:val="007119E1"/>
    <w:rPr>
      <w:sz w:val="16"/>
      <w:szCs w:val="16"/>
    </w:rPr>
  </w:style>
  <w:style w:type="paragraph" w:styleId="CommentText">
    <w:name w:val="annotation text"/>
    <w:basedOn w:val="Normal"/>
    <w:link w:val="CommentTextChar"/>
    <w:uiPriority w:val="99"/>
    <w:unhideWhenUsed/>
    <w:rsid w:val="007119E1"/>
    <w:pPr>
      <w:spacing w:line="240" w:lineRule="auto"/>
    </w:pPr>
    <w:rPr>
      <w:sz w:val="20"/>
      <w:szCs w:val="20"/>
    </w:rPr>
  </w:style>
  <w:style w:type="character" w:customStyle="1" w:styleId="CommentTextChar">
    <w:name w:val="Comment Text Char"/>
    <w:basedOn w:val="DefaultParagraphFont"/>
    <w:link w:val="CommentText"/>
    <w:uiPriority w:val="99"/>
    <w:rsid w:val="007119E1"/>
  </w:style>
  <w:style w:type="paragraph" w:styleId="CommentSubject">
    <w:name w:val="annotation subject"/>
    <w:basedOn w:val="CommentText"/>
    <w:next w:val="CommentText"/>
    <w:link w:val="CommentSubjectChar"/>
    <w:uiPriority w:val="99"/>
    <w:semiHidden/>
    <w:unhideWhenUsed/>
    <w:rsid w:val="007119E1"/>
    <w:rPr>
      <w:b/>
      <w:bCs/>
    </w:rPr>
  </w:style>
  <w:style w:type="character" w:customStyle="1" w:styleId="CommentSubjectChar">
    <w:name w:val="Comment Subject Char"/>
    <w:basedOn w:val="CommentTextChar"/>
    <w:link w:val="CommentSubject"/>
    <w:uiPriority w:val="99"/>
    <w:semiHidden/>
    <w:rsid w:val="007119E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healthtechnology.wales/reports-guidance/left-atrial-appendage-occlusion-in-patients-with-atrial-fibrillation/"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healthtechnology.wales/wp-content/uploads/2022/01/GUI041-LAAO-FINAL_English.pdf" TargetMode="External"/><Relationship Id="rId4" Type="http://schemas.openxmlformats.org/officeDocument/2006/relationships/settings" Target="settings.xml"/><Relationship Id="rId9" Type="http://schemas.openxmlformats.org/officeDocument/2006/relationships/hyperlink" Target="https://healthtechnology.wales/guidance-published-on-left-atrial-appendage-occlusion-to-treat-adults-with-atrial-fibrillation/"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5.jpg"/></Relationships>
</file>

<file path=word/_rels/footer2.xml.rels><?xml version="1.0" encoding="UTF-8" standalone="yes"?>
<Relationships xmlns="http://schemas.openxmlformats.org/package/2006/relationships"><Relationship Id="rId1" Type="http://schemas.openxmlformats.org/officeDocument/2006/relationships/image" Target="media/image5.jp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133</TotalTime>
  <Pages>2</Pages>
  <Words>247</Words>
  <Characters>1318</Characters>
  <Application>Microsoft Office Word</Application>
  <DocSecurity>0</DocSecurity>
  <Lines>33</Lines>
  <Paragraphs>18</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32</cp:revision>
  <cp:lastPrinted>2026-03-31T14:32:00Z</cp:lastPrinted>
  <dcterms:created xsi:type="dcterms:W3CDTF">2021-09-13T07:38:00Z</dcterms:created>
  <dcterms:modified xsi:type="dcterms:W3CDTF">2026-03-31T14:33:00Z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5181002d-b3c4-4852-8a02-07990a182f06</vt:lpwstr>
  </property>
</Properties>
</file>