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EC3B61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6D5B">
                              <w:rPr>
                                <w:rFonts w:ascii="Verdana" w:hAnsi="Verdana"/>
                                <w:b/>
                                <w:sz w:val="22"/>
                                <w:szCs w:val="22"/>
                              </w:rPr>
                              <w:t>26-C-038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62C9C">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EC3B61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6D5B">
                        <w:rPr>
                          <w:rFonts w:ascii="Verdana" w:hAnsi="Verdana"/>
                          <w:b/>
                          <w:sz w:val="22"/>
                          <w:szCs w:val="22"/>
                        </w:rPr>
                        <w:t>26-C-038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62C9C">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7C854B26" w14:textId="77777777" w:rsidR="002B39A0" w:rsidRDefault="002B39A0" w:rsidP="00DC0D5A">
      <w:pPr>
        <w:spacing w:before="280"/>
        <w:rPr>
          <w:rFonts w:ascii="Verdana" w:hAnsi="Verdana"/>
          <w:sz w:val="22"/>
        </w:rPr>
      </w:pPr>
      <w:r>
        <w:rPr>
          <w:rFonts w:ascii="Verdana" w:hAnsi="Verdana"/>
          <w:sz w:val="22"/>
        </w:rPr>
        <w:t>Please note that the information provided below relates to Swansea Bay UHB only and not the entirety of Wales.</w:t>
      </w:r>
    </w:p>
    <w:p w14:paraId="635CAE49" w14:textId="43B471FA" w:rsidR="00DC0D5A" w:rsidRPr="006A6D5B" w:rsidRDefault="00A10460" w:rsidP="00DC0D5A">
      <w:pPr>
        <w:spacing w:before="280"/>
        <w:rPr>
          <w:rFonts w:ascii="Verdana" w:hAnsi="Verdana"/>
          <w:bCs/>
          <w:sz w:val="22"/>
          <w:u w:val="single"/>
        </w:rPr>
      </w:pPr>
      <w:r w:rsidRPr="00A10460">
        <w:rPr>
          <w:rFonts w:ascii="Verdana" w:hAnsi="Verdana"/>
          <w:sz w:val="22"/>
        </w:rPr>
        <w:br/>
      </w:r>
      <w:r w:rsidR="00A115C7" w:rsidRPr="006A6D5B">
        <w:rPr>
          <w:rFonts w:ascii="Verdana" w:hAnsi="Verdana"/>
          <w:bCs/>
          <w:sz w:val="22"/>
          <w:u w:val="single"/>
        </w:rPr>
        <w:t>Request and response:</w:t>
      </w:r>
    </w:p>
    <w:p w14:paraId="6A093D4E" w14:textId="77777777" w:rsidR="006A6D5B" w:rsidRPr="006A6D5B" w:rsidRDefault="006A6D5B" w:rsidP="006A6D5B">
      <w:pPr>
        <w:rPr>
          <w:rFonts w:ascii="Verdana" w:hAnsi="Verdana"/>
          <w:b/>
          <w:bCs/>
          <w:noProof/>
          <w:sz w:val="22"/>
          <w:szCs w:val="22"/>
        </w:rPr>
      </w:pPr>
      <w:r w:rsidRPr="006A6D5B">
        <w:rPr>
          <w:rFonts w:ascii="Verdana" w:hAnsi="Verdana"/>
          <w:b/>
          <w:bCs/>
          <w:noProof/>
          <w:sz w:val="22"/>
          <w:szCs w:val="22"/>
        </w:rPr>
        <w:t>I’m writing an information request under  the Freedom of Information Act regarding statistics for bile duct cancer (cholangiocarcinoma) within the NHS Wales healthcare system.</w:t>
      </w:r>
    </w:p>
    <w:p w14:paraId="7F81BEEF" w14:textId="77777777" w:rsidR="006A6D5B" w:rsidRPr="006A6D5B" w:rsidRDefault="006A6D5B" w:rsidP="006A6D5B">
      <w:pPr>
        <w:rPr>
          <w:rFonts w:ascii="Verdana" w:hAnsi="Verdana"/>
          <w:b/>
          <w:bCs/>
          <w:noProof/>
          <w:sz w:val="22"/>
          <w:szCs w:val="22"/>
        </w:rPr>
      </w:pPr>
      <w:r w:rsidRPr="006A6D5B">
        <w:rPr>
          <w:rFonts w:ascii="Verdana" w:hAnsi="Verdana"/>
          <w:b/>
          <w:bCs/>
          <w:noProof/>
          <w:sz w:val="22"/>
          <w:szCs w:val="22"/>
        </w:rPr>
        <w:t>Specifically, I am looking for data covering the last 3 available reporting years, broken down by year, for the following:</w:t>
      </w:r>
    </w:p>
    <w:p w14:paraId="2F86E2B7" w14:textId="77777777" w:rsidR="006A6D5B" w:rsidRPr="006A6D5B" w:rsidRDefault="006A6D5B" w:rsidP="006A6D5B">
      <w:pPr>
        <w:rPr>
          <w:rFonts w:ascii="Verdana" w:hAnsi="Verdana"/>
          <w:b/>
          <w:bCs/>
          <w:noProof/>
          <w:sz w:val="22"/>
          <w:szCs w:val="22"/>
        </w:rPr>
      </w:pPr>
      <w:r w:rsidRPr="006A6D5B">
        <w:rPr>
          <w:rFonts w:ascii="Verdana" w:hAnsi="Verdana"/>
          <w:b/>
          <w:bCs/>
          <w:noProof/>
          <w:sz w:val="22"/>
          <w:szCs w:val="22"/>
        </w:rPr>
        <w:t>Diagnosis:</w:t>
      </w:r>
    </w:p>
    <w:p w14:paraId="538E0C03" w14:textId="20D5A329" w:rsidR="006A6D5B" w:rsidRPr="006A6D5B" w:rsidRDefault="006A6D5B" w:rsidP="006A6D5B">
      <w:pPr>
        <w:pStyle w:val="ListParagraph"/>
        <w:numPr>
          <w:ilvl w:val="0"/>
          <w:numId w:val="19"/>
        </w:numPr>
        <w:rPr>
          <w:rFonts w:ascii="Verdana" w:hAnsi="Verdana"/>
          <w:b/>
          <w:bCs/>
          <w:noProof/>
          <w:sz w:val="22"/>
          <w:szCs w:val="22"/>
        </w:rPr>
      </w:pPr>
      <w:r w:rsidRPr="006A6D5B">
        <w:rPr>
          <w:rFonts w:ascii="Verdana" w:hAnsi="Verdana"/>
          <w:b/>
          <w:bCs/>
          <w:noProof/>
          <w:sz w:val="22"/>
          <w:szCs w:val="22"/>
        </w:rPr>
        <w:t xml:space="preserve">The total number of patients in Wales who received a primary diagnosis of bile duct cancer. </w:t>
      </w:r>
      <w:r w:rsidR="002B39A0">
        <w:rPr>
          <w:rFonts w:ascii="Verdana" w:hAnsi="Verdana"/>
          <w:b/>
          <w:bCs/>
          <w:noProof/>
          <w:sz w:val="22"/>
          <w:szCs w:val="22"/>
        </w:rPr>
        <w:br/>
      </w:r>
      <w:r w:rsidR="002B39A0" w:rsidRPr="002B39A0">
        <w:rPr>
          <w:rFonts w:ascii="Verdana" w:hAnsi="Verdana"/>
          <w:noProof/>
          <w:sz w:val="22"/>
          <w:szCs w:val="22"/>
        </w:rPr>
        <w:t>SBUHB only.</w:t>
      </w:r>
    </w:p>
    <w:tbl>
      <w:tblPr>
        <w:tblW w:w="2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7"/>
        <w:gridCol w:w="1727"/>
        <w:gridCol w:w="1727"/>
      </w:tblGrid>
      <w:tr w:rsidR="006A6D5B" w:rsidRPr="006A6D5B" w14:paraId="634DD242" w14:textId="77777777" w:rsidTr="006A6D5B">
        <w:trPr>
          <w:trHeight w:val="240"/>
          <w:jc w:val="center"/>
        </w:trPr>
        <w:tc>
          <w:tcPr>
            <w:tcW w:w="840" w:type="dxa"/>
            <w:shd w:val="clear" w:color="auto" w:fill="CFD6E5"/>
            <w:noWrap/>
            <w:tcMar>
              <w:top w:w="0" w:type="dxa"/>
              <w:left w:w="108" w:type="dxa"/>
              <w:bottom w:w="0" w:type="dxa"/>
              <w:right w:w="108" w:type="dxa"/>
            </w:tcMar>
            <w:vAlign w:val="center"/>
            <w:hideMark/>
          </w:tcPr>
          <w:p w14:paraId="0B6FC448" w14:textId="77777777" w:rsidR="006A6D5B" w:rsidRPr="006A6D5B" w:rsidRDefault="006A6D5B" w:rsidP="006A6D5B">
            <w:pPr>
              <w:jc w:val="center"/>
              <w:rPr>
                <w:rFonts w:ascii="Verdana" w:hAnsi="Verdana" w:cs="Segoe UI"/>
                <w:b/>
                <w:bCs/>
                <w:color w:val="000000"/>
                <w:sz w:val="22"/>
                <w:szCs w:val="22"/>
              </w:rPr>
            </w:pPr>
            <w:r w:rsidRPr="006A6D5B">
              <w:rPr>
                <w:rFonts w:ascii="Verdana" w:hAnsi="Verdana" w:cs="Segoe UI"/>
                <w:b/>
                <w:bCs/>
                <w:color w:val="000000"/>
                <w:sz w:val="22"/>
                <w:szCs w:val="22"/>
              </w:rPr>
              <w:t>2023</w:t>
            </w:r>
          </w:p>
        </w:tc>
        <w:tc>
          <w:tcPr>
            <w:tcW w:w="840" w:type="dxa"/>
            <w:shd w:val="clear" w:color="auto" w:fill="CFD6E5"/>
            <w:noWrap/>
            <w:tcMar>
              <w:top w:w="0" w:type="dxa"/>
              <w:left w:w="108" w:type="dxa"/>
              <w:bottom w:w="0" w:type="dxa"/>
              <w:right w:w="108" w:type="dxa"/>
            </w:tcMar>
            <w:vAlign w:val="center"/>
            <w:hideMark/>
          </w:tcPr>
          <w:p w14:paraId="59C9B4ED" w14:textId="77777777" w:rsidR="006A6D5B" w:rsidRPr="006A6D5B" w:rsidRDefault="006A6D5B" w:rsidP="006A6D5B">
            <w:pPr>
              <w:jc w:val="center"/>
              <w:rPr>
                <w:rFonts w:ascii="Verdana" w:hAnsi="Verdana" w:cs="Segoe UI"/>
                <w:b/>
                <w:bCs/>
                <w:color w:val="000000"/>
                <w:sz w:val="22"/>
                <w:szCs w:val="22"/>
              </w:rPr>
            </w:pPr>
            <w:r w:rsidRPr="006A6D5B">
              <w:rPr>
                <w:rFonts w:ascii="Verdana" w:hAnsi="Verdana" w:cs="Segoe UI"/>
                <w:b/>
                <w:bCs/>
                <w:color w:val="000000"/>
                <w:sz w:val="22"/>
                <w:szCs w:val="22"/>
              </w:rPr>
              <w:t>2024</w:t>
            </w:r>
          </w:p>
        </w:tc>
        <w:tc>
          <w:tcPr>
            <w:tcW w:w="840" w:type="dxa"/>
            <w:shd w:val="clear" w:color="auto" w:fill="CFD6E5"/>
            <w:noWrap/>
            <w:tcMar>
              <w:top w:w="0" w:type="dxa"/>
              <w:left w:w="108" w:type="dxa"/>
              <w:bottom w:w="0" w:type="dxa"/>
              <w:right w:w="108" w:type="dxa"/>
            </w:tcMar>
            <w:vAlign w:val="center"/>
            <w:hideMark/>
          </w:tcPr>
          <w:p w14:paraId="2A2EDFD6" w14:textId="77777777" w:rsidR="006A6D5B" w:rsidRPr="006A6D5B" w:rsidRDefault="006A6D5B" w:rsidP="006A6D5B">
            <w:pPr>
              <w:jc w:val="center"/>
              <w:rPr>
                <w:rFonts w:ascii="Verdana" w:hAnsi="Verdana" w:cs="Segoe UI"/>
                <w:b/>
                <w:bCs/>
                <w:color w:val="000000"/>
                <w:sz w:val="22"/>
                <w:szCs w:val="22"/>
              </w:rPr>
            </w:pPr>
            <w:r w:rsidRPr="006A6D5B">
              <w:rPr>
                <w:rFonts w:ascii="Verdana" w:hAnsi="Verdana" w:cs="Segoe UI"/>
                <w:b/>
                <w:bCs/>
                <w:color w:val="000000"/>
                <w:sz w:val="22"/>
                <w:szCs w:val="22"/>
              </w:rPr>
              <w:t>2025</w:t>
            </w:r>
          </w:p>
        </w:tc>
      </w:tr>
      <w:tr w:rsidR="006A6D5B" w:rsidRPr="006A6D5B" w14:paraId="59940803" w14:textId="77777777" w:rsidTr="006A6D5B">
        <w:trPr>
          <w:trHeight w:val="240"/>
          <w:jc w:val="center"/>
        </w:trPr>
        <w:tc>
          <w:tcPr>
            <w:tcW w:w="840" w:type="dxa"/>
            <w:noWrap/>
            <w:tcMar>
              <w:top w:w="0" w:type="dxa"/>
              <w:left w:w="108" w:type="dxa"/>
              <w:bottom w:w="0" w:type="dxa"/>
              <w:right w:w="108" w:type="dxa"/>
            </w:tcMar>
            <w:vAlign w:val="center"/>
            <w:hideMark/>
          </w:tcPr>
          <w:p w14:paraId="3B880CB0" w14:textId="77777777" w:rsidR="006A6D5B" w:rsidRPr="006A6D5B" w:rsidRDefault="006A6D5B" w:rsidP="006A6D5B">
            <w:pPr>
              <w:jc w:val="center"/>
              <w:rPr>
                <w:rFonts w:ascii="Verdana" w:hAnsi="Verdana" w:cs="Segoe UI"/>
                <w:color w:val="000000"/>
                <w:sz w:val="22"/>
                <w:szCs w:val="22"/>
              </w:rPr>
            </w:pPr>
            <w:r w:rsidRPr="006A6D5B">
              <w:rPr>
                <w:rFonts w:ascii="Verdana" w:hAnsi="Verdana" w:cs="Segoe UI"/>
                <w:color w:val="000000"/>
                <w:sz w:val="22"/>
                <w:szCs w:val="22"/>
              </w:rPr>
              <w:t>29</w:t>
            </w:r>
          </w:p>
        </w:tc>
        <w:tc>
          <w:tcPr>
            <w:tcW w:w="840" w:type="dxa"/>
            <w:noWrap/>
            <w:tcMar>
              <w:top w:w="0" w:type="dxa"/>
              <w:left w:w="108" w:type="dxa"/>
              <w:bottom w:w="0" w:type="dxa"/>
              <w:right w:w="108" w:type="dxa"/>
            </w:tcMar>
            <w:vAlign w:val="center"/>
            <w:hideMark/>
          </w:tcPr>
          <w:p w14:paraId="6D5B8630" w14:textId="77777777" w:rsidR="006A6D5B" w:rsidRPr="006A6D5B" w:rsidRDefault="006A6D5B" w:rsidP="006A6D5B">
            <w:pPr>
              <w:jc w:val="center"/>
              <w:rPr>
                <w:rFonts w:ascii="Verdana" w:hAnsi="Verdana" w:cs="Segoe UI"/>
                <w:color w:val="000000"/>
                <w:sz w:val="22"/>
                <w:szCs w:val="22"/>
              </w:rPr>
            </w:pPr>
            <w:r w:rsidRPr="006A6D5B">
              <w:rPr>
                <w:rFonts w:ascii="Verdana" w:hAnsi="Verdana" w:cs="Segoe UI"/>
                <w:color w:val="000000"/>
                <w:sz w:val="22"/>
                <w:szCs w:val="22"/>
              </w:rPr>
              <w:t>21</w:t>
            </w:r>
          </w:p>
        </w:tc>
        <w:tc>
          <w:tcPr>
            <w:tcW w:w="840" w:type="dxa"/>
            <w:noWrap/>
            <w:tcMar>
              <w:top w:w="0" w:type="dxa"/>
              <w:left w:w="108" w:type="dxa"/>
              <w:bottom w:w="0" w:type="dxa"/>
              <w:right w:w="108" w:type="dxa"/>
            </w:tcMar>
            <w:vAlign w:val="center"/>
            <w:hideMark/>
          </w:tcPr>
          <w:p w14:paraId="6B37DFDD" w14:textId="77777777" w:rsidR="006A6D5B" w:rsidRPr="006A6D5B" w:rsidRDefault="006A6D5B" w:rsidP="006A6D5B">
            <w:pPr>
              <w:jc w:val="center"/>
              <w:rPr>
                <w:rFonts w:ascii="Verdana" w:hAnsi="Verdana" w:cs="Segoe UI"/>
                <w:color w:val="000000"/>
                <w:sz w:val="22"/>
                <w:szCs w:val="22"/>
              </w:rPr>
            </w:pPr>
            <w:r w:rsidRPr="006A6D5B">
              <w:rPr>
                <w:rFonts w:ascii="Verdana" w:hAnsi="Verdana" w:cs="Segoe UI"/>
                <w:color w:val="000000"/>
                <w:sz w:val="22"/>
                <w:szCs w:val="22"/>
              </w:rPr>
              <w:t>18</w:t>
            </w:r>
          </w:p>
        </w:tc>
      </w:tr>
    </w:tbl>
    <w:p w14:paraId="1B593043" w14:textId="5C9A1E21" w:rsidR="006A6D5B" w:rsidRPr="006A6D5B" w:rsidRDefault="006A6D5B" w:rsidP="006A6D5B">
      <w:pPr>
        <w:rPr>
          <w:rFonts w:ascii="Verdana" w:hAnsi="Verdana"/>
          <w:b/>
          <w:bCs/>
          <w:noProof/>
          <w:sz w:val="22"/>
          <w:szCs w:val="22"/>
        </w:rPr>
      </w:pPr>
      <w:r>
        <w:rPr>
          <w:rFonts w:ascii="Verdana" w:hAnsi="Verdana"/>
          <w:b/>
          <w:bCs/>
          <w:noProof/>
          <w:sz w:val="22"/>
          <w:szCs w:val="22"/>
        </w:rPr>
        <w:br/>
      </w:r>
      <w:r w:rsidRPr="006A6D5B">
        <w:rPr>
          <w:rFonts w:ascii="Verdana" w:hAnsi="Verdana"/>
          <w:b/>
          <w:bCs/>
          <w:noProof/>
          <w:sz w:val="22"/>
          <w:szCs w:val="22"/>
        </w:rPr>
        <w:t>Mortality:</w:t>
      </w:r>
    </w:p>
    <w:p w14:paraId="479D3A41" w14:textId="7446C168" w:rsidR="006A6D5B" w:rsidRPr="006A6D5B" w:rsidRDefault="006A6D5B" w:rsidP="006A6D5B">
      <w:pPr>
        <w:pStyle w:val="ListParagraph"/>
        <w:numPr>
          <w:ilvl w:val="0"/>
          <w:numId w:val="19"/>
        </w:numPr>
        <w:rPr>
          <w:rFonts w:ascii="Verdana" w:hAnsi="Verdana"/>
          <w:b/>
          <w:bCs/>
          <w:noProof/>
          <w:sz w:val="22"/>
          <w:szCs w:val="22"/>
        </w:rPr>
      </w:pPr>
      <w:r w:rsidRPr="006A6D5B">
        <w:rPr>
          <w:rFonts w:ascii="Verdana" w:hAnsi="Verdana"/>
          <w:b/>
          <w:bCs/>
          <w:noProof/>
          <w:sz w:val="22"/>
          <w:szCs w:val="22"/>
        </w:rPr>
        <w:t xml:space="preserve">The total number of deaths recorded in Wales where bile duct cancer was listed as the primary cause of death. </w:t>
      </w:r>
      <w:r w:rsidR="002B39A0">
        <w:rPr>
          <w:rFonts w:ascii="Verdana" w:hAnsi="Verdana"/>
          <w:b/>
          <w:bCs/>
          <w:noProof/>
          <w:sz w:val="22"/>
          <w:szCs w:val="22"/>
        </w:rPr>
        <w:br/>
      </w:r>
      <w:r w:rsidR="002B39A0" w:rsidRPr="002B39A0">
        <w:rPr>
          <w:rFonts w:ascii="Verdana" w:hAnsi="Verdana"/>
          <w:noProof/>
          <w:sz w:val="22"/>
          <w:szCs w:val="22"/>
        </w:rPr>
        <w:t>SBUHB only.</w:t>
      </w:r>
      <w:r>
        <w:rPr>
          <w:rFonts w:ascii="Verdana" w:hAnsi="Verdana"/>
          <w:b/>
          <w:bCs/>
          <w:noProof/>
          <w:sz w:val="22"/>
          <w:szCs w:val="22"/>
        </w:rPr>
        <w:br/>
      </w:r>
      <w:r w:rsidRPr="006A6D5B">
        <w:rPr>
          <w:rFonts w:ascii="Verdana" w:hAnsi="Verdana"/>
          <w:noProof/>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p>
    <w:p w14:paraId="60A87CD2" w14:textId="2D7622B1" w:rsidR="006A6D5B" w:rsidRPr="006A6D5B" w:rsidRDefault="006A6D5B" w:rsidP="006A6D5B">
      <w:pPr>
        <w:rPr>
          <w:rFonts w:ascii="Verdana" w:hAnsi="Verdana"/>
          <w:b/>
          <w:bCs/>
          <w:noProof/>
          <w:sz w:val="22"/>
          <w:szCs w:val="22"/>
        </w:rPr>
      </w:pPr>
      <w:r>
        <w:rPr>
          <w:rFonts w:ascii="Verdana" w:hAnsi="Verdana"/>
          <w:b/>
          <w:bCs/>
          <w:noProof/>
          <w:sz w:val="22"/>
          <w:szCs w:val="22"/>
        </w:rPr>
        <w:br/>
      </w:r>
      <w:r w:rsidRPr="006A6D5B">
        <w:rPr>
          <w:rFonts w:ascii="Verdana" w:hAnsi="Verdana"/>
          <w:b/>
          <w:bCs/>
          <w:noProof/>
          <w:sz w:val="22"/>
          <w:szCs w:val="22"/>
        </w:rPr>
        <w:t>Survival Rates:</w:t>
      </w:r>
    </w:p>
    <w:p w14:paraId="3AC96A6B" w14:textId="3E6B64EB" w:rsidR="006A6D5B" w:rsidRPr="006A6D5B" w:rsidRDefault="006A6D5B" w:rsidP="006A6D5B">
      <w:pPr>
        <w:pStyle w:val="ListParagraph"/>
        <w:numPr>
          <w:ilvl w:val="0"/>
          <w:numId w:val="19"/>
        </w:numPr>
        <w:rPr>
          <w:rFonts w:ascii="Verdana" w:hAnsi="Verdana"/>
          <w:b/>
          <w:bCs/>
          <w:noProof/>
          <w:sz w:val="22"/>
          <w:szCs w:val="22"/>
        </w:rPr>
      </w:pPr>
      <w:r w:rsidRPr="006A6D5B">
        <w:rPr>
          <w:rFonts w:ascii="Verdana" w:hAnsi="Verdana"/>
          <w:b/>
          <w:bCs/>
          <w:noProof/>
          <w:sz w:val="22"/>
          <w:szCs w:val="22"/>
        </w:rPr>
        <w:t xml:space="preserve">The number of patients who died within a year of their diagnosis of bile duct cancer in Wales. </w:t>
      </w:r>
      <w:r w:rsidR="00761111">
        <w:rPr>
          <w:rFonts w:ascii="Verdana" w:hAnsi="Verdana"/>
          <w:b/>
          <w:bCs/>
          <w:noProof/>
          <w:sz w:val="22"/>
          <w:szCs w:val="22"/>
        </w:rPr>
        <w:br/>
      </w:r>
      <w:r w:rsidR="00761111" w:rsidRPr="00761111">
        <w:rPr>
          <w:rFonts w:ascii="Verdana" w:hAnsi="Verdana"/>
          <w:noProof/>
          <w:sz w:val="22"/>
          <w:szCs w:val="22"/>
        </w:rPr>
        <w:lastRenderedPageBreak/>
        <w:t>Please see question 2.</w:t>
      </w:r>
      <w:r w:rsidRPr="00761111">
        <w:rPr>
          <w:rFonts w:ascii="Verdana" w:hAnsi="Verdana"/>
          <w:noProof/>
          <w:sz w:val="22"/>
          <w:szCs w:val="22"/>
        </w:rPr>
        <w:br/>
      </w:r>
    </w:p>
    <w:p w14:paraId="5C045473" w14:textId="77777777" w:rsidR="006A6D5B" w:rsidRPr="006A6D5B" w:rsidRDefault="006A6D5B" w:rsidP="006A6D5B">
      <w:pPr>
        <w:rPr>
          <w:rFonts w:ascii="Verdana" w:hAnsi="Verdana"/>
          <w:b/>
          <w:bCs/>
          <w:noProof/>
          <w:sz w:val="22"/>
          <w:szCs w:val="22"/>
        </w:rPr>
      </w:pPr>
      <w:r w:rsidRPr="006A6D5B">
        <w:rPr>
          <w:rFonts w:ascii="Verdana" w:hAnsi="Verdana"/>
          <w:b/>
          <w:bCs/>
          <w:noProof/>
          <w:sz w:val="22"/>
          <w:szCs w:val="22"/>
        </w:rPr>
        <w:t>Cross-Border Referrals:</w:t>
      </w:r>
    </w:p>
    <w:p w14:paraId="23DF621B" w14:textId="38DA2970" w:rsidR="00873328" w:rsidRPr="006A6D5B" w:rsidRDefault="006A6D5B" w:rsidP="006A6D5B">
      <w:pPr>
        <w:pStyle w:val="ListParagraph"/>
        <w:numPr>
          <w:ilvl w:val="0"/>
          <w:numId w:val="19"/>
        </w:numPr>
        <w:rPr>
          <w:rFonts w:ascii="Verdana" w:hAnsi="Verdana"/>
          <w:b/>
          <w:bCs/>
          <w:noProof/>
          <w:sz w:val="22"/>
          <w:szCs w:val="22"/>
        </w:rPr>
      </w:pPr>
      <w:r w:rsidRPr="006A6D5B">
        <w:rPr>
          <w:rFonts w:ascii="Verdana" w:hAnsi="Verdana"/>
          <w:b/>
          <w:bCs/>
          <w:noProof/>
          <w:sz w:val="22"/>
          <w:szCs w:val="22"/>
        </w:rPr>
        <w:t>The number of patients residing in Wales who were referred to NHS England trusts for specialist treatment or surgery specifically related to bile duct cancer.</w:t>
      </w:r>
      <w:r w:rsidR="002B39A0">
        <w:rPr>
          <w:rFonts w:ascii="Verdana" w:hAnsi="Verdana"/>
          <w:b/>
          <w:bCs/>
          <w:noProof/>
          <w:sz w:val="22"/>
          <w:szCs w:val="22"/>
        </w:rPr>
        <w:br/>
      </w:r>
      <w:r w:rsidR="002B39A0" w:rsidRPr="002B39A0">
        <w:rPr>
          <w:rFonts w:ascii="Verdana" w:hAnsi="Verdana"/>
          <w:noProof/>
          <w:sz w:val="22"/>
          <w:szCs w:val="22"/>
        </w:rPr>
        <w:t>SBUHB only.</w:t>
      </w:r>
      <w:r w:rsidR="00AD59C0">
        <w:rPr>
          <w:rFonts w:ascii="Verdana" w:hAnsi="Verdana"/>
          <w:b/>
          <w:bCs/>
          <w:noProof/>
          <w:sz w:val="22"/>
          <w:szCs w:val="22"/>
        </w:rPr>
        <w:br/>
      </w:r>
      <w:r w:rsidR="00AD59C0" w:rsidRPr="00AD59C0">
        <w:rPr>
          <w:rFonts w:ascii="Verdana" w:hAnsi="Verdana"/>
          <w:noProof/>
          <w:sz w:val="22"/>
          <w:szCs w:val="22"/>
        </w:rPr>
        <w:t>Patients are not routinely referred to England for specialised treatment.</w:t>
      </w:r>
      <w:r w:rsidR="00AD59C0">
        <w:rPr>
          <w:rFonts w:ascii="Verdana" w:hAnsi="Verdana"/>
          <w:noProof/>
          <w:sz w:val="22"/>
          <w:szCs w:val="22"/>
        </w:rPr>
        <w:br/>
      </w:r>
      <w:r w:rsidR="00AD59C0">
        <w:rPr>
          <w:rFonts w:ascii="Verdana" w:hAnsi="Verdana"/>
          <w:noProof/>
          <w:sz w:val="22"/>
          <w:szCs w:val="22"/>
        </w:rPr>
        <w:br/>
        <w:t>&lt;5 patients in the whole period.</w:t>
      </w:r>
      <w:r w:rsidR="00AD59C0">
        <w:rPr>
          <w:rFonts w:ascii="Verdana" w:hAnsi="Verdana"/>
          <w:noProof/>
          <w:sz w:val="22"/>
          <w:szCs w:val="22"/>
        </w:rPr>
        <w:br/>
      </w:r>
      <w:r w:rsidR="00AD59C0">
        <w:rPr>
          <w:rFonts w:ascii="Verdana" w:hAnsi="Verdana"/>
          <w:noProof/>
          <w:sz w:val="22"/>
          <w:szCs w:val="22"/>
        </w:rPr>
        <w:br/>
      </w:r>
      <w:r w:rsidR="00AD59C0" w:rsidRPr="00FC3B42">
        <w:rPr>
          <w:rFonts w:ascii="Verdana" w:hAnsi="Verdana"/>
          <w:sz w:val="22"/>
          <w:szCs w:val="22"/>
        </w:rPr>
        <w:t xml:space="preserve">Where fewer than 5 has been indicated we are unable to provide you with the exact number of </w:t>
      </w:r>
      <w:r w:rsidR="00AD59C0" w:rsidRPr="00AD59C0">
        <w:rPr>
          <w:rFonts w:ascii="Verdana" w:hAnsi="Verdana"/>
          <w:sz w:val="22"/>
          <w:szCs w:val="22"/>
        </w:rPr>
        <w:t>patients</w:t>
      </w:r>
      <w:r w:rsidR="00AD59C0" w:rsidRPr="00FC3B42">
        <w:rPr>
          <w:rFonts w:ascii="Verdana" w:hAnsi="Verdana"/>
          <w:sz w:val="22"/>
          <w:szCs w:val="22"/>
        </w:rPr>
        <w:t xml:space="preserve"> as due to the low numbers, </w:t>
      </w:r>
      <w:bookmarkStart w:id="0" w:name="_Hlk222922831"/>
      <w:r w:rsidR="00AD59C0"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AD59C0" w:rsidRPr="00FC3B42">
          <w:rPr>
            <w:rFonts w:ascii="Verdana" w:hAnsi="Verdana"/>
            <w:sz w:val="22"/>
            <w:szCs w:val="22"/>
          </w:rPr>
          <w:t>Freedom of Information</w:t>
        </w:r>
      </w:smartTag>
      <w:r w:rsidR="00AD59C0" w:rsidRPr="00FC3B42">
        <w:rPr>
          <w:rFonts w:ascii="Verdana" w:hAnsi="Verdana"/>
          <w:sz w:val="22"/>
          <w:szCs w:val="22"/>
        </w:rPr>
        <w:t xml:space="preserve"> Act 2000.  This information is protected by the </w:t>
      </w:r>
      <w:r w:rsidR="00AD59C0"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AD59C0" w:rsidRPr="00FC3B42">
        <w:rPr>
          <w:rFonts w:ascii="Verdana" w:hAnsi="Verdana"/>
          <w:bCs/>
          <w:iCs/>
          <w:sz w:val="22"/>
          <w:szCs w:val="22"/>
        </w:rPr>
        <w:t>in regard to</w:t>
      </w:r>
      <w:r w:rsidR="00AD59C0" w:rsidRPr="00FC3B42">
        <w:rPr>
          <w:rFonts w:ascii="Verdana" w:hAnsi="Verdana"/>
          <w:iCs/>
          <w:sz w:val="22"/>
          <w:szCs w:val="22"/>
        </w:rPr>
        <w:t xml:space="preserve"> Articles 5, 6, and 9 of GDPR.  </w:t>
      </w:r>
      <w:r w:rsidR="00AD59C0" w:rsidRPr="00FC3B42">
        <w:rPr>
          <w:rFonts w:ascii="Verdana" w:hAnsi="Verdana"/>
          <w:sz w:val="22"/>
          <w:szCs w:val="22"/>
        </w:rPr>
        <w:t>This exemption is absolute and therefore there is no requirement to apply the public interest test.</w:t>
      </w:r>
      <w:bookmarkEnd w:id="0"/>
    </w:p>
    <w:p w14:paraId="7F202BA5" w14:textId="131AE694"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241D5"/>
    <w:multiLevelType w:val="hybridMultilevel"/>
    <w:tmpl w:val="C2B4FB80"/>
    <w:lvl w:ilvl="0" w:tplc="B83ECFB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7898172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5452"/>
    <w:rsid w:val="00145192"/>
    <w:rsid w:val="001508FC"/>
    <w:rsid w:val="00172CD5"/>
    <w:rsid w:val="00185784"/>
    <w:rsid w:val="001B1339"/>
    <w:rsid w:val="001E2D50"/>
    <w:rsid w:val="00213076"/>
    <w:rsid w:val="002156AF"/>
    <w:rsid w:val="00236F74"/>
    <w:rsid w:val="00257A6E"/>
    <w:rsid w:val="002677FD"/>
    <w:rsid w:val="00267C77"/>
    <w:rsid w:val="00286642"/>
    <w:rsid w:val="00296FDA"/>
    <w:rsid w:val="002B39A0"/>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A6D5B"/>
    <w:rsid w:val="006C4048"/>
    <w:rsid w:val="006D5578"/>
    <w:rsid w:val="006F4A69"/>
    <w:rsid w:val="006F5A5D"/>
    <w:rsid w:val="00730DD2"/>
    <w:rsid w:val="00734492"/>
    <w:rsid w:val="0073651A"/>
    <w:rsid w:val="00761111"/>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A3BCF"/>
    <w:rsid w:val="0090178A"/>
    <w:rsid w:val="00912B14"/>
    <w:rsid w:val="009267EE"/>
    <w:rsid w:val="009269BD"/>
    <w:rsid w:val="00937E61"/>
    <w:rsid w:val="009574AC"/>
    <w:rsid w:val="0097092D"/>
    <w:rsid w:val="00982170"/>
    <w:rsid w:val="00986334"/>
    <w:rsid w:val="009A0943"/>
    <w:rsid w:val="009B087A"/>
    <w:rsid w:val="009B21AD"/>
    <w:rsid w:val="009B7CC6"/>
    <w:rsid w:val="009C5169"/>
    <w:rsid w:val="009D50E8"/>
    <w:rsid w:val="009F7815"/>
    <w:rsid w:val="00A10460"/>
    <w:rsid w:val="00A115C7"/>
    <w:rsid w:val="00A17614"/>
    <w:rsid w:val="00A56076"/>
    <w:rsid w:val="00A62C9C"/>
    <w:rsid w:val="00A84640"/>
    <w:rsid w:val="00AB4D54"/>
    <w:rsid w:val="00AC7F3C"/>
    <w:rsid w:val="00AD59C0"/>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45192"/>
    <w:rPr>
      <w:sz w:val="16"/>
      <w:szCs w:val="16"/>
    </w:rPr>
  </w:style>
  <w:style w:type="paragraph" w:styleId="CommentText">
    <w:name w:val="annotation text"/>
    <w:basedOn w:val="Normal"/>
    <w:link w:val="CommentTextChar"/>
    <w:uiPriority w:val="99"/>
    <w:unhideWhenUsed/>
    <w:rsid w:val="00145192"/>
    <w:pPr>
      <w:spacing w:line="240" w:lineRule="auto"/>
    </w:pPr>
    <w:rPr>
      <w:sz w:val="20"/>
      <w:szCs w:val="20"/>
    </w:rPr>
  </w:style>
  <w:style w:type="character" w:customStyle="1" w:styleId="CommentTextChar">
    <w:name w:val="Comment Text Char"/>
    <w:basedOn w:val="DefaultParagraphFont"/>
    <w:link w:val="CommentText"/>
    <w:uiPriority w:val="99"/>
    <w:rsid w:val="00145192"/>
  </w:style>
  <w:style w:type="paragraph" w:styleId="CommentSubject">
    <w:name w:val="annotation subject"/>
    <w:basedOn w:val="CommentText"/>
    <w:next w:val="CommentText"/>
    <w:link w:val="CommentSubjectChar"/>
    <w:uiPriority w:val="99"/>
    <w:semiHidden/>
    <w:unhideWhenUsed/>
    <w:rsid w:val="00145192"/>
    <w:rPr>
      <w:b/>
      <w:bCs/>
    </w:rPr>
  </w:style>
  <w:style w:type="character" w:customStyle="1" w:styleId="CommentSubjectChar">
    <w:name w:val="Comment Subject Char"/>
    <w:basedOn w:val="CommentTextChar"/>
    <w:link w:val="CommentSubject"/>
    <w:uiPriority w:val="99"/>
    <w:semiHidden/>
    <w:rsid w:val="001451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3</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2026-04-17T09:13:00Z</cp:lastPrinted>
  <dcterms:created xsi:type="dcterms:W3CDTF">2021-09-13T07:38:00Z</dcterms:created>
  <dcterms:modified xsi:type="dcterms:W3CDTF">2026-04-17T09:13:00Z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d54bfcc9-0330-4ff2-884c-5ec1d95aff83</vt:lpwstr>
  </property>
</Properties>
</file>