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B25AFC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CA7B8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B25AFC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CA7B8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8A8B41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</w:t>
      </w:r>
      <w:r w:rsidR="00CA7B8E">
        <w:rPr>
          <w:rFonts w:ascii="Verdana" w:hAnsi="Verdana"/>
          <w:b/>
          <w:sz w:val="22"/>
        </w:rPr>
        <w:t xml:space="preserve"> us to provide</w:t>
      </w:r>
      <w:r w:rsidRPr="00A10460">
        <w:rPr>
          <w:rFonts w:ascii="Verdana" w:hAnsi="Verdana"/>
          <w:b/>
          <w:sz w:val="22"/>
        </w:rPr>
        <w:t>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1123ACB" w14:textId="77777777" w:rsidR="00CA7B8E" w:rsidRDefault="00CA7B8E" w:rsidP="00CA7B8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A7B8E">
        <w:rPr>
          <w:rFonts w:ascii="Verdana" w:hAnsi="Verdana"/>
          <w:b/>
          <w:bCs/>
          <w:noProof/>
          <w:sz w:val="22"/>
          <w:szCs w:val="22"/>
        </w:rPr>
        <w:t>Hyperkalemia pathway / process / treatment plan</w:t>
      </w:r>
    </w:p>
    <w:p w14:paraId="1B718B02" w14:textId="25ED844A" w:rsidR="00CA7B8E" w:rsidRDefault="00CA7B8E" w:rsidP="00CA7B8E">
      <w:pPr>
        <w:ind w:left="36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attached </w:t>
      </w:r>
      <w:r w:rsidRPr="00CA7B8E">
        <w:rPr>
          <w:rFonts w:ascii="Verdana" w:hAnsi="Verdana"/>
          <w:noProof/>
          <w:sz w:val="22"/>
          <w:szCs w:val="22"/>
        </w:rPr>
        <w:t>CID4762 Clinical Guideline for the Management of Hyperkalaemia in Adults (Revised - July 2024)</w:t>
      </w:r>
      <w:r>
        <w:rPr>
          <w:rFonts w:ascii="Verdana" w:hAnsi="Verdana"/>
          <w:noProof/>
          <w:sz w:val="22"/>
          <w:szCs w:val="22"/>
        </w:rPr>
        <w:t xml:space="preserve"> and </w:t>
      </w:r>
      <w:r w:rsidRPr="00CA7B8E">
        <w:rPr>
          <w:rFonts w:ascii="Verdana" w:hAnsi="Verdana"/>
          <w:noProof/>
          <w:sz w:val="22"/>
          <w:szCs w:val="22"/>
        </w:rPr>
        <w:t>CID108 YALE Acute Stroke Swallow Screen (Revised - May 2025)</w:t>
      </w:r>
      <w:r>
        <w:rPr>
          <w:rFonts w:ascii="Verdana" w:hAnsi="Verdana"/>
          <w:noProof/>
          <w:sz w:val="22"/>
          <w:szCs w:val="22"/>
        </w:rPr>
        <w:t>.</w:t>
      </w:r>
    </w:p>
    <w:p w14:paraId="19AB7596" w14:textId="77777777" w:rsidR="00CA7B8E" w:rsidRPr="00CA7B8E" w:rsidRDefault="00CA7B8E" w:rsidP="00CA7B8E">
      <w:pPr>
        <w:ind w:left="720"/>
        <w:rPr>
          <w:rFonts w:ascii="Verdana" w:hAnsi="Verdana"/>
          <w:noProof/>
          <w:sz w:val="22"/>
          <w:szCs w:val="22"/>
        </w:rPr>
      </w:pPr>
    </w:p>
    <w:p w14:paraId="036644C8" w14:textId="77777777" w:rsidR="00CA7B8E" w:rsidRPr="00CA7B8E" w:rsidRDefault="00CA7B8E" w:rsidP="00CA7B8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A7B8E">
        <w:rPr>
          <w:rFonts w:ascii="Verdana" w:hAnsi="Verdana"/>
          <w:b/>
          <w:bCs/>
          <w:noProof/>
          <w:sz w:val="22"/>
          <w:szCs w:val="22"/>
        </w:rPr>
        <w:t>When the SWALLOW assessment needs to be completed post stroke</w:t>
      </w:r>
    </w:p>
    <w:p w14:paraId="34F543BD" w14:textId="1E0B3A6F" w:rsidR="00CA7B8E" w:rsidRPr="00CA7B8E" w:rsidRDefault="00CA7B8E" w:rsidP="00CA7B8E">
      <w:pPr>
        <w:spacing w:line="300" w:lineRule="atLeast"/>
        <w:ind w:left="360"/>
        <w:rPr>
          <w:rFonts w:ascii="Verdana" w:hAnsi="Verdana"/>
          <w:sz w:val="22"/>
          <w:szCs w:val="22"/>
          <w:lang w:eastAsia="en-US"/>
        </w:rPr>
      </w:pPr>
      <w:r w:rsidRPr="00CA7B8E">
        <w:rPr>
          <w:rFonts w:ascii="Verdana" w:hAnsi="Verdana"/>
          <w:sz w:val="22"/>
          <w:szCs w:val="22"/>
          <w:lang w:eastAsia="en-US"/>
        </w:rPr>
        <w:t xml:space="preserve">Current </w:t>
      </w:r>
      <w:r>
        <w:rPr>
          <w:rFonts w:ascii="Verdana" w:hAnsi="Verdana"/>
          <w:sz w:val="22"/>
          <w:szCs w:val="22"/>
          <w:lang w:eastAsia="en-US"/>
        </w:rPr>
        <w:t>Sentinel Stroke National Audit Programme</w:t>
      </w:r>
      <w:r w:rsidRPr="00CA7B8E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>(</w:t>
      </w:r>
      <w:proofErr w:type="spellStart"/>
      <w:r w:rsidRPr="00CA7B8E">
        <w:rPr>
          <w:rFonts w:ascii="Verdana" w:hAnsi="Verdana"/>
          <w:sz w:val="22"/>
          <w:szCs w:val="22"/>
          <w:lang w:eastAsia="en-US"/>
        </w:rPr>
        <w:t>SSNAP</w:t>
      </w:r>
      <w:proofErr w:type="spellEnd"/>
      <w:r>
        <w:rPr>
          <w:rFonts w:ascii="Verdana" w:hAnsi="Verdana"/>
          <w:sz w:val="22"/>
          <w:szCs w:val="22"/>
          <w:lang w:eastAsia="en-US"/>
        </w:rPr>
        <w:t xml:space="preserve">) </w:t>
      </w:r>
      <w:r w:rsidRPr="00CA7B8E">
        <w:rPr>
          <w:rFonts w:ascii="Verdana" w:hAnsi="Verdana"/>
          <w:sz w:val="22"/>
          <w:szCs w:val="22"/>
          <w:lang w:eastAsia="en-US"/>
        </w:rPr>
        <w:t xml:space="preserve">targets recommend a swallow screen is completed within 4 hours of admission for </w:t>
      </w:r>
      <w:r w:rsidRPr="00CA7B8E">
        <w:rPr>
          <w:rFonts w:ascii="Verdana" w:hAnsi="Verdana" w:cs="Segoe UI"/>
          <w:sz w:val="22"/>
          <w:szCs w:val="22"/>
        </w:rPr>
        <w:t xml:space="preserve">all patients with suspected stroke </w:t>
      </w:r>
      <w:r w:rsidRPr="00CA7B8E">
        <w:rPr>
          <w:rFonts w:ascii="Verdana" w:hAnsi="Verdana"/>
          <w:sz w:val="22"/>
          <w:szCs w:val="22"/>
          <w:lang w:eastAsia="en-US"/>
        </w:rPr>
        <w:t>(this is typically completed by nursing or medical staff).</w:t>
      </w:r>
    </w:p>
    <w:p w14:paraId="3AC22A5F" w14:textId="57FF88DF" w:rsidR="00CA7B8E" w:rsidRPr="00CA7B8E" w:rsidRDefault="00CA7B8E" w:rsidP="00CA7B8E">
      <w:pPr>
        <w:ind w:left="360"/>
        <w:rPr>
          <w:rFonts w:ascii="Verdana" w:hAnsi="Verdana"/>
          <w:sz w:val="22"/>
          <w:szCs w:val="22"/>
          <w:lang w:eastAsia="en-US"/>
        </w:rPr>
      </w:pPr>
      <w:r w:rsidRPr="00CA7B8E">
        <w:rPr>
          <w:rFonts w:ascii="Verdana" w:hAnsi="Verdana"/>
          <w:sz w:val="22"/>
          <w:szCs w:val="22"/>
          <w:lang w:eastAsia="en-US"/>
        </w:rPr>
        <w:t>If dysphagia is identified on this swallow screen</w:t>
      </w:r>
      <w:r>
        <w:rPr>
          <w:rFonts w:ascii="Verdana" w:hAnsi="Verdana"/>
          <w:sz w:val="22"/>
          <w:szCs w:val="22"/>
          <w:lang w:eastAsia="en-US"/>
        </w:rPr>
        <w:t>,</w:t>
      </w:r>
      <w:r w:rsidRPr="00CA7B8E">
        <w:rPr>
          <w:rFonts w:ascii="Verdana" w:hAnsi="Verdana"/>
          <w:sz w:val="22"/>
          <w:szCs w:val="22"/>
          <w:lang w:eastAsia="en-US"/>
        </w:rPr>
        <w:t xml:space="preserve"> the current </w:t>
      </w:r>
      <w:proofErr w:type="spellStart"/>
      <w:r w:rsidRPr="00CA7B8E">
        <w:rPr>
          <w:rFonts w:ascii="Verdana" w:hAnsi="Verdana"/>
          <w:sz w:val="22"/>
          <w:szCs w:val="22"/>
          <w:lang w:eastAsia="en-US"/>
        </w:rPr>
        <w:t>SSNAP</w:t>
      </w:r>
      <w:proofErr w:type="spellEnd"/>
      <w:r w:rsidRPr="00CA7B8E">
        <w:rPr>
          <w:rFonts w:ascii="Verdana" w:hAnsi="Verdana"/>
          <w:sz w:val="22"/>
          <w:szCs w:val="22"/>
          <w:lang w:eastAsia="en-US"/>
        </w:rPr>
        <w:t xml:space="preserve"> target is for </w:t>
      </w:r>
      <w:r>
        <w:rPr>
          <w:rFonts w:ascii="Verdana" w:hAnsi="Verdana"/>
          <w:sz w:val="22"/>
          <w:szCs w:val="22"/>
          <w:lang w:eastAsia="en-US"/>
        </w:rPr>
        <w:t xml:space="preserve">a </w:t>
      </w:r>
      <w:r w:rsidRPr="00CA7B8E">
        <w:rPr>
          <w:rFonts w:ascii="Verdana" w:hAnsi="Verdana"/>
          <w:sz w:val="22"/>
          <w:szCs w:val="22"/>
          <w:lang w:eastAsia="en-US"/>
        </w:rPr>
        <w:t xml:space="preserve">Speech and Language Therapy swallowing assessment to be carried out </w:t>
      </w:r>
      <w:r>
        <w:rPr>
          <w:rFonts w:ascii="Verdana" w:hAnsi="Verdana"/>
          <w:sz w:val="22"/>
          <w:szCs w:val="22"/>
          <w:lang w:eastAsia="en-US"/>
        </w:rPr>
        <w:t xml:space="preserve">within </w:t>
      </w:r>
      <w:r w:rsidRPr="00CA7B8E">
        <w:rPr>
          <w:rFonts w:ascii="Verdana" w:hAnsi="Verdana"/>
          <w:sz w:val="22"/>
          <w:szCs w:val="22"/>
          <w:lang w:eastAsia="en-US"/>
        </w:rPr>
        <w:t>24</w:t>
      </w:r>
      <w:r>
        <w:rPr>
          <w:rFonts w:ascii="Verdana" w:hAnsi="Verdana"/>
          <w:sz w:val="22"/>
          <w:szCs w:val="22"/>
          <w:lang w:eastAsia="en-US"/>
        </w:rPr>
        <w:t>-</w:t>
      </w:r>
      <w:r w:rsidRPr="00CA7B8E">
        <w:rPr>
          <w:rFonts w:ascii="Verdana" w:hAnsi="Verdana"/>
          <w:sz w:val="22"/>
          <w:szCs w:val="22"/>
          <w:lang w:eastAsia="en-US"/>
        </w:rPr>
        <w:t>hours</w:t>
      </w:r>
      <w:r>
        <w:rPr>
          <w:rFonts w:ascii="Verdana" w:hAnsi="Verdana"/>
          <w:sz w:val="22"/>
          <w:szCs w:val="22"/>
          <w:lang w:eastAsia="en-US"/>
        </w:rPr>
        <w:t xml:space="preserve"> (p</w:t>
      </w:r>
      <w:r w:rsidRPr="00CA7B8E">
        <w:rPr>
          <w:rFonts w:ascii="Verdana" w:hAnsi="Verdana"/>
          <w:sz w:val="22"/>
          <w:szCs w:val="22"/>
          <w:lang w:eastAsia="en-US"/>
        </w:rPr>
        <w:t xml:space="preserve">revious recommendations used to be within 72 hours). </w:t>
      </w:r>
      <w:r>
        <w:rPr>
          <w:rFonts w:ascii="Verdana" w:hAnsi="Verdana"/>
          <w:sz w:val="22"/>
          <w:szCs w:val="22"/>
          <w:lang w:eastAsia="en-US"/>
        </w:rPr>
        <w:t>However, t</w:t>
      </w:r>
      <w:r w:rsidRPr="00CA7B8E">
        <w:rPr>
          <w:rFonts w:ascii="Verdana" w:hAnsi="Verdana"/>
          <w:sz w:val="22"/>
          <w:szCs w:val="22"/>
          <w:lang w:eastAsia="en-US"/>
        </w:rPr>
        <w:t>his assessment can only be provided if the patient is sufficiently alert and well enough to be able to participate in swallowing assessment.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2A73D1F"/>
    <w:multiLevelType w:val="multilevel"/>
    <w:tmpl w:val="2CA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68675339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D0175"/>
    <w:rsid w:val="00C021A4"/>
    <w:rsid w:val="00C050BE"/>
    <w:rsid w:val="00C21013"/>
    <w:rsid w:val="00C75A00"/>
    <w:rsid w:val="00CA07E3"/>
    <w:rsid w:val="00CA7B8E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114</Words>
  <Characters>879</Characters>
  <Application>Microsoft Office Word</Application>
  <DocSecurity>0</DocSecurity>
  <Lines>51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2026-03-31T13:11:00Z</dcterms:modified>
</cp:coreProperties>
</file>