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33F7F60"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61028">
                              <w:rPr>
                                <w:rFonts w:ascii="Verdana" w:hAnsi="Verdana"/>
                                <w:b/>
                                <w:sz w:val="22"/>
                                <w:szCs w:val="22"/>
                              </w:rPr>
                              <w:t>26-E-029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61028">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33F7F60"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61028">
                        <w:rPr>
                          <w:rFonts w:ascii="Verdana" w:hAnsi="Verdana"/>
                          <w:b/>
                          <w:sz w:val="22"/>
                          <w:szCs w:val="22"/>
                        </w:rPr>
                        <w:t>26-E-029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61028">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575F91CC" w14:textId="7AE83FBE" w:rsidR="00061028" w:rsidRPr="00061028" w:rsidRDefault="00061028" w:rsidP="00134DEE">
      <w:pPr>
        <w:rPr>
          <w:rFonts w:ascii="Verdana" w:hAnsi="Verdana"/>
          <w:b/>
          <w:bCs/>
          <w:noProof/>
          <w:sz w:val="22"/>
          <w:szCs w:val="22"/>
        </w:rPr>
      </w:pPr>
      <w:r w:rsidRPr="00061028">
        <w:rPr>
          <w:rFonts w:ascii="Verdana" w:hAnsi="Verdana"/>
          <w:b/>
          <w:bCs/>
          <w:noProof/>
          <w:sz w:val="22"/>
          <w:szCs w:val="22"/>
        </w:rPr>
        <w:t>I would like to request information and totals for the following.</w:t>
      </w:r>
    </w:p>
    <w:p w14:paraId="7897260F" w14:textId="254419D5" w:rsidR="00134DEE" w:rsidRPr="00272028" w:rsidRDefault="00061028" w:rsidP="00272028">
      <w:pPr>
        <w:pStyle w:val="ListParagraph"/>
        <w:numPr>
          <w:ilvl w:val="0"/>
          <w:numId w:val="21"/>
        </w:numPr>
        <w:rPr>
          <w:rFonts w:ascii="Verdana" w:eastAsia="Aptos" w:hAnsi="Verdana" w:cs="Aptos"/>
          <w:sz w:val="22"/>
          <w:szCs w:val="22"/>
          <w:lang w:eastAsia="en-US"/>
          <w14:ligatures w14:val="standardContextual"/>
        </w:rPr>
      </w:pPr>
      <w:r w:rsidRPr="00272028">
        <w:rPr>
          <w:rFonts w:ascii="Verdana" w:hAnsi="Verdana"/>
          <w:b/>
          <w:bCs/>
          <w:noProof/>
          <w:sz w:val="22"/>
          <w:szCs w:val="22"/>
        </w:rPr>
        <w:t>Total net payout and average individual payout through claims due to negligence and harm caused by SBUHB in the last two financial years (2024-2025, 2025-2026).</w:t>
      </w:r>
      <w:r w:rsidRPr="00272028">
        <w:rPr>
          <w:rFonts w:ascii="Verdana" w:hAnsi="Verdana"/>
          <w:b/>
          <w:bCs/>
          <w:noProof/>
          <w:sz w:val="22"/>
          <w:szCs w:val="22"/>
        </w:rPr>
        <w:br/>
      </w:r>
      <w:r w:rsidRPr="00272028">
        <w:rPr>
          <w:rFonts w:ascii="Verdana" w:hAnsi="Verdana"/>
          <w:b/>
          <w:bCs/>
          <w:noProof/>
          <w:sz w:val="22"/>
          <w:szCs w:val="22"/>
        </w:rPr>
        <w:br/>
      </w:r>
      <w:r w:rsidR="00272028" w:rsidRPr="00272028">
        <w:rPr>
          <w:rFonts w:ascii="Verdana" w:eastAsia="Aptos" w:hAnsi="Verdana" w:cs="Aptos"/>
          <w:sz w:val="22"/>
          <w:szCs w:val="22"/>
          <w:lang w:eastAsia="en-US"/>
          <w14:ligatures w14:val="standardContextual"/>
        </w:rPr>
        <w:t>“</w:t>
      </w:r>
      <w:r w:rsidR="00134DEE" w:rsidRPr="00272028">
        <w:rPr>
          <w:rFonts w:ascii="Verdana" w:eastAsia="Aptos" w:hAnsi="Verdana" w:cs="Aptos"/>
          <w:sz w:val="22"/>
          <w:szCs w:val="22"/>
          <w:lang w:eastAsia="en-US"/>
          <w14:ligatures w14:val="standardContextual"/>
        </w:rPr>
        <w:t>Net payout</w:t>
      </w:r>
      <w:r w:rsidR="00272028" w:rsidRPr="00272028">
        <w:rPr>
          <w:rFonts w:ascii="Verdana" w:eastAsia="Aptos" w:hAnsi="Verdana" w:cs="Aptos"/>
          <w:sz w:val="22"/>
          <w:szCs w:val="22"/>
          <w:lang w:eastAsia="en-US"/>
          <w14:ligatures w14:val="standardContextual"/>
        </w:rPr>
        <w:t>”</w:t>
      </w:r>
      <w:r w:rsidR="00134DEE" w:rsidRPr="00272028">
        <w:rPr>
          <w:rFonts w:ascii="Verdana" w:eastAsia="Aptos" w:hAnsi="Verdana" w:cs="Aptos"/>
          <w:sz w:val="22"/>
          <w:szCs w:val="22"/>
          <w:lang w:eastAsia="en-US"/>
          <w14:ligatures w14:val="standardContextual"/>
        </w:rPr>
        <w:t xml:space="preserve"> has been interpreted as total damages paid.  </w:t>
      </w:r>
      <w:r w:rsidR="00272028" w:rsidRPr="00272028">
        <w:rPr>
          <w:rFonts w:ascii="Verdana" w:eastAsia="Aptos" w:hAnsi="Verdana" w:cs="Aptos"/>
          <w:sz w:val="22"/>
          <w:szCs w:val="22"/>
          <w:lang w:eastAsia="en-US"/>
          <w14:ligatures w14:val="standardContextual"/>
        </w:rPr>
        <w:br/>
      </w:r>
      <w:r w:rsidR="00134DEE" w:rsidRPr="00272028">
        <w:rPr>
          <w:rFonts w:ascii="Verdana" w:eastAsia="Aptos" w:hAnsi="Verdana" w:cs="Aptos"/>
          <w:sz w:val="22"/>
          <w:szCs w:val="22"/>
          <w:lang w:eastAsia="en-US"/>
          <w14:ligatures w14:val="standardContextual"/>
        </w:rPr>
        <w:t xml:space="preserve">Totals represent net damages paid during the financial year, including any adjustments or recoveries recorded in that period. As a result, individual claim values may include negative amounts where adjustments have been applied.  </w:t>
      </w:r>
    </w:p>
    <w:p w14:paraId="599C0495" w14:textId="5BF4CAA8" w:rsidR="00134DEE" w:rsidRPr="00272028" w:rsidRDefault="00272028" w:rsidP="00272028">
      <w:pPr>
        <w:spacing w:before="0" w:after="0" w:line="240" w:lineRule="auto"/>
        <w:ind w:left="865" w:right="0"/>
        <w:rPr>
          <w:rFonts w:ascii="Verdana" w:eastAsia="Aptos" w:hAnsi="Verdana" w:cs="Aptos"/>
          <w:sz w:val="22"/>
          <w:szCs w:val="22"/>
          <w:lang w:eastAsia="en-US"/>
          <w14:ligatures w14:val="standardContextual"/>
        </w:rPr>
      </w:pPr>
      <w:r w:rsidRPr="00272028">
        <w:rPr>
          <w:rFonts w:ascii="Verdana" w:eastAsia="Aptos" w:hAnsi="Verdana" w:cs="Aptos"/>
          <w:sz w:val="22"/>
          <w:szCs w:val="22"/>
          <w:lang w:eastAsia="en-US"/>
          <w14:ligatures w14:val="standardContextual"/>
        </w:rPr>
        <w:t>“</w:t>
      </w:r>
      <w:r w:rsidR="00134DEE" w:rsidRPr="00272028">
        <w:rPr>
          <w:rFonts w:ascii="Verdana" w:eastAsia="Aptos" w:hAnsi="Verdana" w:cs="Aptos"/>
          <w:sz w:val="22"/>
          <w:szCs w:val="22"/>
          <w:lang w:eastAsia="en-US"/>
          <w14:ligatures w14:val="standardContextual"/>
        </w:rPr>
        <w:t>Average</w:t>
      </w:r>
      <w:r w:rsidRPr="00272028">
        <w:rPr>
          <w:rFonts w:ascii="Verdana" w:eastAsia="Aptos" w:hAnsi="Verdana" w:cs="Aptos"/>
          <w:sz w:val="22"/>
          <w:szCs w:val="22"/>
          <w:lang w:eastAsia="en-US"/>
          <w14:ligatures w14:val="standardContextual"/>
        </w:rPr>
        <w:t xml:space="preserve"> individual payout”</w:t>
      </w:r>
      <w:r w:rsidR="00134DEE" w:rsidRPr="00272028">
        <w:rPr>
          <w:rFonts w:ascii="Verdana" w:eastAsia="Aptos" w:hAnsi="Verdana" w:cs="Aptos"/>
          <w:sz w:val="22"/>
          <w:szCs w:val="22"/>
          <w:lang w:eastAsia="en-US"/>
          <w14:ligatures w14:val="standardContextual"/>
        </w:rPr>
        <w:t xml:space="preserve"> has been interpreted as the mean damages per claim.</w:t>
      </w:r>
    </w:p>
    <w:p w14:paraId="5168C123" w14:textId="77777777" w:rsidR="00134DEE" w:rsidRPr="00272028" w:rsidRDefault="00134DEE" w:rsidP="00272028">
      <w:pPr>
        <w:spacing w:before="0" w:after="0" w:line="240" w:lineRule="auto"/>
        <w:ind w:left="865" w:right="0"/>
        <w:rPr>
          <w:rFonts w:ascii="Verdana" w:eastAsia="Aptos" w:hAnsi="Verdana" w:cs="Aptos"/>
          <w:sz w:val="22"/>
          <w:szCs w:val="22"/>
          <w:lang w:eastAsia="en-US"/>
          <w14:ligatures w14:val="standardContextual"/>
        </w:rPr>
      </w:pPr>
    </w:p>
    <w:p w14:paraId="3AC642F7" w14:textId="77777777" w:rsidR="00134DEE" w:rsidRPr="00272028" w:rsidRDefault="00134DEE" w:rsidP="00272028">
      <w:pPr>
        <w:spacing w:before="0" w:after="0" w:line="240" w:lineRule="auto"/>
        <w:ind w:left="865" w:right="0"/>
        <w:rPr>
          <w:rFonts w:ascii="Verdana" w:eastAsia="Aptos" w:hAnsi="Verdana" w:cs="Aptos"/>
          <w:sz w:val="22"/>
          <w:szCs w:val="22"/>
          <w:u w:val="single"/>
          <w:lang w:eastAsia="en-US"/>
          <w14:ligatures w14:val="standardContextual"/>
        </w:rPr>
      </w:pPr>
      <w:r w:rsidRPr="00272028">
        <w:rPr>
          <w:rFonts w:ascii="Verdana" w:eastAsia="Aptos" w:hAnsi="Verdana" w:cs="Aptos"/>
          <w:sz w:val="22"/>
          <w:szCs w:val="22"/>
          <w:u w:val="single"/>
          <w:lang w:eastAsia="en-US"/>
          <w14:ligatures w14:val="standardContextual"/>
        </w:rPr>
        <w:t xml:space="preserve">2024/2025 </w:t>
      </w:r>
    </w:p>
    <w:p w14:paraId="6303E31B" w14:textId="77777777" w:rsidR="00134DEE" w:rsidRPr="00272028" w:rsidRDefault="00134DEE" w:rsidP="00272028">
      <w:pPr>
        <w:spacing w:before="0" w:after="0" w:line="240" w:lineRule="auto"/>
        <w:ind w:left="865" w:right="0"/>
        <w:rPr>
          <w:rFonts w:ascii="Verdana" w:eastAsia="Aptos" w:hAnsi="Verdana" w:cs="Aptos"/>
          <w:sz w:val="22"/>
          <w:szCs w:val="22"/>
          <w:lang w:eastAsia="en-US"/>
          <w14:ligatures w14:val="standardContextual"/>
        </w:rPr>
      </w:pPr>
      <w:r w:rsidRPr="00272028">
        <w:rPr>
          <w:rFonts w:ascii="Verdana" w:eastAsia="Aptos" w:hAnsi="Verdana" w:cs="Aptos"/>
          <w:sz w:val="22"/>
          <w:szCs w:val="22"/>
          <w:lang w:eastAsia="en-US"/>
          <w14:ligatures w14:val="standardContextual"/>
        </w:rPr>
        <w:t>Damages Total (clinical negligence): £17,122,409.17</w:t>
      </w:r>
    </w:p>
    <w:p w14:paraId="272C79CC" w14:textId="77777777" w:rsidR="00134DEE" w:rsidRPr="00272028" w:rsidRDefault="00134DEE" w:rsidP="00272028">
      <w:pPr>
        <w:spacing w:before="0" w:after="0" w:line="240" w:lineRule="auto"/>
        <w:ind w:left="865" w:right="0"/>
        <w:rPr>
          <w:rFonts w:ascii="Verdana" w:eastAsia="Aptos" w:hAnsi="Verdana" w:cs="Aptos"/>
          <w:sz w:val="22"/>
          <w:szCs w:val="22"/>
          <w:lang w:eastAsia="en-US"/>
          <w14:ligatures w14:val="standardContextual"/>
        </w:rPr>
      </w:pPr>
      <w:r w:rsidRPr="00272028">
        <w:rPr>
          <w:rFonts w:ascii="Verdana" w:eastAsia="Aptos" w:hAnsi="Verdana" w:cs="Aptos"/>
          <w:sz w:val="22"/>
          <w:szCs w:val="22"/>
          <w:lang w:eastAsia="en-US"/>
          <w14:ligatures w14:val="standardContextual"/>
        </w:rPr>
        <w:t>Number of claims: 69.  Mean Damages: £248,150.86</w:t>
      </w:r>
    </w:p>
    <w:p w14:paraId="70494BAB" w14:textId="77777777" w:rsidR="00134DEE" w:rsidRPr="00272028" w:rsidRDefault="00134DEE" w:rsidP="00272028">
      <w:pPr>
        <w:spacing w:before="0" w:after="0" w:line="240" w:lineRule="auto"/>
        <w:ind w:left="865" w:right="0"/>
        <w:rPr>
          <w:rFonts w:ascii="Verdana" w:eastAsia="Aptos" w:hAnsi="Verdana" w:cs="Aptos"/>
          <w:sz w:val="22"/>
          <w:szCs w:val="22"/>
          <w:lang w:eastAsia="en-US"/>
          <w14:ligatures w14:val="standardContextual"/>
        </w:rPr>
      </w:pPr>
      <w:r w:rsidRPr="00272028">
        <w:rPr>
          <w:rFonts w:ascii="Verdana" w:eastAsia="Aptos" w:hAnsi="Verdana" w:cs="Aptos"/>
          <w:sz w:val="22"/>
          <w:szCs w:val="22"/>
          <w:lang w:eastAsia="en-US"/>
          <w14:ligatures w14:val="standardContextual"/>
        </w:rPr>
        <w:t xml:space="preserve">Median damages per claim: £30,000. </w:t>
      </w:r>
    </w:p>
    <w:p w14:paraId="46E8C0AD" w14:textId="77777777" w:rsidR="00134DEE" w:rsidRPr="00272028" w:rsidRDefault="00134DEE" w:rsidP="00272028">
      <w:pPr>
        <w:spacing w:before="0" w:after="0" w:line="240" w:lineRule="auto"/>
        <w:ind w:left="865" w:right="0"/>
        <w:rPr>
          <w:rFonts w:ascii="Verdana" w:eastAsia="Aptos" w:hAnsi="Verdana" w:cs="Aptos"/>
          <w:sz w:val="22"/>
          <w:szCs w:val="22"/>
          <w:lang w:eastAsia="en-US"/>
          <w14:ligatures w14:val="standardContextual"/>
        </w:rPr>
      </w:pPr>
      <w:r w:rsidRPr="00272028">
        <w:rPr>
          <w:rFonts w:ascii="Verdana" w:eastAsia="Aptos" w:hAnsi="Verdana" w:cs="Aptos"/>
          <w:sz w:val="22"/>
          <w:szCs w:val="22"/>
          <w:lang w:eastAsia="en-US"/>
          <w14:ligatures w14:val="standardContextual"/>
        </w:rPr>
        <w:t>The median is significantly lower than the average (mean) due to a small number of high-value claims, which increase the overall (mean) average.</w:t>
      </w:r>
    </w:p>
    <w:p w14:paraId="6A3499DE" w14:textId="77777777" w:rsidR="00134DEE" w:rsidRPr="00272028" w:rsidRDefault="00134DEE" w:rsidP="00272028">
      <w:pPr>
        <w:spacing w:before="0" w:after="0" w:line="240" w:lineRule="auto"/>
        <w:ind w:left="865" w:right="0"/>
        <w:rPr>
          <w:rFonts w:ascii="Verdana" w:eastAsia="Aptos" w:hAnsi="Verdana" w:cs="Aptos"/>
          <w:sz w:val="22"/>
          <w:szCs w:val="22"/>
          <w:lang w:eastAsia="en-US"/>
          <w14:ligatures w14:val="standardContextual"/>
        </w:rPr>
      </w:pPr>
    </w:p>
    <w:p w14:paraId="7EFFBE80" w14:textId="77777777" w:rsidR="00134DEE" w:rsidRPr="00272028" w:rsidRDefault="00134DEE" w:rsidP="00272028">
      <w:pPr>
        <w:spacing w:before="0" w:after="0" w:line="240" w:lineRule="auto"/>
        <w:ind w:left="865" w:right="0"/>
        <w:rPr>
          <w:rFonts w:ascii="Verdana" w:eastAsia="Aptos" w:hAnsi="Verdana" w:cs="Aptos"/>
          <w:sz w:val="22"/>
          <w:szCs w:val="22"/>
          <w:u w:val="single"/>
          <w:lang w:eastAsia="en-US"/>
          <w14:ligatures w14:val="standardContextual"/>
        </w:rPr>
      </w:pPr>
      <w:r w:rsidRPr="00272028">
        <w:rPr>
          <w:rFonts w:ascii="Verdana" w:eastAsia="Aptos" w:hAnsi="Verdana" w:cs="Aptos"/>
          <w:sz w:val="22"/>
          <w:szCs w:val="22"/>
          <w:u w:val="single"/>
          <w:lang w:eastAsia="en-US"/>
          <w14:ligatures w14:val="standardContextual"/>
        </w:rPr>
        <w:t xml:space="preserve">2025/2026 </w:t>
      </w:r>
    </w:p>
    <w:p w14:paraId="343C2112" w14:textId="77777777" w:rsidR="00134DEE" w:rsidRPr="00272028" w:rsidRDefault="00134DEE" w:rsidP="00272028">
      <w:pPr>
        <w:spacing w:before="0" w:after="0" w:line="240" w:lineRule="auto"/>
        <w:ind w:left="865" w:right="0"/>
        <w:rPr>
          <w:rFonts w:ascii="Verdana" w:eastAsia="Aptos" w:hAnsi="Verdana" w:cs="Aptos"/>
          <w:sz w:val="22"/>
          <w:szCs w:val="22"/>
          <w:lang w:eastAsia="en-US"/>
          <w14:ligatures w14:val="standardContextual"/>
        </w:rPr>
      </w:pPr>
      <w:r w:rsidRPr="00272028">
        <w:rPr>
          <w:rFonts w:ascii="Verdana" w:eastAsia="Aptos" w:hAnsi="Verdana" w:cs="Aptos"/>
          <w:sz w:val="22"/>
          <w:szCs w:val="22"/>
          <w:lang w:eastAsia="en-US"/>
          <w14:ligatures w14:val="standardContextual"/>
        </w:rPr>
        <w:t xml:space="preserve">Damages Total (clinical negligence): £17,215,472.58 </w:t>
      </w:r>
    </w:p>
    <w:p w14:paraId="01CD9106" w14:textId="77777777" w:rsidR="00134DEE" w:rsidRPr="00272028" w:rsidRDefault="00134DEE" w:rsidP="00272028">
      <w:pPr>
        <w:spacing w:before="0" w:after="0" w:line="240" w:lineRule="auto"/>
        <w:ind w:left="865" w:right="0"/>
        <w:rPr>
          <w:rFonts w:ascii="Verdana" w:eastAsia="Aptos" w:hAnsi="Verdana" w:cs="Aptos"/>
          <w:sz w:val="22"/>
          <w:szCs w:val="22"/>
          <w:lang w:eastAsia="en-US"/>
          <w14:ligatures w14:val="standardContextual"/>
        </w:rPr>
      </w:pPr>
      <w:r w:rsidRPr="00272028">
        <w:rPr>
          <w:rFonts w:ascii="Verdana" w:eastAsia="Aptos" w:hAnsi="Verdana" w:cs="Aptos"/>
          <w:sz w:val="22"/>
          <w:szCs w:val="22"/>
          <w:lang w:eastAsia="en-US"/>
          <w14:ligatures w14:val="standardContextual"/>
        </w:rPr>
        <w:t>Number of claims: 77.  Mean Damages: £223,577.</w:t>
      </w:r>
    </w:p>
    <w:p w14:paraId="464152B8" w14:textId="77777777" w:rsidR="00134DEE" w:rsidRPr="00272028" w:rsidRDefault="00134DEE" w:rsidP="00272028">
      <w:pPr>
        <w:spacing w:before="0" w:after="0" w:line="240" w:lineRule="auto"/>
        <w:ind w:left="865" w:right="0"/>
        <w:rPr>
          <w:rFonts w:ascii="Verdana" w:eastAsia="Aptos" w:hAnsi="Verdana" w:cs="Aptos"/>
          <w:sz w:val="22"/>
          <w:szCs w:val="22"/>
          <w:lang w:eastAsia="en-US"/>
          <w14:ligatures w14:val="standardContextual"/>
        </w:rPr>
      </w:pPr>
      <w:r w:rsidRPr="00272028">
        <w:rPr>
          <w:rFonts w:ascii="Verdana" w:eastAsia="Aptos" w:hAnsi="Verdana" w:cs="Aptos"/>
          <w:sz w:val="22"/>
          <w:szCs w:val="22"/>
          <w:lang w:eastAsia="en-US"/>
          <w14:ligatures w14:val="standardContextual"/>
        </w:rPr>
        <w:t xml:space="preserve">Median damages per claim: £25,000. </w:t>
      </w:r>
    </w:p>
    <w:p w14:paraId="530F37E2" w14:textId="77777777" w:rsidR="00134DEE" w:rsidRPr="00272028" w:rsidRDefault="00134DEE" w:rsidP="00272028">
      <w:pPr>
        <w:spacing w:before="0" w:after="0" w:line="240" w:lineRule="auto"/>
        <w:ind w:left="865" w:right="0"/>
        <w:rPr>
          <w:rFonts w:ascii="Verdana" w:eastAsia="Aptos" w:hAnsi="Verdana" w:cs="Aptos"/>
          <w:color w:val="104862"/>
          <w:sz w:val="22"/>
          <w:szCs w:val="22"/>
          <w:lang w:eastAsia="en-US"/>
          <w14:ligatures w14:val="standardContextual"/>
        </w:rPr>
      </w:pPr>
      <w:r w:rsidRPr="00272028">
        <w:rPr>
          <w:rFonts w:ascii="Verdana" w:eastAsia="Aptos" w:hAnsi="Verdana" w:cs="Aptos"/>
          <w:sz w:val="22"/>
          <w:szCs w:val="22"/>
          <w:lang w:eastAsia="en-US"/>
          <w14:ligatures w14:val="standardContextual"/>
        </w:rPr>
        <w:t>The median is significantly lower than the average (mean) due to a small number of high-value claims, which increase the overall (mean) average.</w:t>
      </w:r>
    </w:p>
    <w:p w14:paraId="08692983" w14:textId="1FC58080" w:rsidR="00061028" w:rsidRPr="00061028" w:rsidRDefault="00134DEE" w:rsidP="00134DEE">
      <w:pPr>
        <w:pStyle w:val="ListParagraph"/>
        <w:ind w:left="865"/>
        <w:rPr>
          <w:rFonts w:ascii="Verdana" w:hAnsi="Verdana"/>
          <w:b/>
          <w:bCs/>
          <w:noProof/>
          <w:sz w:val="22"/>
          <w:szCs w:val="22"/>
        </w:rPr>
      </w:pPr>
      <w:r>
        <w:rPr>
          <w:rFonts w:ascii="Verdana" w:hAnsi="Verdana"/>
          <w:b/>
          <w:bCs/>
          <w:noProof/>
          <w:sz w:val="22"/>
          <w:szCs w:val="22"/>
        </w:rPr>
        <w:br/>
      </w:r>
    </w:p>
    <w:p w14:paraId="28A69FDF" w14:textId="77777777" w:rsidR="00134DEE" w:rsidRDefault="00061028" w:rsidP="00061028">
      <w:pPr>
        <w:pStyle w:val="ListParagraph"/>
        <w:numPr>
          <w:ilvl w:val="0"/>
          <w:numId w:val="20"/>
        </w:numPr>
        <w:rPr>
          <w:rFonts w:ascii="Verdana" w:hAnsi="Verdana"/>
          <w:b/>
          <w:bCs/>
          <w:noProof/>
          <w:sz w:val="22"/>
          <w:szCs w:val="22"/>
        </w:rPr>
      </w:pPr>
      <w:r w:rsidRPr="00061028">
        <w:rPr>
          <w:rFonts w:ascii="Verdana" w:hAnsi="Verdana"/>
          <w:b/>
          <w:bCs/>
          <w:noProof/>
          <w:sz w:val="22"/>
          <w:szCs w:val="22"/>
        </w:rPr>
        <w:t>Total net payout and average individual payout through claims for post-surgical wounds/ harm caused by SBUHB in the last two financial years (2024-2025, 2025-2026).</w:t>
      </w:r>
      <w:r>
        <w:rPr>
          <w:rFonts w:ascii="Verdana" w:hAnsi="Verdana"/>
          <w:b/>
          <w:bCs/>
          <w:noProof/>
          <w:sz w:val="22"/>
          <w:szCs w:val="22"/>
        </w:rPr>
        <w:br/>
      </w:r>
    </w:p>
    <w:p w14:paraId="348A47B2" w14:textId="77777777" w:rsidR="00134DEE" w:rsidRPr="00134DEE" w:rsidRDefault="00134DEE" w:rsidP="00134DEE">
      <w:pPr>
        <w:pStyle w:val="ListParagraph"/>
        <w:ind w:left="865"/>
        <w:rPr>
          <w:rFonts w:ascii="Verdana" w:hAnsi="Verdana"/>
          <w:noProof/>
          <w:sz w:val="22"/>
          <w:szCs w:val="22"/>
        </w:rPr>
      </w:pPr>
      <w:r w:rsidRPr="00134DEE">
        <w:rPr>
          <w:rFonts w:ascii="Verdana" w:hAnsi="Verdana"/>
          <w:noProof/>
          <w:sz w:val="22"/>
          <w:szCs w:val="22"/>
        </w:rPr>
        <w:t>The Health Board does not hold this information in a format that enables us to identify claims relating to specific clinical descriptors such as post-surgical wounds, wound deterioration or wound breakdown.</w:t>
      </w:r>
    </w:p>
    <w:p w14:paraId="37ED551A" w14:textId="77777777" w:rsidR="00134DEE" w:rsidRPr="00134DEE" w:rsidRDefault="00134DEE" w:rsidP="00134DEE">
      <w:pPr>
        <w:pStyle w:val="ListParagraph"/>
        <w:ind w:left="865"/>
        <w:rPr>
          <w:rFonts w:ascii="Verdana" w:hAnsi="Verdana"/>
          <w:noProof/>
          <w:sz w:val="22"/>
          <w:szCs w:val="22"/>
        </w:rPr>
      </w:pPr>
      <w:r w:rsidRPr="00134DEE">
        <w:rPr>
          <w:rFonts w:ascii="Verdana" w:hAnsi="Verdana"/>
          <w:noProof/>
          <w:sz w:val="22"/>
          <w:szCs w:val="22"/>
        </w:rPr>
        <w:lastRenderedPageBreak/>
        <w:t xml:space="preserve">Claims are recorded within our systems using broader categories and are not routinely coded at this level of clinical specificity.  </w:t>
      </w:r>
    </w:p>
    <w:p w14:paraId="48698308" w14:textId="77777777" w:rsidR="00272028" w:rsidRPr="00FC3B42" w:rsidRDefault="00272028" w:rsidP="00272028">
      <w:pPr>
        <w:ind w:left="865"/>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456A375E" w14:textId="2CFEDCCE" w:rsidR="00061028" w:rsidRPr="00134DEE" w:rsidRDefault="00061028" w:rsidP="00134DEE">
      <w:pPr>
        <w:pStyle w:val="ListParagraph"/>
        <w:ind w:left="865"/>
        <w:rPr>
          <w:rFonts w:ascii="Verdana" w:hAnsi="Verdana"/>
          <w:noProof/>
          <w:sz w:val="22"/>
          <w:szCs w:val="22"/>
        </w:rPr>
      </w:pPr>
      <w:r w:rsidRPr="00134DEE">
        <w:rPr>
          <w:rFonts w:ascii="Verdana" w:hAnsi="Verdana"/>
          <w:noProof/>
          <w:sz w:val="22"/>
          <w:szCs w:val="22"/>
        </w:rPr>
        <w:br/>
      </w:r>
    </w:p>
    <w:p w14:paraId="49E50112" w14:textId="77777777" w:rsidR="00134DEE" w:rsidRPr="00134DEE" w:rsidRDefault="00061028" w:rsidP="00134DEE">
      <w:pPr>
        <w:pStyle w:val="ListParagraph"/>
        <w:numPr>
          <w:ilvl w:val="0"/>
          <w:numId w:val="20"/>
        </w:numPr>
        <w:rPr>
          <w:rFonts w:ascii="Verdana" w:hAnsi="Verdana"/>
          <w:noProof/>
          <w:sz w:val="22"/>
          <w:szCs w:val="22"/>
        </w:rPr>
      </w:pPr>
      <w:r w:rsidRPr="00061028">
        <w:rPr>
          <w:rFonts w:ascii="Verdana" w:hAnsi="Verdana"/>
          <w:b/>
          <w:bCs/>
          <w:noProof/>
          <w:sz w:val="22"/>
          <w:szCs w:val="22"/>
        </w:rPr>
        <w:t>Total Tissue Viability Nursing (TVN) referrals recorded within SBUHB in the last two financial years (2024-2025, 2025-2026).</w:t>
      </w:r>
      <w:r>
        <w:rPr>
          <w:rFonts w:ascii="Verdana" w:hAnsi="Verdana"/>
          <w:b/>
          <w:bCs/>
          <w:noProof/>
          <w:sz w:val="22"/>
          <w:szCs w:val="22"/>
        </w:rPr>
        <w:br/>
      </w:r>
      <w:r w:rsidR="00134DEE" w:rsidRPr="00134DEE">
        <w:rPr>
          <w:rFonts w:ascii="Verdana" w:hAnsi="Verdana"/>
          <w:noProof/>
          <w:sz w:val="22"/>
          <w:szCs w:val="22"/>
        </w:rPr>
        <w:t>There were 2,081 referrals recorded within this reporting period, broken down by location and wound type</w:t>
      </w:r>
      <w:r w:rsidR="00134DEE">
        <w:rPr>
          <w:rFonts w:ascii="Verdana" w:hAnsi="Verdana"/>
          <w:noProof/>
          <w:sz w:val="22"/>
          <w:szCs w:val="22"/>
        </w:rPr>
        <w:t>.</w:t>
      </w:r>
      <w:r w:rsidR="00134DEE">
        <w:rPr>
          <w:rFonts w:ascii="Verdana" w:hAnsi="Verdana"/>
          <w:noProof/>
          <w:sz w:val="22"/>
          <w:szCs w:val="22"/>
        </w:rPr>
        <w:br/>
      </w:r>
      <w:r w:rsidR="00134DEE" w:rsidRPr="00134DEE">
        <w:rPr>
          <w:rFonts w:ascii="Verdana" w:hAnsi="Verdana"/>
          <w:noProof/>
          <w:sz w:val="22"/>
          <w:szCs w:val="22"/>
        </w:rPr>
        <w:t>However, it is important to highlight several factors that limit how this data can be interpreted and what it truly reflects.</w:t>
      </w:r>
    </w:p>
    <w:p w14:paraId="16DAF482" w14:textId="3F2F3FA7" w:rsidR="00061028" w:rsidRPr="00134DEE" w:rsidRDefault="00134DEE" w:rsidP="00134DEE">
      <w:pPr>
        <w:pStyle w:val="ListParagraph"/>
        <w:ind w:left="865"/>
        <w:rPr>
          <w:rFonts w:ascii="Verdana" w:hAnsi="Verdana"/>
          <w:b/>
          <w:bCs/>
          <w:noProof/>
          <w:sz w:val="22"/>
          <w:szCs w:val="22"/>
        </w:rPr>
      </w:pPr>
      <w:r w:rsidRPr="00134DEE">
        <w:rPr>
          <w:rFonts w:ascii="Verdana" w:hAnsi="Verdana"/>
          <w:noProof/>
          <w:sz w:val="22"/>
          <w:szCs w:val="22"/>
        </w:rPr>
        <w:t>Firstly, this dataset does not represent the full scope of patients seen by the Tissue Viability (TV) service. Patients who develop Health Board acquired pressure ulcers are not routinely referred through formal referral pathways. Instead, the TV team proactively reviews these cases via daily Datix incident reports, meaning this activity is not captured within referral data.</w:t>
      </w:r>
      <w:r>
        <w:rPr>
          <w:rFonts w:ascii="Verdana" w:hAnsi="Verdana"/>
          <w:noProof/>
          <w:sz w:val="22"/>
          <w:szCs w:val="22"/>
        </w:rPr>
        <w:br/>
      </w:r>
      <w:r w:rsidR="00061028" w:rsidRPr="00134DEE">
        <w:rPr>
          <w:rFonts w:ascii="Verdana" w:hAnsi="Verdana"/>
          <w:b/>
          <w:bCs/>
          <w:noProof/>
          <w:sz w:val="22"/>
          <w:szCs w:val="22"/>
        </w:rPr>
        <w:br/>
      </w:r>
    </w:p>
    <w:p w14:paraId="03F4ACA9" w14:textId="77777777" w:rsidR="00134DEE" w:rsidRPr="00134DEE" w:rsidRDefault="00061028" w:rsidP="00134DEE">
      <w:pPr>
        <w:pStyle w:val="ListParagraph"/>
        <w:numPr>
          <w:ilvl w:val="0"/>
          <w:numId w:val="20"/>
        </w:numPr>
        <w:rPr>
          <w:rFonts w:ascii="Verdana" w:hAnsi="Verdana"/>
          <w:noProof/>
          <w:sz w:val="22"/>
          <w:szCs w:val="22"/>
        </w:rPr>
      </w:pPr>
      <w:r w:rsidRPr="00061028">
        <w:rPr>
          <w:rFonts w:ascii="Verdana" w:hAnsi="Verdana"/>
          <w:b/>
          <w:bCs/>
          <w:noProof/>
          <w:sz w:val="22"/>
          <w:szCs w:val="22"/>
        </w:rPr>
        <w:t>Total net payout and average individual payout in instances of wound deterioration and breakdown, attributed to stays within SBUHB acute settings in the last two financial years (2024-2025, 2025-2026).</w:t>
      </w:r>
      <w:r>
        <w:rPr>
          <w:rFonts w:ascii="Verdana" w:hAnsi="Verdana"/>
          <w:b/>
          <w:bCs/>
          <w:noProof/>
          <w:sz w:val="22"/>
          <w:szCs w:val="22"/>
        </w:rPr>
        <w:br/>
      </w:r>
      <w:r>
        <w:rPr>
          <w:rFonts w:ascii="Verdana" w:hAnsi="Verdana"/>
          <w:b/>
          <w:bCs/>
          <w:noProof/>
          <w:sz w:val="22"/>
          <w:szCs w:val="22"/>
        </w:rPr>
        <w:br/>
      </w:r>
      <w:r w:rsidR="00134DEE" w:rsidRPr="00134DEE">
        <w:rPr>
          <w:rFonts w:ascii="Verdana" w:hAnsi="Verdana"/>
          <w:noProof/>
          <w:sz w:val="22"/>
          <w:szCs w:val="22"/>
        </w:rPr>
        <w:t>The Health Board does not hold this information in a format that enables us to identify claims relating to specific clinical descriptors such as post-surgical wounds, wound deterioration or wound breakdown.</w:t>
      </w:r>
    </w:p>
    <w:p w14:paraId="5C908F02" w14:textId="77777777" w:rsidR="00134DEE" w:rsidRPr="00134DEE" w:rsidRDefault="00134DEE" w:rsidP="00134DEE">
      <w:pPr>
        <w:pStyle w:val="ListParagraph"/>
        <w:ind w:left="865"/>
        <w:rPr>
          <w:rFonts w:ascii="Verdana" w:hAnsi="Verdana"/>
          <w:noProof/>
          <w:sz w:val="22"/>
          <w:szCs w:val="22"/>
        </w:rPr>
      </w:pPr>
      <w:r w:rsidRPr="00134DEE">
        <w:rPr>
          <w:rFonts w:ascii="Verdana" w:hAnsi="Verdana"/>
          <w:noProof/>
          <w:sz w:val="22"/>
          <w:szCs w:val="22"/>
        </w:rPr>
        <w:t xml:space="preserve">Claims are recorded within our systems using broader categories and are not routinely coded at this level of clinical specificity.  </w:t>
      </w:r>
    </w:p>
    <w:p w14:paraId="22CE44FF" w14:textId="77777777" w:rsidR="003020D4" w:rsidRPr="00FC3B42" w:rsidRDefault="003020D4" w:rsidP="003020D4">
      <w:pPr>
        <w:ind w:left="865"/>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7F202BA5" w14:textId="4C5F55D1" w:rsidR="00A115C7" w:rsidRDefault="003020D4" w:rsidP="003020D4">
      <w:pPr>
        <w:ind w:left="284"/>
        <w:rPr>
          <w:rFonts w:ascii="Verdana" w:hAnsi="Verdana"/>
          <w:sz w:val="22"/>
          <w:szCs w:val="22"/>
        </w:rPr>
      </w:pPr>
      <w:r>
        <w:rPr>
          <w:rFonts w:ascii="Verdana" w:hAnsi="Verdana"/>
          <w:sz w:val="22"/>
          <w:szCs w:val="22"/>
        </w:rPr>
        <w:lastRenderedPageBreak/>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B4229" w14:textId="77777777" w:rsidR="0073265E" w:rsidRDefault="0073265E" w:rsidP="007D6A3E">
      <w:pPr>
        <w:spacing w:before="0" w:after="0" w:line="240" w:lineRule="auto"/>
      </w:pPr>
      <w:r>
        <w:separator/>
      </w:r>
    </w:p>
  </w:endnote>
  <w:endnote w:type="continuationSeparator" w:id="0">
    <w:p w14:paraId="4EFA5C7E" w14:textId="77777777" w:rsidR="0073265E" w:rsidRDefault="0073265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0692A" w14:textId="77777777" w:rsidR="0073265E" w:rsidRDefault="0073265E" w:rsidP="007D6A3E">
      <w:pPr>
        <w:spacing w:before="0" w:after="0" w:line="240" w:lineRule="auto"/>
      </w:pPr>
      <w:r>
        <w:separator/>
      </w:r>
    </w:p>
  </w:footnote>
  <w:footnote w:type="continuationSeparator" w:id="0">
    <w:p w14:paraId="1CB77E15" w14:textId="77777777" w:rsidR="0073265E" w:rsidRDefault="0073265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0A24832"/>
    <w:multiLevelType w:val="hybridMultilevel"/>
    <w:tmpl w:val="931AB3F6"/>
    <w:lvl w:ilvl="0" w:tplc="FBC8D5EE">
      <w:start w:val="6"/>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1" w15:restartNumberingAfterBreak="0">
    <w:nsid w:val="488438C5"/>
    <w:multiLevelType w:val="hybridMultilevel"/>
    <w:tmpl w:val="5A48F480"/>
    <w:lvl w:ilvl="0" w:tplc="FBC8D5EE">
      <w:start w:val="6"/>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2126D3A"/>
    <w:multiLevelType w:val="hybridMultilevel"/>
    <w:tmpl w:val="1EA89B6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9"/>
  </w:num>
  <w:num w:numId="12" w16cid:durableId="1525171868">
    <w:abstractNumId w:val="14"/>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1556818338">
    <w:abstractNumId w:val="19"/>
  </w:num>
  <w:num w:numId="20" w16cid:durableId="788477885">
    <w:abstractNumId w:val="10"/>
  </w:num>
  <w:num w:numId="21" w16cid:durableId="14733995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61028"/>
    <w:rsid w:val="00095DF5"/>
    <w:rsid w:val="000A785B"/>
    <w:rsid w:val="000C00ED"/>
    <w:rsid w:val="000F6539"/>
    <w:rsid w:val="00111757"/>
    <w:rsid w:val="001276F0"/>
    <w:rsid w:val="00134DEE"/>
    <w:rsid w:val="001508FC"/>
    <w:rsid w:val="00185784"/>
    <w:rsid w:val="001B1339"/>
    <w:rsid w:val="001E2D50"/>
    <w:rsid w:val="00213076"/>
    <w:rsid w:val="002156AF"/>
    <w:rsid w:val="00236F74"/>
    <w:rsid w:val="00257A6E"/>
    <w:rsid w:val="002677FD"/>
    <w:rsid w:val="00267C77"/>
    <w:rsid w:val="00272028"/>
    <w:rsid w:val="00286642"/>
    <w:rsid w:val="00296FDA"/>
    <w:rsid w:val="002B74C8"/>
    <w:rsid w:val="002C252B"/>
    <w:rsid w:val="002D32B6"/>
    <w:rsid w:val="002E02A9"/>
    <w:rsid w:val="003020D4"/>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265E"/>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207B"/>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3</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2026-05-29T13:22:00Z</dcterms:modified>
</cp:coreProperties>
</file>