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01E79E5"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E7A03">
                              <w:rPr>
                                <w:rFonts w:ascii="Verdana" w:hAnsi="Verdana"/>
                                <w:b/>
                                <w:sz w:val="22"/>
                                <w:szCs w:val="22"/>
                              </w:rPr>
                              <w:t>26-E-030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431FF">
                              <w:rPr>
                                <w:rFonts w:ascii="Verdana" w:hAnsi="Verdana"/>
                                <w:b/>
                                <w:noProof/>
                                <w:sz w:val="22"/>
                                <w:szCs w:val="22"/>
                              </w:rPr>
                              <w:t>02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01E79E5"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E7A03">
                        <w:rPr>
                          <w:rFonts w:ascii="Verdana" w:hAnsi="Verdana"/>
                          <w:b/>
                          <w:sz w:val="22"/>
                          <w:szCs w:val="22"/>
                        </w:rPr>
                        <w:t>26-E-030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431FF">
                        <w:rPr>
                          <w:rFonts w:ascii="Verdana" w:hAnsi="Verdana"/>
                          <w:b/>
                          <w:noProof/>
                          <w:sz w:val="22"/>
                          <w:szCs w:val="22"/>
                        </w:rPr>
                        <w:t>02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28A9EA8B"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5FB7C914" w:rsidR="00DC0D5A" w:rsidRPr="00A761D3" w:rsidRDefault="00A115C7" w:rsidP="00DC0D5A">
      <w:pPr>
        <w:spacing w:before="280"/>
        <w:rPr>
          <w:rFonts w:ascii="Verdana" w:hAnsi="Verdana"/>
          <w:bCs/>
          <w:sz w:val="22"/>
          <w:u w:val="single"/>
        </w:rPr>
      </w:pPr>
      <w:r w:rsidRPr="00A761D3">
        <w:rPr>
          <w:rFonts w:ascii="Verdana" w:hAnsi="Verdana"/>
          <w:bCs/>
          <w:sz w:val="22"/>
          <w:u w:val="single"/>
        </w:rPr>
        <w:t>Request and response:</w:t>
      </w:r>
    </w:p>
    <w:p w14:paraId="3BF82F84" w14:textId="45D8A33F" w:rsidR="006E7A03" w:rsidRDefault="006E7A03" w:rsidP="006E7A03">
      <w:pPr>
        <w:rPr>
          <w:rFonts w:ascii="Verdana" w:hAnsi="Verdana"/>
          <w:b/>
          <w:bCs/>
          <w:noProof/>
          <w:sz w:val="22"/>
          <w:szCs w:val="22"/>
        </w:rPr>
      </w:pPr>
      <w:r w:rsidRPr="006E7A03">
        <w:rPr>
          <w:rFonts w:ascii="Verdana" w:hAnsi="Verdana"/>
          <w:b/>
          <w:bCs/>
          <w:noProof/>
          <w:sz w:val="22"/>
          <w:szCs w:val="22"/>
        </w:rPr>
        <w:t xml:space="preserve">Q1. How many new patients were treated for any condition by the </w:t>
      </w:r>
      <w:r w:rsidR="006431FF">
        <w:rPr>
          <w:rFonts w:ascii="Verdana" w:hAnsi="Verdana"/>
          <w:b/>
          <w:bCs/>
          <w:noProof/>
          <w:sz w:val="22"/>
          <w:szCs w:val="22"/>
        </w:rPr>
        <w:t>Health Board</w:t>
      </w:r>
      <w:r w:rsidRPr="006E7A03">
        <w:rPr>
          <w:rFonts w:ascii="Verdana" w:hAnsi="Verdana"/>
          <w:b/>
          <w:bCs/>
          <w:noProof/>
          <w:sz w:val="22"/>
          <w:szCs w:val="22"/>
        </w:rPr>
        <w:t>'s Dermatology Department in the latest 3-month period of January, February and March 2026 (or the latest 3 months available) with the treatments I have provided below?</w:t>
      </w:r>
    </w:p>
    <w:p w14:paraId="2DEEF344" w14:textId="77777777" w:rsidR="006E7A03" w:rsidRPr="006E7A03" w:rsidRDefault="006E7A03" w:rsidP="006E7A03">
      <w:pPr>
        <w:rPr>
          <w:rFonts w:ascii="Verdana" w:hAnsi="Verdana"/>
          <w:b/>
          <w:bCs/>
          <w:noProof/>
          <w:sz w:val="22"/>
          <w:szCs w:val="22"/>
          <w:lang w:val="en-IN"/>
        </w:rPr>
      </w:pPr>
      <w:r w:rsidRPr="006E7A03">
        <w:rPr>
          <w:rFonts w:ascii="Verdana" w:hAnsi="Verdana"/>
          <w:b/>
          <w:bCs/>
          <w:noProof/>
          <w:sz w:val="22"/>
          <w:szCs w:val="22"/>
        </w:rPr>
        <w:t>If you are able to, could you please provide the split of new patients who received their treatment for Psoriasis.</w:t>
      </w:r>
    </w:p>
    <w:p w14:paraId="23EC1F96" w14:textId="77777777" w:rsidR="006E7A03" w:rsidRPr="006E7A03" w:rsidRDefault="006E7A03" w:rsidP="006E7A03">
      <w:pPr>
        <w:rPr>
          <w:rFonts w:ascii="Verdana" w:hAnsi="Verdana"/>
          <w:b/>
          <w:bCs/>
          <w:noProof/>
          <w:sz w:val="22"/>
          <w:szCs w:val="22"/>
          <w:lang w:val="en-IN"/>
        </w:rPr>
      </w:pPr>
      <w:r w:rsidRPr="006E7A03">
        <w:rPr>
          <w:rFonts w:ascii="Verdana" w:hAnsi="Verdana"/>
          <w:b/>
          <w:bCs/>
          <w:noProof/>
          <w:sz w:val="22"/>
          <w:szCs w:val="22"/>
        </w:rPr>
        <w:t>Please can you define a "new patient" as a patient who is receiving any of the treatments listed below for the first time. If a patient received any of the below treatments in 2024 or previous years, they can be classed as a new patient for this period.</w:t>
      </w:r>
      <w:r w:rsidRPr="006E7A03">
        <w:rPr>
          <w:rFonts w:ascii="Verdana" w:hAnsi="Verdana"/>
          <w:b/>
          <w:bCs/>
          <w:noProof/>
          <w:sz w:val="22"/>
          <w:szCs w:val="22"/>
        </w:rPr>
        <w:br/>
      </w:r>
    </w:p>
    <w:tbl>
      <w:tblPr>
        <w:tblW w:w="0" w:type="auto"/>
        <w:tblInd w:w="567" w:type="dxa"/>
        <w:tblCellMar>
          <w:left w:w="0" w:type="dxa"/>
          <w:right w:w="0" w:type="dxa"/>
        </w:tblCellMar>
        <w:tblLook w:val="04A0" w:firstRow="1" w:lastRow="0" w:firstColumn="1" w:lastColumn="0" w:noHBand="0" w:noVBand="1"/>
      </w:tblPr>
      <w:tblGrid>
        <w:gridCol w:w="4189"/>
        <w:gridCol w:w="4057"/>
        <w:gridCol w:w="1327"/>
      </w:tblGrid>
      <w:tr w:rsidR="006E7A03" w:rsidRPr="006E7A03" w14:paraId="0D556FAC" w14:textId="77777777" w:rsidTr="006E7A03">
        <w:trPr>
          <w:trHeight w:val="900"/>
        </w:trPr>
        <w:tc>
          <w:tcPr>
            <w:tcW w:w="0" w:type="auto"/>
            <w:tcMar>
              <w:top w:w="0" w:type="dxa"/>
              <w:left w:w="108" w:type="dxa"/>
              <w:bottom w:w="0" w:type="dxa"/>
              <w:right w:w="108" w:type="dxa"/>
            </w:tcMar>
            <w:hideMark/>
          </w:tcPr>
          <w:p w14:paraId="34847C82" w14:textId="77777777" w:rsidR="006E7A03" w:rsidRPr="006E7A03" w:rsidRDefault="006E7A03" w:rsidP="006E7A03">
            <w:pPr>
              <w:spacing w:before="0" w:after="0"/>
              <w:ind w:left="0" w:right="0"/>
              <w:rPr>
                <w:rFonts w:ascii="Verdana" w:hAnsi="Verdana"/>
                <w:b/>
                <w:bCs/>
                <w:noProof/>
                <w:sz w:val="22"/>
                <w:szCs w:val="22"/>
                <w:lang w:val="en-IN"/>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A957D9"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Total Dermatology Department</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09C0AC1"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Psoriasis</w:t>
            </w:r>
          </w:p>
        </w:tc>
      </w:tr>
      <w:tr w:rsidR="006E7A03" w:rsidRPr="006E7A03" w14:paraId="6317FFE8" w14:textId="77777777" w:rsidTr="006E7A03">
        <w:trPr>
          <w:trHeight w:val="285"/>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A9DFFE"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Adalimumab [Humira]</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02EA32"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DF2840"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5DAB7A0D"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C14D4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Adalimumab [All Biosimilars]</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BDBEFB"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549381"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054E837F"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763BC9"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Apremilast [Otezla]</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tcPr>
          <w:p w14:paraId="50E0598C" w14:textId="77777777" w:rsidR="006E7A03" w:rsidRPr="006E7A03" w:rsidRDefault="006E7A03" w:rsidP="006E7A03">
            <w:pPr>
              <w:spacing w:before="0" w:after="0"/>
              <w:ind w:left="0" w:right="0"/>
              <w:rPr>
                <w:rFonts w:ascii="Verdana" w:hAnsi="Verdana"/>
                <w:b/>
                <w:bCs/>
                <w:noProof/>
                <w:sz w:val="22"/>
                <w:szCs w:val="22"/>
              </w:rPr>
            </w:pP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tcPr>
          <w:p w14:paraId="49D82D4B" w14:textId="77777777" w:rsidR="006E7A03" w:rsidRPr="006E7A03" w:rsidRDefault="006E7A03" w:rsidP="006E7A03">
            <w:pPr>
              <w:spacing w:before="0" w:after="0"/>
              <w:ind w:left="0" w:right="0"/>
              <w:rPr>
                <w:rFonts w:ascii="Verdana" w:hAnsi="Verdana"/>
                <w:b/>
                <w:bCs/>
                <w:noProof/>
                <w:sz w:val="22"/>
                <w:szCs w:val="22"/>
              </w:rPr>
            </w:pPr>
          </w:p>
        </w:tc>
      </w:tr>
      <w:tr w:rsidR="006E7A03" w:rsidRPr="006E7A03" w14:paraId="56F08F3A"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74C2C"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Apremilast [Generic]</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tcPr>
          <w:p w14:paraId="08D1EDD5" w14:textId="77777777" w:rsidR="006E7A03" w:rsidRPr="006E7A03" w:rsidRDefault="006E7A03" w:rsidP="006E7A03">
            <w:pPr>
              <w:spacing w:before="0" w:after="0"/>
              <w:ind w:left="0" w:right="0"/>
              <w:rPr>
                <w:rFonts w:ascii="Verdana" w:hAnsi="Verdana"/>
                <w:b/>
                <w:bCs/>
                <w:noProof/>
                <w:sz w:val="22"/>
                <w:szCs w:val="22"/>
              </w:rPr>
            </w:pP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tcPr>
          <w:p w14:paraId="789DC08B" w14:textId="77777777" w:rsidR="006E7A03" w:rsidRPr="006E7A03" w:rsidRDefault="006E7A03" w:rsidP="006E7A03">
            <w:pPr>
              <w:spacing w:before="0" w:after="0"/>
              <w:ind w:left="0" w:right="0"/>
              <w:rPr>
                <w:rFonts w:ascii="Verdana" w:hAnsi="Verdana"/>
                <w:b/>
                <w:bCs/>
                <w:noProof/>
                <w:sz w:val="22"/>
                <w:szCs w:val="22"/>
              </w:rPr>
            </w:pPr>
          </w:p>
        </w:tc>
      </w:tr>
      <w:tr w:rsidR="006E7A03" w:rsidRPr="006E7A03" w14:paraId="412CF04E"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B3924A"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Etanercept [Enbrel]</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000224"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5EF01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1BB1E36C"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0BAD49"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Etanercept [All Biosimilars]</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03B84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C0CE29"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71BF8481"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6E68A0"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Infliximab [Remicade]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B0730E"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3AAB0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366ED947"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4B30CA"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Infliximab [All Biosimilars]</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9B8CD2"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765384"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5CA8FE9B"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9248F7"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Ustekinumab [Stelara]</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061334"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1BAC2C"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768ACF9D"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3C6C5B"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Ustekinumab [All Biosimilars]</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15B60D"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F5E62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3B292AEE"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4BA076"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Bimekizumab [Bimzelx]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57B465"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B06540"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7E23AA03"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60CEC5"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Brodalumab [Kyntheum]</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E91B07"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BED5FA"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357D8909"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3E3F42"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Certolizumab [Cimzia]</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0D9EB8"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8EC738"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6621887B"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FEE202"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Deucravacitinib [Sotyktu]</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3121FE"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F2011D"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3C9C9620"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7DB372"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Dimethyl Fumarate [Skilarence]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59F150"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8B35D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311C5A66"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38257C"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Guselkumab [Tremfya]</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02FA6A"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4D6B5B"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1CA40C18"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C4DAD1"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Ixekizumab [Taltz]</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0B3CA5"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22730A"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241EAC1E"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70B6CE"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Risankizumab [Skyrizi]</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21DE9D"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662ED0"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7B061F82"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BDCA79"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lastRenderedPageBreak/>
              <w:t>Secukinumab [Cosentyx]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0D5A0C"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447340"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25D23D3A"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F3C672"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Spesolimab [Spevigo]</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10E5F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524949"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14698583" w14:textId="77777777" w:rsidTr="006E7A03">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83AD65"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Tildrakizumab [Illumetri]</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9FAE92"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F8D75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bl>
    <w:p w14:paraId="2F33BDE5" w14:textId="27925863" w:rsidR="006E7A03" w:rsidRDefault="006E7A03" w:rsidP="006E7A03">
      <w:pPr>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r w:rsidRPr="006E7A03">
        <w:rPr>
          <w:rFonts w:ascii="Verdana" w:hAnsi="Verdana"/>
          <w:b/>
          <w:bCs/>
          <w:noProof/>
          <w:sz w:val="22"/>
          <w:szCs w:val="22"/>
        </w:rPr>
        <w:br/>
        <w:t xml:space="preserve">Q2. How many new patients were treated for any condition by the </w:t>
      </w:r>
      <w:r w:rsidR="006431FF">
        <w:rPr>
          <w:rFonts w:ascii="Verdana" w:hAnsi="Verdana"/>
          <w:b/>
          <w:bCs/>
          <w:noProof/>
          <w:sz w:val="22"/>
          <w:szCs w:val="22"/>
        </w:rPr>
        <w:t>Health Board</w:t>
      </w:r>
      <w:r w:rsidRPr="006E7A03">
        <w:rPr>
          <w:rFonts w:ascii="Verdana" w:hAnsi="Verdana"/>
          <w:b/>
          <w:bCs/>
          <w:noProof/>
          <w:sz w:val="22"/>
          <w:szCs w:val="22"/>
        </w:rPr>
        <w:t>'s Rheumatology Department in the latest 3-month period of January, February and March 2026 (or the latest 3 months available) with the treatments I have provided below?</w:t>
      </w:r>
    </w:p>
    <w:p w14:paraId="1FFE63B3" w14:textId="7D438032" w:rsidR="006E7A03" w:rsidRPr="006E7A03" w:rsidRDefault="006E7A03" w:rsidP="006E7A03">
      <w:pPr>
        <w:rPr>
          <w:rFonts w:ascii="Verdana" w:hAnsi="Verdana"/>
          <w:b/>
          <w:bCs/>
          <w:noProof/>
          <w:sz w:val="22"/>
          <w:szCs w:val="22"/>
          <w:lang w:val="en-IN"/>
        </w:rPr>
      </w:pPr>
      <w:r w:rsidRPr="006E7A03">
        <w:rPr>
          <w:rFonts w:ascii="Verdana" w:hAnsi="Verdana"/>
          <w:b/>
          <w:bCs/>
          <w:noProof/>
          <w:sz w:val="22"/>
          <w:szCs w:val="22"/>
        </w:rPr>
        <w:t>If you are able to, could you please provide the split of new patients who received their treatment for Axial Spondyloarthritis (axSpA), Rheumatoid Arthritis (RA) and Psoriatic Arthritis (PsA).</w:t>
      </w:r>
    </w:p>
    <w:tbl>
      <w:tblPr>
        <w:tblW w:w="10456" w:type="dxa"/>
        <w:tblCellMar>
          <w:left w:w="0" w:type="dxa"/>
          <w:right w:w="0" w:type="dxa"/>
        </w:tblCellMar>
        <w:tblLook w:val="04A0" w:firstRow="1" w:lastRow="0" w:firstColumn="1" w:lastColumn="0" w:noHBand="0" w:noVBand="1"/>
      </w:tblPr>
      <w:tblGrid>
        <w:gridCol w:w="2151"/>
        <w:gridCol w:w="2195"/>
        <w:gridCol w:w="2461"/>
        <w:gridCol w:w="1977"/>
        <w:gridCol w:w="1672"/>
      </w:tblGrid>
      <w:tr w:rsidR="006E7A03" w:rsidRPr="006E7A03" w14:paraId="085943CF" w14:textId="77777777" w:rsidTr="006E7A03">
        <w:trPr>
          <w:trHeight w:val="855"/>
        </w:trPr>
        <w:tc>
          <w:tcPr>
            <w:tcW w:w="2151" w:type="dxa"/>
            <w:noWrap/>
            <w:tcMar>
              <w:top w:w="0" w:type="dxa"/>
              <w:left w:w="108" w:type="dxa"/>
              <w:bottom w:w="0" w:type="dxa"/>
              <w:right w:w="108" w:type="dxa"/>
            </w:tcMar>
            <w:vAlign w:val="bottom"/>
            <w:hideMark/>
          </w:tcPr>
          <w:p w14:paraId="60BB627C" w14:textId="616AAC78" w:rsidR="006E7A03" w:rsidRPr="006E7A03" w:rsidRDefault="006E7A03" w:rsidP="006E7A03">
            <w:pPr>
              <w:spacing w:before="0" w:after="0"/>
              <w:ind w:left="0" w:right="0"/>
              <w:rPr>
                <w:rFonts w:ascii="Verdana" w:hAnsi="Verdana"/>
                <w:b/>
                <w:bCs/>
                <w:noProof/>
                <w:sz w:val="22"/>
                <w:szCs w:val="22"/>
                <w:lang w:val="en-IN"/>
              </w:rPr>
            </w:pPr>
            <w:r w:rsidRPr="006E7A03">
              <w:rPr>
                <w:rFonts w:ascii="Verdana" w:hAnsi="Verdana"/>
                <w:b/>
                <w:bCs/>
                <w:noProof/>
                <w:sz w:val="22"/>
                <w:szCs w:val="22"/>
              </w:rPr>
              <w:br/>
            </w:r>
            <w:r w:rsidRPr="006E7A03">
              <w:rPr>
                <w:rFonts w:ascii="Verdana" w:hAnsi="Verdana"/>
                <w:b/>
                <w:bCs/>
                <w:noProof/>
                <w:sz w:val="22"/>
                <w:szCs w:val="22"/>
              </w:rPr>
              <w:br/>
            </w:r>
          </w:p>
        </w:tc>
        <w:tc>
          <w:tcPr>
            <w:tcW w:w="2195"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0FBE20CB"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Total Rheumatology Department</w:t>
            </w:r>
          </w:p>
        </w:tc>
        <w:tc>
          <w:tcPr>
            <w:tcW w:w="2461"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0BFCB4E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Axial Spondyloarthritis (axSpA)</w:t>
            </w:r>
          </w:p>
        </w:tc>
        <w:tc>
          <w:tcPr>
            <w:tcW w:w="1977"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78B41139"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Rheumatoid Arthritis (RA)</w:t>
            </w:r>
          </w:p>
        </w:tc>
        <w:tc>
          <w:tcPr>
            <w:tcW w:w="1672"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2F05B0B8"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Psoriatic Arthritis (PsA)</w:t>
            </w:r>
          </w:p>
        </w:tc>
      </w:tr>
      <w:tr w:rsidR="006E7A03" w:rsidRPr="006E7A03" w14:paraId="13DD120F" w14:textId="77777777" w:rsidTr="006E7A03">
        <w:trPr>
          <w:trHeight w:val="285"/>
        </w:trPr>
        <w:tc>
          <w:tcPr>
            <w:tcW w:w="215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8B222E"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Abatacept [Orencia]</w:t>
            </w:r>
          </w:p>
        </w:tc>
        <w:tc>
          <w:tcPr>
            <w:tcW w:w="219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BAB319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single" w:sz="8" w:space="0" w:color="auto"/>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2199BFB4"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25C1411"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17A8214"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71D453B8"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0A864B"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Adalimumab [Humira]</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CEB19A"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80504A"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94FD9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D0D04F"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24C307BE"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9C9EC5"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Adalimumab [All Biosimilars]</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83DF2F"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15CC0A"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417DCA"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838646"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4DAC6115"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0CD578"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Apremilast [Otezla]</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664771"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6ACF94A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38862235"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DB21CD"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73F151A5"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153187"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Apremilast [Generic]</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19EC25"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16853B0F"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10376C6B"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4700AA"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6CB1FE2B"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D6299F"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Baricitinib [Olumiant]</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0763D9"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608E4051"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463E0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3DC5EA15"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336F54E8"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370AFF6"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Bimekizumab [Bimzelx]</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1B190E"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9CF9C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60269936"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D0919F"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6B28F58B"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192172"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Certolizumab [Cimzia]</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24F219"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68813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314C62"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4C10AF"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224E1D41"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60CBF6"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Etanercept [Enbrel]</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7D5697"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6F9780"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13EFA0"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DCBD12"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48206B5E"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C5058E"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Etanercept [All Biosimilars]</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72E23F"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5E2D35"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F9051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4473EE"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35DB34E0"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C3E34C"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lastRenderedPageBreak/>
              <w:t xml:space="preserve">Filgotinib [Jyseleca] </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F38E89"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29AFF2E4"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05D57D"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20DC1340"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45AB89E6"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8838D0"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Golimumab [Simponi]</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F84952"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21ACBF"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ED130C"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009046"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5C913196"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0D6066F"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Golimumab [All Biosimilars]</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C1ADEA"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399876"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9AD862"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6C088F"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02B8D6AF"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2826F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Guselkumab [Tremfya]</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6B21DA"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3CFE7F6A"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6AC979"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BFD0C4"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708202D9"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810A522"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Infliximab [Remicade]</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9BCD9E"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2BDCB6"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BF1727"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E7F3D5"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390ABDC7"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B4422E"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Infliximab [All Biosimilars]</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5BC897"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2AEF38"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28112E"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2809BF"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25608B30"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1F4984"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Ixekizumab [Taltz]</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543F1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046197"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3120C5B5"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4D8127"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255A5791"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3C877FF"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Risankizumab [Skyrizi]</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B03705"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4F3B9C4C"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3CE7F58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C27DA1"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514AE2F1"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DE137F"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Rituximab [MabThera]</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9E9CFF"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76F99C67"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F21D58"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435C919C"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3DA1B482"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F10627"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Rituximab [Biosimilars]</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85CE65"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1D4BFCCB"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2DB438"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7F676BDB"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1BFE85EC"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96B41E"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Sarilumab [Kevzara]</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88DB62"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44551B70"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0A738E"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7BFFB638"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37214EDE"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6460B7"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Secukinumab [Cosentyx]</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DF05E0"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F14175"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4369129A"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FB6368"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4D660C8D"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DB7C6F"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Tocilizumab [RoActemra]</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41635F"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758E246D"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185F88"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6715E10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4757A5E5"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EFC5C9B"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Tocilizumab [Biosimilars]</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7988EB"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5B865458"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5E9DEB"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07DD1412"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70249A23"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884143E"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Tofacitinib [Xeljanz]</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093E07"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9D7286"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3F72AB"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1EEADA"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4114C6E1"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3A34F7"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Upadacitinib [Rinvoq]</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0EB223"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D4AA5B"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981D08"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9E89AF"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5CCCA674"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1E8A71"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Ustekinumab [Stelara]</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B1EFB0"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3844F639"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48A6C6E4"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28FF08"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r w:rsidR="006E7A03" w:rsidRPr="006E7A03" w14:paraId="6EC94EBE" w14:textId="77777777" w:rsidTr="006E7A03">
        <w:trPr>
          <w:trHeight w:val="285"/>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21A9419"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xml:space="preserve">Ustekinumab Biosimilar </w:t>
            </w:r>
          </w:p>
        </w:tc>
        <w:tc>
          <w:tcPr>
            <w:tcW w:w="2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B04266"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2461"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44F00930"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977"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479D50E0"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c>
          <w:tcPr>
            <w:tcW w:w="16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34846D" w14:textId="77777777" w:rsidR="006E7A03" w:rsidRPr="006E7A03" w:rsidRDefault="006E7A03" w:rsidP="006E7A03">
            <w:pPr>
              <w:spacing w:before="0" w:after="0"/>
              <w:ind w:left="0" w:right="0"/>
              <w:rPr>
                <w:rFonts w:ascii="Verdana" w:hAnsi="Verdana"/>
                <w:b/>
                <w:bCs/>
                <w:noProof/>
                <w:sz w:val="22"/>
                <w:szCs w:val="22"/>
              </w:rPr>
            </w:pPr>
            <w:r w:rsidRPr="006E7A03">
              <w:rPr>
                <w:rFonts w:ascii="Verdana" w:hAnsi="Verdana"/>
                <w:b/>
                <w:bCs/>
                <w:noProof/>
                <w:sz w:val="22"/>
                <w:szCs w:val="22"/>
              </w:rPr>
              <w:t> </w:t>
            </w:r>
          </w:p>
        </w:tc>
      </w:tr>
    </w:tbl>
    <w:p w14:paraId="7BB55FE3" w14:textId="326E0965" w:rsidR="006E7A03" w:rsidRPr="00335AAE" w:rsidRDefault="006E7A03" w:rsidP="001454DB">
      <w:pPr>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7F202BA5" w14:textId="769F7E28" w:rsidR="00A115C7" w:rsidRDefault="00A115C7" w:rsidP="00A115C7">
      <w:pPr>
        <w:ind w:left="284"/>
        <w:rPr>
          <w:rFonts w:ascii="Verdana" w:hAnsi="Verdana"/>
          <w:sz w:val="22"/>
          <w:szCs w:val="22"/>
        </w:rPr>
      </w:pPr>
      <w:r w:rsidRPr="00304A21">
        <w:rPr>
          <w:rFonts w:ascii="Verdana" w:hAnsi="Verdana"/>
          <w:sz w:val="22"/>
          <w:szCs w:val="22"/>
        </w:rPr>
        <w:lastRenderedPageBreak/>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E36C8" w14:textId="77777777" w:rsidR="00954E79" w:rsidRDefault="00954E79" w:rsidP="007D6A3E">
      <w:pPr>
        <w:spacing w:before="0" w:after="0" w:line="240" w:lineRule="auto"/>
      </w:pPr>
      <w:r>
        <w:separator/>
      </w:r>
    </w:p>
  </w:endnote>
  <w:endnote w:type="continuationSeparator" w:id="0">
    <w:p w14:paraId="6E7836D0" w14:textId="77777777" w:rsidR="00954E79" w:rsidRDefault="00954E79"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082AC" w14:textId="77777777" w:rsidR="00954E79" w:rsidRDefault="00954E79" w:rsidP="007D6A3E">
      <w:pPr>
        <w:spacing w:before="0" w:after="0" w:line="240" w:lineRule="auto"/>
      </w:pPr>
      <w:r>
        <w:separator/>
      </w:r>
    </w:p>
  </w:footnote>
  <w:footnote w:type="continuationSeparator" w:id="0">
    <w:p w14:paraId="16E58885" w14:textId="77777777" w:rsidR="00954E79" w:rsidRDefault="00954E79"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pt;height:21.5pt;visibility:visible;mso-wrap-style:square" o:bullet="t">
        <v:imagedata r:id="rId1" o:title=""/>
      </v:shape>
    </w:pict>
  </w:numPicBullet>
  <w:numPicBullet w:numPicBulletId="1">
    <w:pict>
      <v:shape id="_x0000_i1026" type="#_x0000_t75" style="width:381.5pt;height:381.5pt;visibility:visible;mso-wrap-style:square" o:bullet="t">
        <v:imagedata r:id="rId2" o:title=""/>
      </v:shape>
    </w:pict>
  </w:numPicBullet>
  <w:numPicBullet w:numPicBulletId="2">
    <w:pict>
      <v:shape id="_x0000_i1027" type="#_x0000_t75" style="width:223pt;height:223pt;visibility:visible;mso-wrap-style:square" o:bullet="t">
        <v:imagedata r:id="rId3" o:title=""/>
      </v:shape>
    </w:pict>
  </w:numPicBullet>
  <w:numPicBullet w:numPicBulletId="3">
    <w:pict>
      <v:shape id="_x0000_i1028" type="#_x0000_t75" style="width:14.5pt;height:14.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E5335"/>
    <w:rsid w:val="000F6539"/>
    <w:rsid w:val="00111757"/>
    <w:rsid w:val="001276F0"/>
    <w:rsid w:val="001508FC"/>
    <w:rsid w:val="00185784"/>
    <w:rsid w:val="001B1339"/>
    <w:rsid w:val="001E2D50"/>
    <w:rsid w:val="00213076"/>
    <w:rsid w:val="002156AF"/>
    <w:rsid w:val="0023608E"/>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0E68"/>
    <w:rsid w:val="004F1E5A"/>
    <w:rsid w:val="004F4D32"/>
    <w:rsid w:val="005029F2"/>
    <w:rsid w:val="005317D4"/>
    <w:rsid w:val="00534D7A"/>
    <w:rsid w:val="00553E1D"/>
    <w:rsid w:val="0059250D"/>
    <w:rsid w:val="005925B8"/>
    <w:rsid w:val="0059485C"/>
    <w:rsid w:val="005F0E79"/>
    <w:rsid w:val="00602EE5"/>
    <w:rsid w:val="006137E4"/>
    <w:rsid w:val="00635BDA"/>
    <w:rsid w:val="006431FF"/>
    <w:rsid w:val="006564DF"/>
    <w:rsid w:val="00684641"/>
    <w:rsid w:val="006B0BCC"/>
    <w:rsid w:val="006C4048"/>
    <w:rsid w:val="006D5578"/>
    <w:rsid w:val="006E7A03"/>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4E79"/>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0B7"/>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422D8"/>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0E5335"/>
    <w:rPr>
      <w:sz w:val="16"/>
      <w:szCs w:val="16"/>
    </w:rPr>
  </w:style>
  <w:style w:type="paragraph" w:styleId="CommentText">
    <w:name w:val="annotation text"/>
    <w:basedOn w:val="Normal"/>
    <w:link w:val="CommentTextChar"/>
    <w:uiPriority w:val="99"/>
    <w:unhideWhenUsed/>
    <w:rsid w:val="000E5335"/>
    <w:pPr>
      <w:spacing w:line="240" w:lineRule="auto"/>
    </w:pPr>
    <w:rPr>
      <w:sz w:val="20"/>
      <w:szCs w:val="20"/>
    </w:rPr>
  </w:style>
  <w:style w:type="character" w:customStyle="1" w:styleId="CommentTextChar">
    <w:name w:val="Comment Text Char"/>
    <w:basedOn w:val="DefaultParagraphFont"/>
    <w:link w:val="CommentText"/>
    <w:uiPriority w:val="99"/>
    <w:rsid w:val="000E5335"/>
  </w:style>
  <w:style w:type="paragraph" w:styleId="CommentSubject">
    <w:name w:val="annotation subject"/>
    <w:basedOn w:val="CommentText"/>
    <w:next w:val="CommentText"/>
    <w:link w:val="CommentSubjectChar"/>
    <w:uiPriority w:val="99"/>
    <w:semiHidden/>
    <w:unhideWhenUsed/>
    <w:rsid w:val="000E5335"/>
    <w:rPr>
      <w:b/>
      <w:bCs/>
    </w:rPr>
  </w:style>
  <w:style w:type="character" w:customStyle="1" w:styleId="CommentSubjectChar">
    <w:name w:val="Comment Subject Char"/>
    <w:basedOn w:val="CommentTextChar"/>
    <w:link w:val="CommentSubject"/>
    <w:uiPriority w:val="99"/>
    <w:semiHidden/>
    <w:rsid w:val="000E53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77</TotalTime>
  <Pages>4</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34</cp:revision>
  <cp:lastPrinted>2019-03-26T11:11:00Z</cp:lastPrinted>
  <dcterms:created xsi:type="dcterms:W3CDTF">2021-09-13T07:38:00Z</dcterms:created>
  <dcterms:modified xsi:type="dcterms:W3CDTF">2026-06-02T09:56:00Z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a9300be6-1f37-4d7c-841a-a281f6303deb</vt:lpwstr>
  </property>
</Properties>
</file>