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3C306C7B">
                <wp:simplePos x="0" y="0"/>
                <wp:positionH relativeFrom="column">
                  <wp:posOffset>285750</wp:posOffset>
                </wp:positionH>
                <wp:positionV relativeFrom="paragraph">
                  <wp:posOffset>-3810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3F7186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F30CA">
                              <w:rPr>
                                <w:rFonts w:ascii="Verdana" w:hAnsi="Verdana"/>
                                <w:b/>
                                <w:sz w:val="22"/>
                                <w:szCs w:val="22"/>
                              </w:rPr>
                              <w:t>26-E-033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F30CA">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3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" filled="f" stroked="f">
                <v:textbox>
                  <w:txbxContent>
                    <w:p w14:paraId="6B840BE9" w14:textId="43F7186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9F30CA">
                        <w:rPr>
                          <w:rFonts w:ascii="Verdana" w:hAnsi="Verdana"/>
                          <w:b/>
                          <w:sz w:val="22"/>
                          <w:szCs w:val="22"/>
                        </w:rPr>
                        <w:t>26-E-033</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F30CA">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2A872263"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r w:rsidR="00DE78C5">
        <w:rPr>
          <w:rFonts w:ascii="Verdana" w:hAnsi="Verdana"/>
          <w:sz w:val="22"/>
        </w:rPr>
        <w:t xml:space="preserve"> for January-March 2026</w:t>
      </w:r>
      <w:r>
        <w:rPr>
          <w:rFonts w:ascii="Verdana" w:hAnsi="Verdana"/>
          <w:sz w:val="22"/>
        </w:rPr>
        <w:t>.</w:t>
      </w:r>
    </w:p>
    <w:p w14:paraId="635CAE49" w14:textId="493CC47B" w:rsidR="00DC0D5A"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CCFBE4E" w14:textId="77777777" w:rsidR="00E30250" w:rsidRPr="00A761D3" w:rsidRDefault="00E30250" w:rsidP="00DC0D5A">
      <w:pPr>
        <w:spacing w:before="280"/>
        <w:rPr>
          <w:rFonts w:ascii="Verdana" w:hAnsi="Verdana"/>
          <w:bCs/>
          <w:sz w:val="22"/>
          <w:u w:val="single"/>
        </w:rPr>
      </w:pPr>
    </w:p>
    <w:p w14:paraId="7A37A47D"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I would be grateful if you could answer the questions below in relation to the number of patients treated with specific medicines between the start of January 2026 to the end of March 2026, or the latest three-month period for which data is available. Please include data for all hospitals in the Health Board.  </w:t>
      </w:r>
    </w:p>
    <w:p w14:paraId="43AE4FEA"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w:t>
      </w:r>
    </w:p>
    <w:p w14:paraId="113C8B45"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Q1. How many patients were treated with the following medicines, in the 3 months between the start of January 2026 and end of March 2026, or latest 3-month period available?</w:t>
      </w:r>
    </w:p>
    <w:tbl>
      <w:tblPr>
        <w:tblStyle w:val="GridTable4-Accent2"/>
        <w:tblW w:w="0" w:type="auto"/>
        <w:tblInd w:w="562" w:type="dxa"/>
        <w:tblLook w:val="04A0" w:firstRow="1" w:lastRow="0" w:firstColumn="1" w:lastColumn="0" w:noHBand="0" w:noVBand="1"/>
      </w:tblPr>
      <w:tblGrid>
        <w:gridCol w:w="5757"/>
        <w:gridCol w:w="3496"/>
      </w:tblGrid>
      <w:tr w:rsidR="00DE78C5" w:rsidRPr="00DE78C5" w14:paraId="2A22D859" w14:textId="77777777" w:rsidTr="00DE78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757" w:type="dxa"/>
            <w:hideMark/>
          </w:tcPr>
          <w:p w14:paraId="5AB77F93"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Name of monotherapy or combination </w:t>
            </w:r>
          </w:p>
        </w:tc>
        <w:tc>
          <w:tcPr>
            <w:tcW w:w="3496" w:type="dxa"/>
            <w:hideMark/>
          </w:tcPr>
          <w:p w14:paraId="1B9B268E" w14:textId="0D27F64C" w:rsidR="00DE78C5" w:rsidRPr="00DE78C5" w:rsidRDefault="00DE78C5" w:rsidP="00DE78C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Number patients treated</w:t>
            </w:r>
          </w:p>
        </w:tc>
      </w:tr>
      <w:tr w:rsidR="00DE78C5" w:rsidRPr="00DE78C5" w14:paraId="77CB8408" w14:textId="77777777" w:rsidTr="00DE78C5">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5757" w:type="dxa"/>
            <w:hideMark/>
          </w:tcPr>
          <w:p w14:paraId="15D2A21B"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1.1 Glofitamab monotherapy</w:t>
            </w:r>
          </w:p>
        </w:tc>
        <w:tc>
          <w:tcPr>
            <w:tcW w:w="3496" w:type="dxa"/>
            <w:hideMark/>
          </w:tcPr>
          <w:p w14:paraId="6EEF9246" w14:textId="1812FDC5"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&lt;5*</w:t>
            </w:r>
          </w:p>
        </w:tc>
      </w:tr>
      <w:tr w:rsidR="00DE78C5" w:rsidRPr="00DE78C5" w14:paraId="79BA9056"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5757" w:type="dxa"/>
            <w:hideMark/>
          </w:tcPr>
          <w:p w14:paraId="559529CE"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1.2 Glofitamab + Gemcitabine + Oxaliplatin</w:t>
            </w:r>
          </w:p>
        </w:tc>
        <w:tc>
          <w:tcPr>
            <w:tcW w:w="3496" w:type="dxa"/>
            <w:hideMark/>
          </w:tcPr>
          <w:p w14:paraId="619DB1CB" w14:textId="5120687F"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bl>
    <w:p w14:paraId="05401A0C"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w:t>
      </w:r>
    </w:p>
    <w:p w14:paraId="0733F9EE"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Q2. How many patients were treated in total, regardless of diagnosis, with the following medicines in the 3 months between the start of January 2026 and end of March 2026, or latest 3-month period available? </w:t>
      </w:r>
    </w:p>
    <w:tbl>
      <w:tblPr>
        <w:tblStyle w:val="GridTable4-Accent2"/>
        <w:tblW w:w="7684" w:type="dxa"/>
        <w:tblInd w:w="562" w:type="dxa"/>
        <w:tblLook w:val="04A0" w:firstRow="1" w:lastRow="0" w:firstColumn="1" w:lastColumn="0" w:noHBand="0" w:noVBand="1"/>
      </w:tblPr>
      <w:tblGrid>
        <w:gridCol w:w="4188"/>
        <w:gridCol w:w="3496"/>
      </w:tblGrid>
      <w:tr w:rsidR="00DE78C5" w:rsidRPr="00DE78C5" w14:paraId="69A79434" w14:textId="77777777" w:rsidTr="00DE78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8" w:type="dxa"/>
            <w:hideMark/>
          </w:tcPr>
          <w:p w14:paraId="7007E272"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 Name of medicine </w:t>
            </w:r>
          </w:p>
        </w:tc>
        <w:tc>
          <w:tcPr>
            <w:tcW w:w="3496" w:type="dxa"/>
            <w:hideMark/>
          </w:tcPr>
          <w:p w14:paraId="4EB3FAC1" w14:textId="6355B464" w:rsidR="00DE78C5" w:rsidRPr="00DE78C5" w:rsidRDefault="00DE78C5" w:rsidP="00DE78C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Number patients treated</w:t>
            </w:r>
          </w:p>
        </w:tc>
      </w:tr>
      <w:tr w:rsidR="00DE78C5" w:rsidRPr="00DE78C5" w14:paraId="5D607873"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5CED83C7"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2.1 Acalabrutinib (Calquence) </w:t>
            </w:r>
          </w:p>
        </w:tc>
        <w:tc>
          <w:tcPr>
            <w:tcW w:w="3496" w:type="dxa"/>
            <w:hideMark/>
          </w:tcPr>
          <w:p w14:paraId="5E5E293A" w14:textId="281AD0E5"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18</w:t>
            </w:r>
          </w:p>
        </w:tc>
      </w:tr>
      <w:tr w:rsidR="00DE78C5" w:rsidRPr="00DE78C5" w14:paraId="665652FC"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58F9C092"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2.2 Ibrutinib (Imbruvica) </w:t>
            </w:r>
          </w:p>
        </w:tc>
        <w:tc>
          <w:tcPr>
            <w:tcW w:w="3496" w:type="dxa"/>
            <w:hideMark/>
          </w:tcPr>
          <w:p w14:paraId="21842A45" w14:textId="27CC9B30"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27</w:t>
            </w:r>
          </w:p>
        </w:tc>
      </w:tr>
      <w:tr w:rsidR="00DE78C5" w:rsidRPr="00DE78C5" w14:paraId="77B939D7"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18BA856F"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2.3 Pirtobrutinib (Jaypirca) </w:t>
            </w:r>
          </w:p>
        </w:tc>
        <w:tc>
          <w:tcPr>
            <w:tcW w:w="3496" w:type="dxa"/>
            <w:hideMark/>
          </w:tcPr>
          <w:p w14:paraId="2CACAEC3" w14:textId="76CA73AA"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073013D8"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17ECE67E"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2.4 Venetoclax (Venclyxto) </w:t>
            </w:r>
          </w:p>
        </w:tc>
        <w:tc>
          <w:tcPr>
            <w:tcW w:w="3496" w:type="dxa"/>
            <w:hideMark/>
          </w:tcPr>
          <w:p w14:paraId="6FF78ED9" w14:textId="5BBA829F"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25</w:t>
            </w:r>
          </w:p>
        </w:tc>
      </w:tr>
      <w:tr w:rsidR="00DE78C5" w:rsidRPr="00DE78C5" w14:paraId="1E168CE7"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5A76066E"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2.5 Zanubrutinib (Brukinsa) </w:t>
            </w:r>
          </w:p>
        </w:tc>
        <w:tc>
          <w:tcPr>
            <w:tcW w:w="3496" w:type="dxa"/>
            <w:hideMark/>
          </w:tcPr>
          <w:p w14:paraId="75502133" w14:textId="1D31FC95"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9</w:t>
            </w:r>
          </w:p>
        </w:tc>
      </w:tr>
      <w:tr w:rsidR="00DE78C5" w:rsidRPr="00DE78C5" w14:paraId="396304FD"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622838A2"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lastRenderedPageBreak/>
              <w:t>2.6 Rituximab </w:t>
            </w:r>
          </w:p>
        </w:tc>
        <w:tc>
          <w:tcPr>
            <w:tcW w:w="3496" w:type="dxa"/>
            <w:hideMark/>
          </w:tcPr>
          <w:p w14:paraId="0580CDC7" w14:textId="21B3AC68"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68</w:t>
            </w:r>
          </w:p>
        </w:tc>
      </w:tr>
      <w:tr w:rsidR="00DE78C5" w:rsidRPr="00DE78C5" w14:paraId="27ED6429"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26C33282"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2.7 Obinutuzumab (Gazyvaro) </w:t>
            </w:r>
          </w:p>
        </w:tc>
        <w:tc>
          <w:tcPr>
            <w:tcW w:w="3496" w:type="dxa"/>
            <w:hideMark/>
          </w:tcPr>
          <w:p w14:paraId="16431E48" w14:textId="04E9E82D"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25</w:t>
            </w:r>
          </w:p>
        </w:tc>
      </w:tr>
    </w:tbl>
    <w:p w14:paraId="59282E9E"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w:t>
      </w:r>
    </w:p>
    <w:p w14:paraId="7591464D"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xml:space="preserve">Q3. How many patients with </w:t>
      </w:r>
      <w:r w:rsidRPr="00DE78C5">
        <w:rPr>
          <w:rFonts w:ascii="Verdana" w:hAnsi="Verdana"/>
          <w:b/>
          <w:bCs/>
          <w:noProof/>
          <w:sz w:val="22"/>
          <w:szCs w:val="22"/>
          <w:u w:val="single"/>
        </w:rPr>
        <w:t>Chronic Lymphocytic Leukaemia</w:t>
      </w:r>
      <w:r w:rsidRPr="00DE78C5">
        <w:rPr>
          <w:rFonts w:ascii="Verdana" w:hAnsi="Verdana"/>
          <w:b/>
          <w:bCs/>
          <w:noProof/>
          <w:sz w:val="22"/>
          <w:szCs w:val="22"/>
        </w:rPr>
        <w:t xml:space="preserve"> OR </w:t>
      </w:r>
      <w:r w:rsidRPr="00DE78C5">
        <w:rPr>
          <w:rFonts w:ascii="Verdana" w:hAnsi="Verdana"/>
          <w:b/>
          <w:bCs/>
          <w:noProof/>
          <w:sz w:val="22"/>
          <w:szCs w:val="22"/>
          <w:u w:val="single"/>
        </w:rPr>
        <w:t>Small B-Cell Lymphoma</w:t>
      </w:r>
      <w:r w:rsidRPr="00DE78C5">
        <w:rPr>
          <w:rFonts w:ascii="Verdana" w:hAnsi="Verdana"/>
          <w:b/>
          <w:bCs/>
          <w:noProof/>
          <w:sz w:val="22"/>
          <w:szCs w:val="22"/>
        </w:rPr>
        <w:t> – ICD10 codes = C911, C91.1 OR C830, C83.0 - were treated with the following medicines in the 3 months between the start of January 2026 and end of March 2026, or latest 3-month period available? </w:t>
      </w:r>
    </w:p>
    <w:tbl>
      <w:tblPr>
        <w:tblStyle w:val="GridTable4-Accent2"/>
        <w:tblW w:w="7684" w:type="dxa"/>
        <w:tblInd w:w="562" w:type="dxa"/>
        <w:tblLook w:val="04A0" w:firstRow="1" w:lastRow="0" w:firstColumn="1" w:lastColumn="0" w:noHBand="0" w:noVBand="1"/>
      </w:tblPr>
      <w:tblGrid>
        <w:gridCol w:w="4188"/>
        <w:gridCol w:w="3496"/>
      </w:tblGrid>
      <w:tr w:rsidR="00DE78C5" w:rsidRPr="00DE78C5" w14:paraId="19F70E0A" w14:textId="77777777" w:rsidTr="00DE78C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88" w:type="dxa"/>
            <w:hideMark/>
          </w:tcPr>
          <w:p w14:paraId="6142EF2F"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 Name of medicine </w:t>
            </w:r>
          </w:p>
        </w:tc>
        <w:tc>
          <w:tcPr>
            <w:tcW w:w="3496" w:type="dxa"/>
            <w:hideMark/>
          </w:tcPr>
          <w:p w14:paraId="7E36DE32" w14:textId="23147CBD" w:rsidR="00DE78C5" w:rsidRPr="00DE78C5" w:rsidRDefault="00DE78C5" w:rsidP="00DE78C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Number patients treated</w:t>
            </w:r>
          </w:p>
        </w:tc>
      </w:tr>
      <w:tr w:rsidR="00DE78C5" w:rsidRPr="00DE78C5" w14:paraId="198C6DAF"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35E2626F"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3.1 Acalabrutinib (Calquence) </w:t>
            </w:r>
          </w:p>
        </w:tc>
        <w:tc>
          <w:tcPr>
            <w:tcW w:w="3496" w:type="dxa"/>
            <w:hideMark/>
          </w:tcPr>
          <w:p w14:paraId="65556EE7" w14:textId="03770782"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19</w:t>
            </w:r>
          </w:p>
        </w:tc>
      </w:tr>
      <w:tr w:rsidR="00DE78C5" w:rsidRPr="00DE78C5" w14:paraId="3EC220B6"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3B589D47"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3.2 Ibrutinib (Imbruvica) </w:t>
            </w:r>
          </w:p>
        </w:tc>
        <w:tc>
          <w:tcPr>
            <w:tcW w:w="3496" w:type="dxa"/>
            <w:hideMark/>
          </w:tcPr>
          <w:p w14:paraId="1744A030" w14:textId="0867AD91"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21</w:t>
            </w:r>
          </w:p>
        </w:tc>
      </w:tr>
      <w:tr w:rsidR="00DE78C5" w:rsidRPr="00DE78C5" w14:paraId="0A0C95A3"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386DC6B3"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3.3 Pirtobrutinib (Jaypirca) </w:t>
            </w:r>
          </w:p>
        </w:tc>
        <w:tc>
          <w:tcPr>
            <w:tcW w:w="3496" w:type="dxa"/>
            <w:hideMark/>
          </w:tcPr>
          <w:p w14:paraId="70445F65" w14:textId="7BDF0E02"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7AC8F2FC"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1FD55014"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3.4 Venetoclax (Venclyxto) </w:t>
            </w:r>
          </w:p>
        </w:tc>
        <w:tc>
          <w:tcPr>
            <w:tcW w:w="3496" w:type="dxa"/>
            <w:hideMark/>
          </w:tcPr>
          <w:p w14:paraId="72A338DA" w14:textId="69C90468"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313C4B0E"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0A1EAE0D"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3.5 Zanubrutinib (Brukinsa) </w:t>
            </w:r>
          </w:p>
        </w:tc>
        <w:tc>
          <w:tcPr>
            <w:tcW w:w="3496" w:type="dxa"/>
            <w:hideMark/>
          </w:tcPr>
          <w:p w14:paraId="098E4010" w14:textId="216A4909"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6D6901DF" w14:textId="77777777" w:rsidTr="00DE78C5">
        <w:trPr>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71181620"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3.6 Obinutuzumab (Gazyvaro) </w:t>
            </w:r>
          </w:p>
        </w:tc>
        <w:tc>
          <w:tcPr>
            <w:tcW w:w="3496" w:type="dxa"/>
            <w:hideMark/>
          </w:tcPr>
          <w:p w14:paraId="0F774399" w14:textId="356BE41F"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72CC5B0A" w14:textId="77777777" w:rsidTr="00DE78C5">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4188" w:type="dxa"/>
            <w:hideMark/>
          </w:tcPr>
          <w:p w14:paraId="7079B82D"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3.7 Rituximab </w:t>
            </w:r>
          </w:p>
        </w:tc>
        <w:tc>
          <w:tcPr>
            <w:tcW w:w="3496" w:type="dxa"/>
            <w:hideMark/>
          </w:tcPr>
          <w:p w14:paraId="5372B666" w14:textId="6D64B9E0"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0</w:t>
            </w:r>
          </w:p>
        </w:tc>
      </w:tr>
    </w:tbl>
    <w:p w14:paraId="24CD95BB" w14:textId="77777777" w:rsidR="00DE78C5" w:rsidRPr="00DE78C5" w:rsidRDefault="00DE78C5" w:rsidP="00DE78C5">
      <w:pPr>
        <w:rPr>
          <w:rFonts w:ascii="Verdana" w:hAnsi="Verdana"/>
          <w:b/>
          <w:bCs/>
          <w:noProof/>
          <w:sz w:val="22"/>
          <w:szCs w:val="22"/>
        </w:rPr>
      </w:pPr>
    </w:p>
    <w:p w14:paraId="7DF5ED96"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xml:space="preserve">Q4. How many patients with </w:t>
      </w:r>
      <w:r w:rsidRPr="00DE78C5">
        <w:rPr>
          <w:rFonts w:ascii="Verdana" w:hAnsi="Verdana"/>
          <w:b/>
          <w:bCs/>
          <w:noProof/>
          <w:sz w:val="22"/>
          <w:szCs w:val="22"/>
          <w:u w:val="single"/>
        </w:rPr>
        <w:t>Chronic Lymphocytic Leukaemia</w:t>
      </w:r>
      <w:r w:rsidRPr="00DE78C5">
        <w:rPr>
          <w:rFonts w:ascii="Verdana" w:hAnsi="Verdana"/>
          <w:b/>
          <w:bCs/>
          <w:noProof/>
          <w:sz w:val="22"/>
          <w:szCs w:val="22"/>
        </w:rPr>
        <w:t xml:space="preserve"> OR </w:t>
      </w:r>
      <w:r w:rsidRPr="00DE78C5">
        <w:rPr>
          <w:rFonts w:ascii="Verdana" w:hAnsi="Verdana"/>
          <w:b/>
          <w:bCs/>
          <w:noProof/>
          <w:sz w:val="22"/>
          <w:szCs w:val="22"/>
          <w:u w:val="single"/>
        </w:rPr>
        <w:t>Small B-Cell Lymphoma</w:t>
      </w:r>
      <w:r w:rsidRPr="00DE78C5">
        <w:rPr>
          <w:rFonts w:ascii="Verdana" w:hAnsi="Verdana"/>
          <w:b/>
          <w:bCs/>
          <w:noProof/>
          <w:sz w:val="22"/>
          <w:szCs w:val="22"/>
        </w:rPr>
        <w:t> were treated with the following medicines as monotherapy, or in combination, in the 3 months between the start of January 2026 and end of March 2026, or latest 3-month period available? </w:t>
      </w:r>
    </w:p>
    <w:tbl>
      <w:tblPr>
        <w:tblStyle w:val="GridTable4-Accent2"/>
        <w:tblW w:w="9498" w:type="dxa"/>
        <w:tblInd w:w="562" w:type="dxa"/>
        <w:tblLook w:val="04A0" w:firstRow="1" w:lastRow="0" w:firstColumn="1" w:lastColumn="0" w:noHBand="0" w:noVBand="1"/>
      </w:tblPr>
      <w:tblGrid>
        <w:gridCol w:w="6638"/>
        <w:gridCol w:w="2860"/>
      </w:tblGrid>
      <w:tr w:rsidR="00DE78C5" w:rsidRPr="00DE78C5" w14:paraId="37F00FAA" w14:textId="77777777" w:rsidTr="00E302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38" w:type="dxa"/>
            <w:hideMark/>
          </w:tcPr>
          <w:p w14:paraId="5EA89EB5"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 Name of monotherapy or combination </w:t>
            </w:r>
          </w:p>
        </w:tc>
        <w:tc>
          <w:tcPr>
            <w:tcW w:w="2860" w:type="dxa"/>
            <w:hideMark/>
          </w:tcPr>
          <w:p w14:paraId="1B7D7B4E" w14:textId="162B3181" w:rsidR="00DE78C5" w:rsidRPr="00DE78C5" w:rsidRDefault="00DE78C5" w:rsidP="00DE78C5">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Number patients treated</w:t>
            </w:r>
          </w:p>
        </w:tc>
      </w:tr>
      <w:tr w:rsidR="00DE78C5" w:rsidRPr="00DE78C5" w14:paraId="0E820504"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0F95CCAB"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4.1 Ibrutinib + Venetoclax </w:t>
            </w:r>
          </w:p>
        </w:tc>
        <w:tc>
          <w:tcPr>
            <w:tcW w:w="2860" w:type="dxa"/>
            <w:hideMark/>
          </w:tcPr>
          <w:p w14:paraId="337AF126" w14:textId="655DB940"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213A7CDB"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2D073100"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4.2 Obinutuzumab + Venetoclax </w:t>
            </w:r>
          </w:p>
        </w:tc>
        <w:tc>
          <w:tcPr>
            <w:tcW w:w="2860" w:type="dxa"/>
            <w:hideMark/>
          </w:tcPr>
          <w:p w14:paraId="0D1607EB" w14:textId="1AA65E4D"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31D8ECCC"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5BD49B69"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4.3 Ibrutinib monotherapy / maintenance </w:t>
            </w:r>
          </w:p>
        </w:tc>
        <w:tc>
          <w:tcPr>
            <w:tcW w:w="2860" w:type="dxa"/>
            <w:hideMark/>
          </w:tcPr>
          <w:p w14:paraId="6A9D5BD5" w14:textId="1216ED52"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19</w:t>
            </w:r>
          </w:p>
        </w:tc>
      </w:tr>
      <w:tr w:rsidR="00DE78C5" w:rsidRPr="00DE78C5" w14:paraId="70D00972"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6A010F98"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4.4 Venetoclax monotherapy </w:t>
            </w:r>
          </w:p>
        </w:tc>
        <w:tc>
          <w:tcPr>
            <w:tcW w:w="2860" w:type="dxa"/>
            <w:hideMark/>
          </w:tcPr>
          <w:p w14:paraId="7923E333" w14:textId="6E1CC327"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728B834B"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7807463C"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4.5 Venetoclax + Rituximab </w:t>
            </w:r>
          </w:p>
        </w:tc>
        <w:tc>
          <w:tcPr>
            <w:tcW w:w="2860" w:type="dxa"/>
            <w:hideMark/>
          </w:tcPr>
          <w:p w14:paraId="0895B69E" w14:textId="149B12E5"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0</w:t>
            </w:r>
          </w:p>
        </w:tc>
      </w:tr>
      <w:tr w:rsidR="00DE78C5" w:rsidRPr="00DE78C5" w14:paraId="059DF01C"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6D38C16A"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4.6 Rituximab monotherapy  </w:t>
            </w:r>
          </w:p>
        </w:tc>
        <w:tc>
          <w:tcPr>
            <w:tcW w:w="2860" w:type="dxa"/>
            <w:hideMark/>
          </w:tcPr>
          <w:p w14:paraId="633F11E2" w14:textId="6A1126F2"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4796886F"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17110FF5"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4.7 Rituximab + Fludarabine + Cyclophosphamide </w:t>
            </w:r>
          </w:p>
        </w:tc>
        <w:tc>
          <w:tcPr>
            <w:tcW w:w="2860" w:type="dxa"/>
            <w:hideMark/>
          </w:tcPr>
          <w:p w14:paraId="372CAA85" w14:textId="15FB816D"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2463979C"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74FCD52D"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4.8 Rituximab + R-CHOP</w:t>
            </w:r>
          </w:p>
        </w:tc>
        <w:tc>
          <w:tcPr>
            <w:tcW w:w="2860" w:type="dxa"/>
            <w:hideMark/>
          </w:tcPr>
          <w:p w14:paraId="4B29F9DE" w14:textId="1C30A632"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0</w:t>
            </w:r>
          </w:p>
        </w:tc>
      </w:tr>
      <w:tr w:rsidR="00DE78C5" w:rsidRPr="00DE78C5" w14:paraId="38A5480B"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1BBC0CF9"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4.9 Rituximab + Bendamustine</w:t>
            </w:r>
          </w:p>
        </w:tc>
        <w:tc>
          <w:tcPr>
            <w:tcW w:w="2860" w:type="dxa"/>
            <w:hideMark/>
          </w:tcPr>
          <w:p w14:paraId="78C50031" w14:textId="11649F30"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0</w:t>
            </w:r>
          </w:p>
        </w:tc>
      </w:tr>
      <w:tr w:rsidR="00DE78C5" w:rsidRPr="00DE78C5" w14:paraId="011EFD54"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37C9ABBB"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lastRenderedPageBreak/>
              <w:t>4.10 Rituximab + Chlorambucil</w:t>
            </w:r>
          </w:p>
        </w:tc>
        <w:tc>
          <w:tcPr>
            <w:tcW w:w="2860" w:type="dxa"/>
            <w:hideMark/>
          </w:tcPr>
          <w:p w14:paraId="5109D436" w14:textId="5C3BB1CD"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sidRPr="00DE78C5">
              <w:rPr>
                <w:rFonts w:ascii="Verdana" w:hAnsi="Verdana"/>
                <w:sz w:val="22"/>
                <w:szCs w:val="22"/>
              </w:rPr>
              <w:t>0</w:t>
            </w:r>
          </w:p>
        </w:tc>
      </w:tr>
      <w:tr w:rsidR="00DE78C5" w:rsidRPr="00DE78C5" w14:paraId="1A2E5827"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1CE92D99"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4.11 Obinutuzumab + Chlorambucil</w:t>
            </w:r>
          </w:p>
        </w:tc>
        <w:tc>
          <w:tcPr>
            <w:tcW w:w="2860" w:type="dxa"/>
            <w:hideMark/>
          </w:tcPr>
          <w:p w14:paraId="31475FAE" w14:textId="7920FC9B"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2D0C6558"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7EF87DA5"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4.12 Acalabrutinib + Venetoclax</w:t>
            </w:r>
          </w:p>
        </w:tc>
        <w:tc>
          <w:tcPr>
            <w:tcW w:w="2860" w:type="dxa"/>
            <w:hideMark/>
          </w:tcPr>
          <w:p w14:paraId="7B3EA351" w14:textId="0187BF2C" w:rsidR="00DE78C5" w:rsidRPr="00DE78C5" w:rsidRDefault="00DE78C5" w:rsidP="00DE78C5">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r w:rsidR="00DE78C5" w:rsidRPr="00DE78C5" w14:paraId="56F2014F"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38" w:type="dxa"/>
            <w:hideMark/>
          </w:tcPr>
          <w:p w14:paraId="4F98B1D1" w14:textId="77777777" w:rsidR="00DE78C5" w:rsidRPr="00DE78C5" w:rsidRDefault="00DE78C5" w:rsidP="00DE78C5">
            <w:pPr>
              <w:spacing w:before="0" w:after="0"/>
              <w:ind w:left="0" w:right="0"/>
              <w:rPr>
                <w:rFonts w:ascii="Verdana" w:hAnsi="Verdana"/>
                <w:noProof/>
                <w:sz w:val="22"/>
                <w:szCs w:val="22"/>
              </w:rPr>
            </w:pPr>
            <w:r w:rsidRPr="00DE78C5">
              <w:rPr>
                <w:rFonts w:ascii="Verdana" w:hAnsi="Verdana"/>
                <w:noProof/>
                <w:sz w:val="22"/>
                <w:szCs w:val="22"/>
              </w:rPr>
              <w:t>4.13 Acalabrutinib + Venetoclax + Obinutuzumab</w:t>
            </w:r>
          </w:p>
        </w:tc>
        <w:tc>
          <w:tcPr>
            <w:tcW w:w="2860" w:type="dxa"/>
            <w:hideMark/>
          </w:tcPr>
          <w:p w14:paraId="51196985" w14:textId="4FBDAE03" w:rsidR="00DE78C5" w:rsidRPr="00DE78C5" w:rsidRDefault="00DE78C5" w:rsidP="00DE78C5">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bl>
    <w:p w14:paraId="1D29266B"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w:t>
      </w:r>
    </w:p>
    <w:p w14:paraId="4EB38DDE" w14:textId="77777777" w:rsidR="00DE78C5" w:rsidRPr="00DE78C5" w:rsidRDefault="00DE78C5" w:rsidP="00DE78C5">
      <w:pPr>
        <w:rPr>
          <w:rFonts w:ascii="Verdana" w:hAnsi="Verdana"/>
          <w:b/>
          <w:bCs/>
          <w:noProof/>
          <w:sz w:val="22"/>
          <w:szCs w:val="22"/>
        </w:rPr>
      </w:pPr>
      <w:r w:rsidRPr="00DE78C5">
        <w:rPr>
          <w:rFonts w:ascii="Verdana" w:hAnsi="Verdana"/>
          <w:b/>
          <w:bCs/>
          <w:noProof/>
          <w:sz w:val="22"/>
          <w:szCs w:val="22"/>
        </w:rPr>
        <w:t xml:space="preserve"> Q5. How many patients with </w:t>
      </w:r>
      <w:r w:rsidRPr="00DE78C5">
        <w:rPr>
          <w:rFonts w:ascii="Verdana" w:hAnsi="Verdana"/>
          <w:b/>
          <w:bCs/>
          <w:noProof/>
          <w:sz w:val="22"/>
          <w:szCs w:val="22"/>
          <w:u w:val="single"/>
        </w:rPr>
        <w:t>Mantle Cell Lymphoma</w:t>
      </w:r>
      <w:r w:rsidRPr="00DE78C5">
        <w:rPr>
          <w:rFonts w:ascii="Verdana" w:hAnsi="Verdana"/>
          <w:b/>
          <w:bCs/>
          <w:noProof/>
          <w:sz w:val="22"/>
          <w:szCs w:val="22"/>
        </w:rPr>
        <w:t> (ICD-10 code = C83.1) were treated with the following medicines, in the 3 months between the start of January 2026 and end of March 2026, or latest 3-month period available? </w:t>
      </w:r>
    </w:p>
    <w:tbl>
      <w:tblPr>
        <w:tblStyle w:val="GridTable4-Accent2"/>
        <w:tblW w:w="0" w:type="auto"/>
        <w:tblInd w:w="562" w:type="dxa"/>
        <w:tblLook w:val="04A0" w:firstRow="1" w:lastRow="0" w:firstColumn="1" w:lastColumn="0" w:noHBand="0" w:noVBand="1"/>
      </w:tblPr>
      <w:tblGrid>
        <w:gridCol w:w="5142"/>
        <w:gridCol w:w="3496"/>
      </w:tblGrid>
      <w:tr w:rsidR="00DE78C5" w:rsidRPr="00DE78C5" w14:paraId="24B99AB4" w14:textId="77777777" w:rsidTr="00E302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142" w:type="dxa"/>
            <w:hideMark/>
          </w:tcPr>
          <w:p w14:paraId="595663ED"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Name of monotherapy or combination </w:t>
            </w:r>
          </w:p>
        </w:tc>
        <w:tc>
          <w:tcPr>
            <w:tcW w:w="3496" w:type="dxa"/>
            <w:hideMark/>
          </w:tcPr>
          <w:p w14:paraId="722230DE" w14:textId="21EF7A0F" w:rsidR="00DE78C5" w:rsidRPr="00DE78C5" w:rsidRDefault="00DE78C5" w:rsidP="00E30250">
            <w:pPr>
              <w:spacing w:before="0" w:after="0"/>
              <w:ind w:left="0" w:right="0"/>
              <w:jc w:val="center"/>
              <w:cnfStyle w:val="100000000000" w:firstRow="1"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Number patients treated</w:t>
            </w:r>
          </w:p>
        </w:tc>
      </w:tr>
      <w:tr w:rsidR="00DE78C5" w:rsidRPr="00DE78C5" w14:paraId="494D6F0B"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142" w:type="dxa"/>
            <w:hideMark/>
          </w:tcPr>
          <w:p w14:paraId="7F70AE26"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5.1 Acalabrutinib </w:t>
            </w:r>
          </w:p>
        </w:tc>
        <w:tc>
          <w:tcPr>
            <w:tcW w:w="3496" w:type="dxa"/>
            <w:hideMark/>
          </w:tcPr>
          <w:p w14:paraId="48499106" w14:textId="5AD85E41" w:rsidR="00DE78C5" w:rsidRPr="00DE78C5" w:rsidRDefault="00DE78C5" w:rsidP="00E3025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r w:rsidR="00DE78C5" w:rsidRPr="00DE78C5" w14:paraId="6D7E09BE"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5142" w:type="dxa"/>
            <w:hideMark/>
          </w:tcPr>
          <w:p w14:paraId="3AA9C6FF"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5.2 Ibrutinib </w:t>
            </w:r>
          </w:p>
        </w:tc>
        <w:tc>
          <w:tcPr>
            <w:tcW w:w="3496" w:type="dxa"/>
            <w:hideMark/>
          </w:tcPr>
          <w:p w14:paraId="3207BA2C" w14:textId="7B2A437F" w:rsidR="00DE78C5" w:rsidRPr="00DE78C5" w:rsidRDefault="00DE78C5" w:rsidP="00E3025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b/>
                <w:bCs/>
                <w:noProof/>
                <w:sz w:val="22"/>
                <w:szCs w:val="22"/>
              </w:rPr>
            </w:pPr>
            <w:r>
              <w:rPr>
                <w:rFonts w:ascii="Verdana" w:hAnsi="Verdana"/>
                <w:sz w:val="22"/>
                <w:szCs w:val="22"/>
              </w:rPr>
              <w:t>&lt;5*</w:t>
            </w:r>
          </w:p>
        </w:tc>
      </w:tr>
      <w:tr w:rsidR="00DE78C5" w:rsidRPr="00DE78C5" w14:paraId="5D883300"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142" w:type="dxa"/>
            <w:hideMark/>
          </w:tcPr>
          <w:p w14:paraId="17489D1C"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5.3 Zanubrutinib </w:t>
            </w:r>
          </w:p>
        </w:tc>
        <w:tc>
          <w:tcPr>
            <w:tcW w:w="3496" w:type="dxa"/>
            <w:hideMark/>
          </w:tcPr>
          <w:p w14:paraId="7C18C69B" w14:textId="1F6C6C3B" w:rsidR="00DE78C5" w:rsidRPr="00DE78C5" w:rsidRDefault="00DE78C5" w:rsidP="00E3025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E78C5">
              <w:rPr>
                <w:rFonts w:ascii="Verdana" w:hAnsi="Verdana"/>
                <w:sz w:val="22"/>
                <w:szCs w:val="22"/>
              </w:rPr>
              <w:t>&lt;5*</w:t>
            </w:r>
          </w:p>
        </w:tc>
      </w:tr>
      <w:tr w:rsidR="00DE78C5" w:rsidRPr="00DE78C5" w14:paraId="01EC2E83" w14:textId="77777777" w:rsidTr="00E30250">
        <w:trPr>
          <w:trHeight w:val="480"/>
        </w:trPr>
        <w:tc>
          <w:tcPr>
            <w:cnfStyle w:val="001000000000" w:firstRow="0" w:lastRow="0" w:firstColumn="1" w:lastColumn="0" w:oddVBand="0" w:evenVBand="0" w:oddHBand="0" w:evenHBand="0" w:firstRowFirstColumn="0" w:firstRowLastColumn="0" w:lastRowFirstColumn="0" w:lastRowLastColumn="0"/>
            <w:tcW w:w="5142" w:type="dxa"/>
            <w:hideMark/>
          </w:tcPr>
          <w:p w14:paraId="4D19693B"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5.4 Ibrutinib + R-CHOP / R-DHAP </w:t>
            </w:r>
          </w:p>
        </w:tc>
        <w:tc>
          <w:tcPr>
            <w:tcW w:w="3496" w:type="dxa"/>
            <w:hideMark/>
          </w:tcPr>
          <w:p w14:paraId="4D77A470" w14:textId="1D80C81C" w:rsidR="00DE78C5" w:rsidRPr="00DE78C5" w:rsidRDefault="00DE78C5" w:rsidP="00E30250">
            <w:pPr>
              <w:spacing w:before="0" w:after="0"/>
              <w:ind w:left="0" w:right="0"/>
              <w:jc w:val="center"/>
              <w:cnfStyle w:val="000000000000" w:firstRow="0" w:lastRow="0" w:firstColumn="0" w:lastColumn="0" w:oddVBand="0" w:evenVBand="0" w:oddHBand="0"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r w:rsidR="00DE78C5" w:rsidRPr="00DE78C5" w14:paraId="36B597BA" w14:textId="77777777" w:rsidTr="00E3025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5142" w:type="dxa"/>
            <w:hideMark/>
          </w:tcPr>
          <w:p w14:paraId="5CC1188D" w14:textId="77777777" w:rsidR="00DE78C5" w:rsidRPr="00DE78C5" w:rsidRDefault="00DE78C5" w:rsidP="00E30250">
            <w:pPr>
              <w:spacing w:before="0" w:after="0"/>
              <w:ind w:left="0" w:right="0"/>
              <w:rPr>
                <w:rFonts w:ascii="Verdana" w:hAnsi="Verdana"/>
                <w:noProof/>
                <w:sz w:val="22"/>
                <w:szCs w:val="22"/>
              </w:rPr>
            </w:pPr>
            <w:r w:rsidRPr="00DE78C5">
              <w:rPr>
                <w:rFonts w:ascii="Verdana" w:hAnsi="Verdana"/>
                <w:noProof/>
                <w:sz w:val="22"/>
                <w:szCs w:val="22"/>
              </w:rPr>
              <w:t>5.5 Pirtobrutinib </w:t>
            </w:r>
          </w:p>
        </w:tc>
        <w:tc>
          <w:tcPr>
            <w:tcW w:w="3496" w:type="dxa"/>
            <w:hideMark/>
          </w:tcPr>
          <w:p w14:paraId="4EC3558B" w14:textId="7089A83F" w:rsidR="00DE78C5" w:rsidRPr="00DE78C5" w:rsidRDefault="00DE78C5" w:rsidP="00E30250">
            <w:pPr>
              <w:spacing w:before="0" w:after="0"/>
              <w:ind w:left="0" w:right="0"/>
              <w:jc w:val="center"/>
              <w:cnfStyle w:val="000000100000" w:firstRow="0" w:lastRow="0" w:firstColumn="0" w:lastColumn="0" w:oddVBand="0" w:evenVBand="0" w:oddHBand="1" w:evenHBand="0" w:firstRowFirstColumn="0" w:firstRowLastColumn="0" w:lastRowFirstColumn="0" w:lastRowLastColumn="0"/>
              <w:rPr>
                <w:rFonts w:ascii="Verdana" w:hAnsi="Verdana"/>
                <w:noProof/>
                <w:sz w:val="22"/>
                <w:szCs w:val="22"/>
              </w:rPr>
            </w:pPr>
            <w:r w:rsidRPr="00DE78C5">
              <w:rPr>
                <w:rFonts w:ascii="Verdana" w:hAnsi="Verdana"/>
                <w:noProof/>
                <w:sz w:val="22"/>
                <w:szCs w:val="22"/>
              </w:rPr>
              <w:t>0</w:t>
            </w:r>
          </w:p>
        </w:tc>
      </w:tr>
    </w:tbl>
    <w:p w14:paraId="0FB2AEFB" w14:textId="77777777" w:rsidR="00E30250" w:rsidRDefault="00E30250" w:rsidP="00A115C7">
      <w:pPr>
        <w:ind w:left="284"/>
        <w:rPr>
          <w:rFonts w:ascii="Verdana" w:hAnsi="Verdana"/>
          <w:b/>
          <w:bCs/>
          <w:noProof/>
          <w:sz w:val="22"/>
          <w:szCs w:val="22"/>
        </w:rPr>
      </w:pPr>
    </w:p>
    <w:p w14:paraId="034A5BDD" w14:textId="49E51F3A" w:rsidR="00E30250" w:rsidRPr="00E30250" w:rsidRDefault="00E30250" w:rsidP="00E30250">
      <w:pPr>
        <w:ind w:left="720"/>
        <w:rPr>
          <w:rFonts w:ascii="Verdana" w:hAnsi="Verdana"/>
          <w:noProof/>
          <w:sz w:val="22"/>
          <w:szCs w:val="22"/>
        </w:rPr>
      </w:pPr>
      <w:r>
        <w:rPr>
          <w:rFonts w:ascii="Verdana" w:hAnsi="Verdana"/>
          <w:noProof/>
          <w:sz w:val="22"/>
          <w:szCs w:val="22"/>
        </w:rPr>
        <w:t>*</w:t>
      </w:r>
      <w:r w:rsidRPr="00E30250">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E30250">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w:t>
      </w:r>
      <w:r w:rsidRPr="00E30250">
        <w:rPr>
          <w:rFonts w:ascii="Verdana" w:hAnsi="Verdana"/>
          <w:bCs/>
          <w:iCs/>
          <w:noProof/>
          <w:sz w:val="22"/>
          <w:szCs w:val="22"/>
        </w:rPr>
        <w:t>in regard to</w:t>
      </w:r>
      <w:r w:rsidRPr="00E30250">
        <w:rPr>
          <w:rFonts w:ascii="Verdana" w:hAnsi="Verdana"/>
          <w:iCs/>
          <w:noProof/>
          <w:sz w:val="22"/>
          <w:szCs w:val="22"/>
        </w:rPr>
        <w:t xml:space="preserve"> Articles 5, 6, and 9 of GDPR.  </w:t>
      </w:r>
      <w:r w:rsidRPr="00E30250">
        <w:rPr>
          <w:rFonts w:ascii="Verdana" w:hAnsi="Verdana"/>
          <w:noProof/>
          <w:sz w:val="22"/>
          <w:szCs w:val="22"/>
        </w:rPr>
        <w:t>This exemption is absolute and therefore there is no requirement to apply the public interest test.</w:t>
      </w:r>
    </w:p>
    <w:p w14:paraId="7F202BA5" w14:textId="1A2EC7C6"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BE7FA" w14:textId="77777777" w:rsidR="00884301" w:rsidRDefault="00884301" w:rsidP="007D6A3E">
      <w:pPr>
        <w:spacing w:before="0" w:after="0" w:line="240" w:lineRule="auto"/>
      </w:pPr>
      <w:r>
        <w:separator/>
      </w:r>
    </w:p>
  </w:endnote>
  <w:endnote w:type="continuationSeparator" w:id="0">
    <w:p w14:paraId="3B42BD65" w14:textId="77777777" w:rsidR="00884301" w:rsidRDefault="0088430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5404" w14:textId="77777777" w:rsidR="00884301" w:rsidRDefault="00884301" w:rsidP="007D6A3E">
      <w:pPr>
        <w:spacing w:before="0" w:after="0" w:line="240" w:lineRule="auto"/>
      </w:pPr>
      <w:r>
        <w:separator/>
      </w:r>
    </w:p>
  </w:footnote>
  <w:footnote w:type="continuationSeparator" w:id="0">
    <w:p w14:paraId="09025D01" w14:textId="77777777" w:rsidR="00884301" w:rsidRDefault="0088430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84301"/>
    <w:rsid w:val="0089491A"/>
    <w:rsid w:val="008A2D60"/>
    <w:rsid w:val="0090178A"/>
    <w:rsid w:val="009046B4"/>
    <w:rsid w:val="00912B14"/>
    <w:rsid w:val="009267EE"/>
    <w:rsid w:val="009269BD"/>
    <w:rsid w:val="00937E61"/>
    <w:rsid w:val="009574AC"/>
    <w:rsid w:val="0097092D"/>
    <w:rsid w:val="00982170"/>
    <w:rsid w:val="009A0943"/>
    <w:rsid w:val="009B087A"/>
    <w:rsid w:val="009B21AD"/>
    <w:rsid w:val="009B7CC6"/>
    <w:rsid w:val="009C5169"/>
    <w:rsid w:val="009D50E8"/>
    <w:rsid w:val="009F30CA"/>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78C5"/>
    <w:rsid w:val="00DF2EA1"/>
    <w:rsid w:val="00E11F2D"/>
    <w:rsid w:val="00E26720"/>
    <w:rsid w:val="00E3025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table" w:styleId="GridTable4-Accent2">
    <w:name w:val="Grid Table 4 Accent 2"/>
    <w:basedOn w:val="TableNormal"/>
    <w:uiPriority w:val="49"/>
    <w:rsid w:val="00DE78C5"/>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4</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32</cp:revision>
  <cp:lastPrinted>2019-03-26T11:11:00Z</cp:lastPrinted>
  <dcterms:created xsi:type="dcterms:W3CDTF">2021-09-13T07:38:00Z</dcterms:created>
  <dcterms:modified xsi:type="dcterms:W3CDTF">2026-05-29T13:39:00Z</dcterms:modified>
</cp:coreProperties>
</file>