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10336"/>
      </w:tblGrid>
      <w:tr w:rsidR="0062127E" w14:paraId="69DC2EE4" w14:textId="77777777" w:rsidTr="009C73EE">
        <w:trPr>
          <w:trHeight w:val="317"/>
        </w:trPr>
        <w:tc>
          <w:tcPr>
            <w:tcW w:w="10336" w:type="dxa"/>
            <w:shd w:val="clear" w:color="auto" w:fill="ED7132"/>
            <w:vAlign w:val="center"/>
          </w:tcPr>
          <w:p w14:paraId="62A83C72" w14:textId="3AE54D4E" w:rsidR="005463AB" w:rsidRPr="009C73EE" w:rsidRDefault="00A24032" w:rsidP="005463AB">
            <w:pPr>
              <w:rPr>
                <w:b/>
                <w:bCs/>
                <w:color w:val="FFFFFF" w:themeColor="background1"/>
                <w:sz w:val="40"/>
                <w:szCs w:val="40"/>
              </w:rPr>
            </w:pPr>
            <w:r w:rsidRPr="009C73EE">
              <w:rPr>
                <w:b/>
                <w:bCs/>
                <w:noProof/>
                <w:color w:val="FFFFFF" w:themeColor="background1"/>
                <w:sz w:val="40"/>
                <w:szCs w:val="40"/>
              </w:rPr>
              <w:drawing>
                <wp:anchor distT="0" distB="0" distL="114300" distR="114300" simplePos="0" relativeHeight="251658240" behindDoc="0" locked="0" layoutInCell="1" allowOverlap="1" wp14:anchorId="315A2C29" wp14:editId="43745E9A">
                  <wp:simplePos x="0" y="0"/>
                  <wp:positionH relativeFrom="column">
                    <wp:posOffset>4785995</wp:posOffset>
                  </wp:positionH>
                  <wp:positionV relativeFrom="paragraph">
                    <wp:posOffset>104140</wp:posOffset>
                  </wp:positionV>
                  <wp:extent cx="1628775" cy="414655"/>
                  <wp:effectExtent l="0" t="0" r="9525" b="4445"/>
                  <wp:wrapNone/>
                  <wp:docPr id="36" name="Picture 35">
                    <a:extLst xmlns:a="http://schemas.openxmlformats.org/drawingml/2006/main">
                      <a:ext uri="{FF2B5EF4-FFF2-40B4-BE49-F238E27FC236}">
                        <a16:creationId xmlns:a16="http://schemas.microsoft.com/office/drawing/2014/main" id="{2B0F3EDA-AF6C-3716-631B-4917544510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2B0F3EDA-AF6C-3716-631B-491754451073}"/>
                              </a:ext>
                            </a:extLst>
                          </pic:cNvPr>
                          <pic:cNvPicPr>
                            <a:picLocks noChangeAspect="1"/>
                          </pic:cNvPicPr>
                        </pic:nvPicPr>
                        <pic:blipFill>
                          <a:blip r:embed="rId5"/>
                          <a:stretch>
                            <a:fillRect/>
                          </a:stretch>
                        </pic:blipFill>
                        <pic:spPr>
                          <a:xfrm>
                            <a:off x="0" y="0"/>
                            <a:ext cx="1628775" cy="414655"/>
                          </a:xfrm>
                          <a:prstGeom prst="rect">
                            <a:avLst/>
                          </a:prstGeom>
                        </pic:spPr>
                      </pic:pic>
                    </a:graphicData>
                  </a:graphic>
                  <wp14:sizeRelH relativeFrom="margin">
                    <wp14:pctWidth>0</wp14:pctWidth>
                  </wp14:sizeRelH>
                  <wp14:sizeRelV relativeFrom="margin">
                    <wp14:pctHeight>0</wp14:pctHeight>
                  </wp14:sizeRelV>
                </wp:anchor>
              </w:drawing>
            </w:r>
            <w:r w:rsidR="0062127E" w:rsidRPr="009C73EE">
              <w:rPr>
                <w:b/>
                <w:bCs/>
                <w:color w:val="FFFFFF" w:themeColor="background1"/>
                <w:sz w:val="40"/>
                <w:szCs w:val="40"/>
              </w:rPr>
              <w:t xml:space="preserve">Digital Strategic Plan </w:t>
            </w:r>
          </w:p>
          <w:p w14:paraId="087E219D" w14:textId="632C5505" w:rsidR="0062127E" w:rsidRPr="005463AB" w:rsidRDefault="0062127E" w:rsidP="005463AB">
            <w:pPr>
              <w:rPr>
                <w:b/>
                <w:bCs/>
                <w:sz w:val="48"/>
                <w:szCs w:val="48"/>
              </w:rPr>
            </w:pPr>
            <w:r w:rsidRPr="009C73EE">
              <w:rPr>
                <w:b/>
                <w:bCs/>
                <w:color w:val="FFFFFF" w:themeColor="background1"/>
                <w:sz w:val="40"/>
                <w:szCs w:val="40"/>
              </w:rPr>
              <w:t>Alignment with Organisational Strategy</w:t>
            </w:r>
            <w:r w:rsidR="00A24032" w:rsidRPr="009C73EE">
              <w:rPr>
                <w:noProof/>
                <w:color w:val="FFFFFF" w:themeColor="background1"/>
              </w:rPr>
              <w:t xml:space="preserve"> </w:t>
            </w:r>
          </w:p>
        </w:tc>
      </w:tr>
      <w:tr w:rsidR="0062127E" w14:paraId="78D3484D" w14:textId="77777777" w:rsidTr="005463AB">
        <w:trPr>
          <w:trHeight w:val="3399"/>
        </w:trPr>
        <w:tc>
          <w:tcPr>
            <w:tcW w:w="10336" w:type="dxa"/>
            <w:vAlign w:val="center"/>
          </w:tcPr>
          <w:p w14:paraId="3EFFDD22" w14:textId="2B15ED83" w:rsidR="0062127E" w:rsidRPr="0062127E" w:rsidRDefault="005463AB" w:rsidP="005463AB">
            <w:r>
              <w:t>S</w:t>
            </w:r>
            <w:r w:rsidRPr="005463AB">
              <w:t>wansea Bay UHB’s Digital Strategy is a cornerstone for realising the organisational vision of “a healthier Swansea Bay” and the mission of “Better Health, Better Care, Better Lives.” By embedding digital transformation across clinical and operational services, the strategy enhances prevention, early intervention, and personalised care</w:t>
            </w:r>
            <w:r>
              <w:t xml:space="preserve">, </w:t>
            </w:r>
            <w:r w:rsidRPr="005463AB">
              <w:t>key pillars of the organisational mission. It supports seamless, equitable access to care through integrated systems like the Electronic Patient Record (EPR) and Care Data Repository (CDR), enabling clinicians to make informed decisions and patients to manage their wellbeing. The strategy also fosters a digitally inclusive culture, empowering staff and patients alike, and aligns with the One Bay Way principles of continuous improvement, collaboration, and sustainability. Through robust governance, data-driven insights, and strategic partnerships, the Digital Strategy ensures that technology is not an add-on but a driver of holistic, high-quality, and compassionate care across Swansea Bay.</w:t>
            </w:r>
          </w:p>
        </w:tc>
      </w:tr>
      <w:tr w:rsidR="0062127E" w14:paraId="2712964A" w14:textId="77777777" w:rsidTr="009C73EE">
        <w:trPr>
          <w:trHeight w:val="334"/>
        </w:trPr>
        <w:tc>
          <w:tcPr>
            <w:tcW w:w="10336" w:type="dxa"/>
            <w:shd w:val="clear" w:color="auto" w:fill="ED7132"/>
            <w:vAlign w:val="center"/>
          </w:tcPr>
          <w:p w14:paraId="5C89A1D7" w14:textId="6A69F653" w:rsidR="0062127E" w:rsidRDefault="0062127E" w:rsidP="005463AB">
            <w:pPr>
              <w:rPr>
                <w:b/>
                <w:bCs/>
              </w:rPr>
            </w:pPr>
            <w:r w:rsidRPr="009C73EE">
              <w:rPr>
                <w:b/>
                <w:bCs/>
                <w:color w:val="FFFFFF" w:themeColor="background1"/>
              </w:rPr>
              <w:t>How the Digital Strategic Plan Supports Our Strategic Objectives</w:t>
            </w:r>
          </w:p>
        </w:tc>
      </w:tr>
      <w:tr w:rsidR="0062127E" w14:paraId="4E71FC2B" w14:textId="77777777" w:rsidTr="005463AB">
        <w:trPr>
          <w:trHeight w:val="317"/>
        </w:trPr>
        <w:tc>
          <w:tcPr>
            <w:tcW w:w="10336" w:type="dxa"/>
            <w:shd w:val="clear" w:color="auto" w:fill="DAE9F7" w:themeFill="text2" w:themeFillTint="1A"/>
            <w:vAlign w:val="center"/>
          </w:tcPr>
          <w:p w14:paraId="0F1C5EEA" w14:textId="0A12F593" w:rsidR="0062127E" w:rsidRPr="0062127E" w:rsidRDefault="0062127E" w:rsidP="005463AB">
            <w:r w:rsidRPr="00532B53">
              <w:rPr>
                <w:b/>
                <w:bCs/>
              </w:rPr>
              <w:t>Strategic Objective 1: Better Health for All</w:t>
            </w:r>
          </w:p>
        </w:tc>
      </w:tr>
      <w:tr w:rsidR="0062127E" w14:paraId="0ED0D26F" w14:textId="77777777" w:rsidTr="005463AB">
        <w:trPr>
          <w:trHeight w:val="1019"/>
        </w:trPr>
        <w:tc>
          <w:tcPr>
            <w:tcW w:w="10336" w:type="dxa"/>
            <w:vAlign w:val="center"/>
          </w:tcPr>
          <w:p w14:paraId="1D489A88" w14:textId="4C08404C" w:rsidR="005463AB" w:rsidRDefault="005463AB" w:rsidP="005463AB">
            <w:pPr>
              <w:pStyle w:val="ListParagraph"/>
              <w:numPr>
                <w:ilvl w:val="0"/>
                <w:numId w:val="6"/>
              </w:numPr>
            </w:pPr>
            <w:r w:rsidRPr="005463AB">
              <w:t>Patient-facing digital tools empower self-care and wellbeing.</w:t>
            </w:r>
          </w:p>
          <w:p w14:paraId="6E09B759" w14:textId="4D10EC5D" w:rsidR="005463AB" w:rsidRDefault="005463AB" w:rsidP="005463AB">
            <w:pPr>
              <w:pStyle w:val="ListParagraph"/>
              <w:numPr>
                <w:ilvl w:val="0"/>
                <w:numId w:val="6"/>
              </w:numPr>
            </w:pPr>
            <w:r w:rsidRPr="005463AB">
              <w:t>Big data analytics identify health inequalities and enable targeted interventions.</w:t>
            </w:r>
          </w:p>
          <w:p w14:paraId="05E3CA34" w14:textId="2144F8CE" w:rsidR="0062127E" w:rsidRPr="0062127E" w:rsidRDefault="005463AB" w:rsidP="005463AB">
            <w:pPr>
              <w:pStyle w:val="ListParagraph"/>
              <w:numPr>
                <w:ilvl w:val="0"/>
                <w:numId w:val="6"/>
              </w:numPr>
            </w:pPr>
            <w:r w:rsidRPr="005463AB">
              <w:t>Remote monitoring and virtual consultations improve access, especially in underserved areas.</w:t>
            </w:r>
          </w:p>
        </w:tc>
      </w:tr>
      <w:tr w:rsidR="0062127E" w14:paraId="4A732D04" w14:textId="77777777" w:rsidTr="005463AB">
        <w:trPr>
          <w:trHeight w:val="317"/>
        </w:trPr>
        <w:tc>
          <w:tcPr>
            <w:tcW w:w="10336" w:type="dxa"/>
            <w:shd w:val="clear" w:color="auto" w:fill="DAE9F7" w:themeFill="text2" w:themeFillTint="1A"/>
            <w:vAlign w:val="center"/>
          </w:tcPr>
          <w:p w14:paraId="7C259FDF" w14:textId="7E48C675" w:rsidR="0062127E" w:rsidRPr="0062127E" w:rsidRDefault="0062127E" w:rsidP="005463AB">
            <w:r w:rsidRPr="00532B53">
              <w:rPr>
                <w:b/>
                <w:bCs/>
              </w:rPr>
              <w:t>Strategic Objective 2: Improved Patient Safety</w:t>
            </w:r>
          </w:p>
        </w:tc>
      </w:tr>
      <w:tr w:rsidR="0062127E" w14:paraId="5B96A84A" w14:textId="77777777" w:rsidTr="005463AB">
        <w:trPr>
          <w:trHeight w:val="1037"/>
        </w:trPr>
        <w:tc>
          <w:tcPr>
            <w:tcW w:w="10336" w:type="dxa"/>
            <w:vAlign w:val="center"/>
          </w:tcPr>
          <w:p w14:paraId="55EBB977" w14:textId="367B347D" w:rsidR="005463AB" w:rsidRDefault="005463AB" w:rsidP="005463AB">
            <w:pPr>
              <w:pStyle w:val="ListParagraph"/>
              <w:numPr>
                <w:ilvl w:val="0"/>
                <w:numId w:val="5"/>
              </w:numPr>
            </w:pPr>
            <w:r w:rsidRPr="005463AB">
              <w:t>Real-time access to patient data reduces errors and enhances safety</w:t>
            </w:r>
            <w:r>
              <w:t>.</w:t>
            </w:r>
          </w:p>
          <w:p w14:paraId="0F8A85AF" w14:textId="4F36E69E" w:rsidR="005463AB" w:rsidRDefault="005463AB" w:rsidP="005463AB">
            <w:pPr>
              <w:pStyle w:val="ListParagraph"/>
              <w:numPr>
                <w:ilvl w:val="0"/>
                <w:numId w:val="5"/>
              </w:numPr>
            </w:pPr>
            <w:r w:rsidRPr="005463AB">
              <w:t>Clinical decision support systems and AI tools enable early intervention.</w:t>
            </w:r>
          </w:p>
          <w:p w14:paraId="17456093" w14:textId="430E1D65" w:rsidR="0062127E" w:rsidRPr="0062127E" w:rsidRDefault="005463AB" w:rsidP="005463AB">
            <w:pPr>
              <w:pStyle w:val="ListParagraph"/>
              <w:numPr>
                <w:ilvl w:val="0"/>
                <w:numId w:val="5"/>
              </w:numPr>
            </w:pPr>
            <w:r w:rsidRPr="005463AB">
              <w:t>PROMs and digital triage tools improve outcomes and efficiency.</w:t>
            </w:r>
          </w:p>
        </w:tc>
      </w:tr>
      <w:tr w:rsidR="0062127E" w14:paraId="4AED1E4A" w14:textId="77777777" w:rsidTr="005463AB">
        <w:trPr>
          <w:trHeight w:val="317"/>
        </w:trPr>
        <w:tc>
          <w:tcPr>
            <w:tcW w:w="10336" w:type="dxa"/>
            <w:shd w:val="clear" w:color="auto" w:fill="DAE9F7" w:themeFill="text2" w:themeFillTint="1A"/>
            <w:vAlign w:val="center"/>
          </w:tcPr>
          <w:p w14:paraId="7D874EF6" w14:textId="477C8059" w:rsidR="0062127E" w:rsidRPr="0062127E" w:rsidRDefault="0062127E" w:rsidP="005463AB">
            <w:r w:rsidRPr="00532B53">
              <w:rPr>
                <w:b/>
                <w:bCs/>
              </w:rPr>
              <w:t>Strategic Objective 3: Care in Partnership</w:t>
            </w:r>
          </w:p>
        </w:tc>
      </w:tr>
      <w:tr w:rsidR="0062127E" w14:paraId="3C0CBDC2" w14:textId="77777777" w:rsidTr="005463AB">
        <w:trPr>
          <w:trHeight w:val="973"/>
        </w:trPr>
        <w:tc>
          <w:tcPr>
            <w:tcW w:w="10336" w:type="dxa"/>
            <w:vAlign w:val="center"/>
          </w:tcPr>
          <w:p w14:paraId="6331C72B" w14:textId="6B6AE5B5" w:rsidR="005463AB" w:rsidRDefault="005463AB" w:rsidP="005463AB">
            <w:pPr>
              <w:pStyle w:val="ListParagraph"/>
              <w:numPr>
                <w:ilvl w:val="0"/>
                <w:numId w:val="4"/>
              </w:numPr>
            </w:pPr>
            <w:r w:rsidRPr="005463AB">
              <w:t>Integrated EPR and CDR systems enable seamless care across settings.</w:t>
            </w:r>
          </w:p>
          <w:p w14:paraId="14911A3E" w14:textId="7432FD71" w:rsidR="005463AB" w:rsidRDefault="005463AB" w:rsidP="005463AB">
            <w:pPr>
              <w:pStyle w:val="ListParagraph"/>
              <w:numPr>
                <w:ilvl w:val="0"/>
                <w:numId w:val="4"/>
              </w:numPr>
            </w:pPr>
            <w:r w:rsidRPr="005463AB">
              <w:t>Digital platforms support co-designed services and community-based care.</w:t>
            </w:r>
          </w:p>
          <w:p w14:paraId="46F83B6E" w14:textId="32161785" w:rsidR="0062127E" w:rsidRPr="0062127E" w:rsidRDefault="005463AB" w:rsidP="005463AB">
            <w:pPr>
              <w:pStyle w:val="ListParagraph"/>
              <w:numPr>
                <w:ilvl w:val="0"/>
                <w:numId w:val="4"/>
              </w:numPr>
            </w:pPr>
            <w:r w:rsidRPr="005463AB">
              <w:t>Research and innovation are embedded through data analytics and trial enablement.</w:t>
            </w:r>
          </w:p>
        </w:tc>
      </w:tr>
      <w:tr w:rsidR="0062127E" w14:paraId="171EC88C" w14:textId="77777777" w:rsidTr="005463AB">
        <w:trPr>
          <w:trHeight w:val="317"/>
        </w:trPr>
        <w:tc>
          <w:tcPr>
            <w:tcW w:w="10336" w:type="dxa"/>
            <w:shd w:val="clear" w:color="auto" w:fill="DAE9F7" w:themeFill="text2" w:themeFillTint="1A"/>
            <w:vAlign w:val="center"/>
          </w:tcPr>
          <w:p w14:paraId="413E891C" w14:textId="4E1174EA" w:rsidR="0062127E" w:rsidRPr="0062127E" w:rsidRDefault="0062127E" w:rsidP="005463AB">
            <w:r w:rsidRPr="00532B53">
              <w:rPr>
                <w:b/>
                <w:bCs/>
              </w:rPr>
              <w:t>Strategic Objective 4: A Great Place to Work</w:t>
            </w:r>
          </w:p>
        </w:tc>
      </w:tr>
      <w:tr w:rsidR="0062127E" w14:paraId="51DB41BF" w14:textId="77777777" w:rsidTr="005463AB">
        <w:trPr>
          <w:trHeight w:val="949"/>
        </w:trPr>
        <w:tc>
          <w:tcPr>
            <w:tcW w:w="10336" w:type="dxa"/>
            <w:vAlign w:val="center"/>
          </w:tcPr>
          <w:p w14:paraId="5A1597CC" w14:textId="13FC7883" w:rsidR="005463AB" w:rsidRDefault="005463AB" w:rsidP="005463AB">
            <w:pPr>
              <w:numPr>
                <w:ilvl w:val="0"/>
                <w:numId w:val="2"/>
              </w:numPr>
            </w:pPr>
            <w:r w:rsidRPr="005463AB">
              <w:t>Digital workforce strategy enhances skills, confidence, and retention.</w:t>
            </w:r>
          </w:p>
          <w:p w14:paraId="680AF11D" w14:textId="77777777" w:rsidR="005463AB" w:rsidRDefault="005463AB" w:rsidP="005463AB">
            <w:pPr>
              <w:numPr>
                <w:ilvl w:val="0"/>
                <w:numId w:val="2"/>
              </w:numPr>
            </w:pPr>
            <w:r w:rsidRPr="005463AB">
              <w:t>Hybrid working tools improve flexibility and collaboration.</w:t>
            </w:r>
          </w:p>
          <w:p w14:paraId="107E2196" w14:textId="7CCD38DA" w:rsidR="0062127E" w:rsidRPr="0062127E" w:rsidRDefault="005463AB" w:rsidP="005463AB">
            <w:pPr>
              <w:numPr>
                <w:ilvl w:val="0"/>
                <w:numId w:val="2"/>
              </w:numPr>
            </w:pPr>
            <w:r w:rsidRPr="005463AB">
              <w:t>Staff engagement is supported through digital leadership and training pathways.</w:t>
            </w:r>
          </w:p>
        </w:tc>
      </w:tr>
      <w:tr w:rsidR="0062127E" w14:paraId="3831B9A4" w14:textId="77777777" w:rsidTr="005463AB">
        <w:trPr>
          <w:trHeight w:val="317"/>
        </w:trPr>
        <w:tc>
          <w:tcPr>
            <w:tcW w:w="10336" w:type="dxa"/>
            <w:shd w:val="clear" w:color="auto" w:fill="DAE9F7" w:themeFill="text2" w:themeFillTint="1A"/>
            <w:vAlign w:val="center"/>
          </w:tcPr>
          <w:p w14:paraId="2B2B5391" w14:textId="3E3E9C72" w:rsidR="0062127E" w:rsidRPr="00532B53" w:rsidRDefault="0062127E" w:rsidP="005463AB">
            <w:r w:rsidRPr="00532B53">
              <w:rPr>
                <w:b/>
                <w:bCs/>
              </w:rPr>
              <w:t>Strategic Objective 5: Use Every NHS £ Wisely</w:t>
            </w:r>
          </w:p>
        </w:tc>
      </w:tr>
      <w:tr w:rsidR="0062127E" w14:paraId="34FD301C" w14:textId="77777777" w:rsidTr="005463AB">
        <w:trPr>
          <w:trHeight w:val="1223"/>
        </w:trPr>
        <w:tc>
          <w:tcPr>
            <w:tcW w:w="10336" w:type="dxa"/>
            <w:vAlign w:val="center"/>
          </w:tcPr>
          <w:p w14:paraId="54892305" w14:textId="77777777" w:rsidR="005463AB" w:rsidRDefault="005463AB" w:rsidP="005463AB">
            <w:pPr>
              <w:numPr>
                <w:ilvl w:val="0"/>
                <w:numId w:val="2"/>
              </w:numPr>
            </w:pPr>
            <w:r w:rsidRPr="005463AB">
              <w:t>Cloud-first infrastructure improves scalability and security.</w:t>
            </w:r>
          </w:p>
          <w:p w14:paraId="74757B6E" w14:textId="77777777" w:rsidR="005463AB" w:rsidRDefault="005463AB" w:rsidP="005463AB">
            <w:pPr>
              <w:numPr>
                <w:ilvl w:val="0"/>
                <w:numId w:val="2"/>
              </w:numPr>
            </w:pPr>
            <w:r w:rsidRPr="005463AB">
              <w:t>Cybersecurity frameworks protect data and ensure continuity.</w:t>
            </w:r>
          </w:p>
          <w:p w14:paraId="754DBAD0" w14:textId="77777777" w:rsidR="005463AB" w:rsidRDefault="005463AB" w:rsidP="005463AB">
            <w:pPr>
              <w:numPr>
                <w:ilvl w:val="0"/>
                <w:numId w:val="2"/>
              </w:numPr>
            </w:pPr>
            <w:r w:rsidRPr="005463AB">
              <w:t>Benefits framework ensures measurable ROI and strategic alignment.</w:t>
            </w:r>
          </w:p>
          <w:p w14:paraId="62ECE43F" w14:textId="42BA048F" w:rsidR="0062127E" w:rsidRPr="00532B53" w:rsidRDefault="005463AB" w:rsidP="005463AB">
            <w:pPr>
              <w:numPr>
                <w:ilvl w:val="0"/>
                <w:numId w:val="2"/>
              </w:numPr>
            </w:pPr>
            <w:r w:rsidRPr="005463AB">
              <w:t>Digital transformation supports financial sustainability and carbon reduction.</w:t>
            </w:r>
          </w:p>
        </w:tc>
      </w:tr>
      <w:tr w:rsidR="0062127E" w14:paraId="2796D45A" w14:textId="77777777" w:rsidTr="009C73EE">
        <w:trPr>
          <w:trHeight w:val="317"/>
        </w:trPr>
        <w:tc>
          <w:tcPr>
            <w:tcW w:w="10336" w:type="dxa"/>
            <w:shd w:val="clear" w:color="auto" w:fill="ED7132"/>
            <w:vAlign w:val="center"/>
          </w:tcPr>
          <w:p w14:paraId="4ED6F58C" w14:textId="7772C5C5" w:rsidR="0062127E" w:rsidRPr="009C73EE" w:rsidRDefault="00E66491" w:rsidP="005463AB">
            <w:pPr>
              <w:rPr>
                <w:color w:val="FFFFFF" w:themeColor="background1"/>
              </w:rPr>
            </w:pPr>
            <w:r w:rsidRPr="009C73EE">
              <w:rPr>
                <w:b/>
                <w:bCs/>
                <w:color w:val="FFFFFF" w:themeColor="background1"/>
              </w:rPr>
              <w:t>Supporting Delivery of Our Strategic Indicators</w:t>
            </w:r>
          </w:p>
        </w:tc>
      </w:tr>
      <w:tr w:rsidR="00E66491" w14:paraId="024BCD56" w14:textId="77777777" w:rsidTr="005463AB">
        <w:trPr>
          <w:trHeight w:val="317"/>
        </w:trPr>
        <w:tc>
          <w:tcPr>
            <w:tcW w:w="10336" w:type="dxa"/>
            <w:shd w:val="clear" w:color="auto" w:fill="DAE9F7" w:themeFill="text2" w:themeFillTint="1A"/>
            <w:vAlign w:val="center"/>
          </w:tcPr>
          <w:p w14:paraId="7A6B5293" w14:textId="75272E7A" w:rsidR="00E66491" w:rsidRPr="00E66491" w:rsidRDefault="00E66491" w:rsidP="005463AB">
            <w:r w:rsidRPr="00532B53">
              <w:rPr>
                <w:b/>
                <w:bCs/>
              </w:rPr>
              <w:t>Primary Digital Strategic Indicator:</w:t>
            </w:r>
            <w:r>
              <w:rPr>
                <w:b/>
                <w:bCs/>
              </w:rPr>
              <w:t xml:space="preserve"> </w:t>
            </w:r>
            <w:r w:rsidRPr="00532B53">
              <w:rPr>
                <w:b/>
                <w:bCs/>
              </w:rPr>
              <w:t>HIMSS EMRAM Score</w:t>
            </w:r>
            <w:r w:rsidRPr="00532B53">
              <w:t xml:space="preserve"> – Measures digital maturity of clinical systems. </w:t>
            </w:r>
            <w:r>
              <w:t xml:space="preserve"> </w:t>
            </w:r>
            <w:r w:rsidRPr="00532B53">
              <w:rPr>
                <w:i/>
                <w:iCs/>
              </w:rPr>
              <w:t>Target: Level 7 by 2032 (currently Level 1)</w:t>
            </w:r>
          </w:p>
        </w:tc>
      </w:tr>
      <w:tr w:rsidR="00E66491" w14:paraId="44B97ADB" w14:textId="77777777" w:rsidTr="005463AB">
        <w:trPr>
          <w:trHeight w:val="2175"/>
        </w:trPr>
        <w:tc>
          <w:tcPr>
            <w:tcW w:w="10336" w:type="dxa"/>
            <w:vAlign w:val="center"/>
          </w:tcPr>
          <w:p w14:paraId="29334F4F" w14:textId="77777777" w:rsidR="00E66491" w:rsidRPr="00532B53" w:rsidRDefault="00E66491" w:rsidP="005463AB">
            <w:r w:rsidRPr="00532B53">
              <w:rPr>
                <w:b/>
                <w:bCs/>
              </w:rPr>
              <w:t>Supporting Key Indicators:</w:t>
            </w:r>
          </w:p>
          <w:p w14:paraId="367CC1EC" w14:textId="1F02812E" w:rsidR="005463AB" w:rsidRPr="005463AB" w:rsidRDefault="005463AB" w:rsidP="005463AB">
            <w:pPr>
              <w:numPr>
                <w:ilvl w:val="0"/>
                <w:numId w:val="2"/>
              </w:numPr>
            </w:pPr>
            <w:r w:rsidRPr="005463AB">
              <w:t xml:space="preserve">Digital spend: Increasing of total budget over 10 years. </w:t>
            </w:r>
          </w:p>
          <w:p w14:paraId="6B285C5D" w14:textId="5A245008" w:rsidR="005463AB" w:rsidRPr="005463AB" w:rsidRDefault="005463AB" w:rsidP="005463AB">
            <w:pPr>
              <w:numPr>
                <w:ilvl w:val="0"/>
                <w:numId w:val="2"/>
              </w:numPr>
            </w:pPr>
            <w:r w:rsidRPr="005463AB">
              <w:t xml:space="preserve">Cloud adoption: Migration milestones and reduction in legacy systems. </w:t>
            </w:r>
          </w:p>
          <w:p w14:paraId="066C4FA1" w14:textId="12A328D0" w:rsidR="005463AB" w:rsidRPr="005463AB" w:rsidRDefault="005463AB" w:rsidP="005463AB">
            <w:pPr>
              <w:numPr>
                <w:ilvl w:val="0"/>
                <w:numId w:val="2"/>
              </w:numPr>
            </w:pPr>
            <w:r w:rsidRPr="005463AB">
              <w:t xml:space="preserve">EPR implementation: Phased rollout and integration across services. </w:t>
            </w:r>
          </w:p>
          <w:p w14:paraId="04378013" w14:textId="4477DB86" w:rsidR="005463AB" w:rsidRPr="005463AB" w:rsidRDefault="005463AB" w:rsidP="005463AB">
            <w:pPr>
              <w:numPr>
                <w:ilvl w:val="0"/>
                <w:numId w:val="2"/>
              </w:numPr>
            </w:pPr>
            <w:r w:rsidRPr="005463AB">
              <w:t xml:space="preserve">Cybersecurity: Compliance with the Cyber Assessment Framework (CAF). </w:t>
            </w:r>
          </w:p>
          <w:p w14:paraId="7918BA8C" w14:textId="174AD846" w:rsidR="0055621C" w:rsidRPr="00E66491" w:rsidRDefault="005463AB" w:rsidP="0055621C">
            <w:pPr>
              <w:numPr>
                <w:ilvl w:val="0"/>
                <w:numId w:val="2"/>
              </w:numPr>
            </w:pPr>
            <w:r w:rsidRPr="005463AB">
              <w:t>Data quality and standardisation: Implementation of consistent data standards and CDR usage.</w:t>
            </w:r>
          </w:p>
        </w:tc>
      </w:tr>
      <w:tr w:rsidR="0055621C" w14:paraId="26496AD6" w14:textId="77777777" w:rsidTr="00A24032">
        <w:trPr>
          <w:trHeight w:val="70"/>
        </w:trPr>
        <w:tc>
          <w:tcPr>
            <w:tcW w:w="10336" w:type="dxa"/>
            <w:shd w:val="clear" w:color="auto" w:fill="D9D9D9" w:themeFill="background1" w:themeFillShade="D9"/>
            <w:vAlign w:val="center"/>
          </w:tcPr>
          <w:p w14:paraId="193F23B4" w14:textId="0E68F74D" w:rsidR="0055621C" w:rsidRPr="00532B53" w:rsidRDefault="0055621C" w:rsidP="005463AB">
            <w:pPr>
              <w:rPr>
                <w:b/>
                <w:bCs/>
              </w:rPr>
            </w:pPr>
            <w:r>
              <w:rPr>
                <w:b/>
                <w:bCs/>
              </w:rPr>
              <w:t xml:space="preserve">Digital Strategy to be refreshed: </w:t>
            </w:r>
            <w:r w:rsidRPr="0055621C">
              <w:rPr>
                <w:b/>
                <w:bCs/>
                <w:color w:val="EE0000"/>
              </w:rPr>
              <w:t>DATE</w:t>
            </w:r>
          </w:p>
        </w:tc>
      </w:tr>
    </w:tbl>
    <w:p w14:paraId="1715A01B" w14:textId="77777777" w:rsidR="00DD356A" w:rsidRDefault="00DD356A"/>
    <w:sectPr w:rsidR="00DD356A" w:rsidSect="0062127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30724"/>
    <w:multiLevelType w:val="hybridMultilevel"/>
    <w:tmpl w:val="2D56C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1DA65B0"/>
    <w:multiLevelType w:val="hybridMultilevel"/>
    <w:tmpl w:val="9BAA4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A452EF9"/>
    <w:multiLevelType w:val="multilevel"/>
    <w:tmpl w:val="91F29F4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42F8664B"/>
    <w:multiLevelType w:val="hybridMultilevel"/>
    <w:tmpl w:val="243C9B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4115330"/>
    <w:multiLevelType w:val="multilevel"/>
    <w:tmpl w:val="4934A08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6CFF53FF"/>
    <w:multiLevelType w:val="hybridMultilevel"/>
    <w:tmpl w:val="2DAA5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0771404">
    <w:abstractNumId w:val="2"/>
  </w:num>
  <w:num w:numId="2" w16cid:durableId="728303457">
    <w:abstractNumId w:val="4"/>
  </w:num>
  <w:num w:numId="3" w16cid:durableId="892542646">
    <w:abstractNumId w:val="5"/>
  </w:num>
  <w:num w:numId="4" w16cid:durableId="570963859">
    <w:abstractNumId w:val="3"/>
  </w:num>
  <w:num w:numId="5" w16cid:durableId="44254132">
    <w:abstractNumId w:val="0"/>
  </w:num>
  <w:num w:numId="6" w16cid:durableId="6741849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B53"/>
    <w:rsid w:val="000D2143"/>
    <w:rsid w:val="00210403"/>
    <w:rsid w:val="00222ADE"/>
    <w:rsid w:val="00532B53"/>
    <w:rsid w:val="005463AB"/>
    <w:rsid w:val="0055621C"/>
    <w:rsid w:val="005762D5"/>
    <w:rsid w:val="0062127E"/>
    <w:rsid w:val="007013F7"/>
    <w:rsid w:val="008C0F48"/>
    <w:rsid w:val="008F5782"/>
    <w:rsid w:val="009C73EE"/>
    <w:rsid w:val="00A24032"/>
    <w:rsid w:val="00AD1CD8"/>
    <w:rsid w:val="00DD0986"/>
    <w:rsid w:val="00DD356A"/>
    <w:rsid w:val="00E664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DEC27"/>
  <w15:chartTrackingRefBased/>
  <w15:docId w15:val="{8AF61960-D8C3-47E5-A03A-D30B9B784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2B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2B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2B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2B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2B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2B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2B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2B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2B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2B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32B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32B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32B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32B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32B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2B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2B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2B53"/>
    <w:rPr>
      <w:rFonts w:eastAsiaTheme="majorEastAsia" w:cstheme="majorBidi"/>
      <w:color w:val="272727" w:themeColor="text1" w:themeTint="D8"/>
    </w:rPr>
  </w:style>
  <w:style w:type="paragraph" w:styleId="Title">
    <w:name w:val="Title"/>
    <w:basedOn w:val="Normal"/>
    <w:next w:val="Normal"/>
    <w:link w:val="TitleChar"/>
    <w:uiPriority w:val="10"/>
    <w:qFormat/>
    <w:rsid w:val="00532B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2B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2B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2B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2B53"/>
    <w:pPr>
      <w:spacing w:before="160"/>
      <w:jc w:val="center"/>
    </w:pPr>
    <w:rPr>
      <w:i/>
      <w:iCs/>
      <w:color w:val="404040" w:themeColor="text1" w:themeTint="BF"/>
    </w:rPr>
  </w:style>
  <w:style w:type="character" w:customStyle="1" w:styleId="QuoteChar">
    <w:name w:val="Quote Char"/>
    <w:basedOn w:val="DefaultParagraphFont"/>
    <w:link w:val="Quote"/>
    <w:uiPriority w:val="29"/>
    <w:rsid w:val="00532B53"/>
    <w:rPr>
      <w:i/>
      <w:iCs/>
      <w:color w:val="404040" w:themeColor="text1" w:themeTint="BF"/>
    </w:rPr>
  </w:style>
  <w:style w:type="paragraph" w:styleId="ListParagraph">
    <w:name w:val="List Paragraph"/>
    <w:basedOn w:val="Normal"/>
    <w:uiPriority w:val="34"/>
    <w:qFormat/>
    <w:rsid w:val="00532B53"/>
    <w:pPr>
      <w:ind w:left="720"/>
      <w:contextualSpacing/>
    </w:pPr>
  </w:style>
  <w:style w:type="character" w:styleId="IntenseEmphasis">
    <w:name w:val="Intense Emphasis"/>
    <w:basedOn w:val="DefaultParagraphFont"/>
    <w:uiPriority w:val="21"/>
    <w:qFormat/>
    <w:rsid w:val="00532B53"/>
    <w:rPr>
      <w:i/>
      <w:iCs/>
      <w:color w:val="0F4761" w:themeColor="accent1" w:themeShade="BF"/>
    </w:rPr>
  </w:style>
  <w:style w:type="paragraph" w:styleId="IntenseQuote">
    <w:name w:val="Intense Quote"/>
    <w:basedOn w:val="Normal"/>
    <w:next w:val="Normal"/>
    <w:link w:val="IntenseQuoteChar"/>
    <w:uiPriority w:val="30"/>
    <w:qFormat/>
    <w:rsid w:val="00532B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2B53"/>
    <w:rPr>
      <w:i/>
      <w:iCs/>
      <w:color w:val="0F4761" w:themeColor="accent1" w:themeShade="BF"/>
    </w:rPr>
  </w:style>
  <w:style w:type="character" w:styleId="IntenseReference">
    <w:name w:val="Intense Reference"/>
    <w:basedOn w:val="DefaultParagraphFont"/>
    <w:uiPriority w:val="32"/>
    <w:qFormat/>
    <w:rsid w:val="00532B53"/>
    <w:rPr>
      <w:b/>
      <w:bCs/>
      <w:smallCaps/>
      <w:color w:val="0F4761" w:themeColor="accent1" w:themeShade="BF"/>
      <w:spacing w:val="5"/>
    </w:rPr>
  </w:style>
  <w:style w:type="table" w:styleId="TableGrid">
    <w:name w:val="Table Grid"/>
    <w:basedOn w:val="TableNormal"/>
    <w:uiPriority w:val="39"/>
    <w:rsid w:val="00621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9C43057-A548-407D-B644-E799FF0CBD46}"/>
</file>

<file path=customXml/itemProps2.xml><?xml version="1.0" encoding="utf-8"?>
<ds:datastoreItem xmlns:ds="http://schemas.openxmlformats.org/officeDocument/2006/customXml" ds:itemID="{B86577C4-4586-47A8-BAF2-CFBF4EE6D9AC}"/>
</file>

<file path=customXml/itemProps3.xml><?xml version="1.0" encoding="utf-8"?>
<ds:datastoreItem xmlns:ds="http://schemas.openxmlformats.org/officeDocument/2006/customXml" ds:itemID="{32229B55-E557-4166-B090-A18E71B3B9BD}"/>
</file>

<file path=docProps/app.xml><?xml version="1.0" encoding="utf-8"?>
<Properties xmlns="http://schemas.openxmlformats.org/officeDocument/2006/extended-properties" xmlns:vt="http://schemas.openxmlformats.org/officeDocument/2006/docPropsVTypes">
  <Template>Normal</Template>
  <TotalTime>1</TotalTime>
  <Pages>1</Pages>
  <Words>475</Words>
  <Characters>2709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Ansari (Swansea Bay UHB - Planning and Partnerships)</dc:creator>
  <cp:keywords/>
  <dc:description/>
  <cp:lastModifiedBy>Ffion Ansari (Swansea Bay UHB - Planning and Partnerships)</cp:lastModifiedBy>
  <cp:revision>2</cp:revision>
  <dcterms:created xsi:type="dcterms:W3CDTF">2025-10-29T13:43:00Z</dcterms:created>
  <dcterms:modified xsi:type="dcterms:W3CDTF">2025-10-29T13:43:00Z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