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20696" w:type="dxa"/>
        <w:tblInd w:w="-5" w:type="dxa"/>
        <w:tblCellMar>
          <w:top w:w="15" w:type="dxa"/>
          <w:bottom w:w="15" w:type="dxa"/>
        </w:tblCellMar>
        <w:tblLook w:val="04A0" w:firstRow="1" w:lastRow="0" w:firstColumn="1" w:lastColumn="0" w:noHBand="0" w:noVBand="1"/>
      </w:tblPr>
      <w:tblGrid>
        <w:gridCol w:w="2511"/>
        <w:gridCol w:w="607"/>
        <w:gridCol w:w="4956"/>
        <w:gridCol w:w="1935"/>
        <w:gridCol w:w="1713"/>
        <w:gridCol w:w="1281"/>
        <w:gridCol w:w="7693"/>
      </w:tblGrid>
      <w:tr w:rsidR="00365BD1" w:rsidRPr="00927641" w14:paraId="1A9AB3B2" w14:textId="77777777" w:rsidTr="00365BD1">
        <w:trPr>
          <w:trHeight w:val="286"/>
          <w:tblHeader/>
        </w:trPr>
        <w:tc>
          <w:tcPr>
            <w:tcW w:w="2511" w:type="dxa"/>
            <w:tcBorders>
              <w:left w:val="single" w:sz="4" w:space="0" w:color="auto"/>
              <w:bottom w:val="single" w:sz="4" w:space="0" w:color="auto"/>
              <w:right w:val="single" w:sz="4" w:space="0" w:color="auto"/>
            </w:tcBorders>
            <w:shd w:val="clear" w:color="000000" w:fill="44546A"/>
            <w:vAlign w:val="center"/>
            <w:hideMark/>
          </w:tcPr>
          <w:p w14:paraId="67EE6BB5" w14:textId="78ED8A6E" w:rsidR="00365BD1" w:rsidRPr="00927641" w:rsidRDefault="00365BD1" w:rsidP="00927641">
            <w:pPr>
              <w:spacing w:after="0" w:line="240" w:lineRule="auto"/>
              <w:rPr>
                <w:rFonts w:ascii="Verdana" w:eastAsia="Times New Roman" w:hAnsi="Verdana" w:cs="Calibri"/>
                <w:b/>
                <w:bCs/>
                <w:color w:val="FFFFFF"/>
                <w:sz w:val="20"/>
                <w:szCs w:val="20"/>
                <w:lang w:eastAsia="en-GB"/>
              </w:rPr>
            </w:pPr>
            <w:r w:rsidRPr="00927641">
              <w:rPr>
                <w:rFonts w:ascii="Verdana" w:eastAsia="Times New Roman" w:hAnsi="Verdana" w:cs="Calibri"/>
                <w:b/>
                <w:bCs/>
                <w:color w:val="FFFFFF"/>
                <w:sz w:val="20"/>
                <w:szCs w:val="20"/>
                <w:lang w:eastAsia="en-GB"/>
              </w:rPr>
              <w:t>Key Area</w:t>
            </w:r>
          </w:p>
        </w:tc>
        <w:tc>
          <w:tcPr>
            <w:tcW w:w="607" w:type="dxa"/>
            <w:tcBorders>
              <w:top w:val="single" w:sz="4" w:space="0" w:color="auto"/>
              <w:left w:val="single" w:sz="4" w:space="0" w:color="auto"/>
              <w:bottom w:val="single" w:sz="4" w:space="0" w:color="auto"/>
              <w:right w:val="single" w:sz="4" w:space="0" w:color="auto"/>
            </w:tcBorders>
            <w:shd w:val="clear" w:color="000000" w:fill="CBD3DE"/>
            <w:noWrap/>
            <w:vAlign w:val="bottom"/>
            <w:hideMark/>
          </w:tcPr>
          <w:p w14:paraId="40A6DAEA" w14:textId="77777777" w:rsidR="00365BD1" w:rsidRPr="00927641" w:rsidRDefault="00365BD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No.</w:t>
            </w:r>
          </w:p>
        </w:tc>
        <w:tc>
          <w:tcPr>
            <w:tcW w:w="4956" w:type="dxa"/>
            <w:tcBorders>
              <w:top w:val="single" w:sz="4" w:space="0" w:color="auto"/>
              <w:left w:val="single" w:sz="4" w:space="0" w:color="auto"/>
              <w:bottom w:val="single" w:sz="4" w:space="0" w:color="auto"/>
              <w:right w:val="single" w:sz="4" w:space="0" w:color="auto"/>
            </w:tcBorders>
            <w:shd w:val="clear" w:color="000000" w:fill="CBD3DE"/>
            <w:noWrap/>
            <w:vAlign w:val="bottom"/>
            <w:hideMark/>
          </w:tcPr>
          <w:p w14:paraId="5C292CE1" w14:textId="77777777" w:rsidR="00365BD1" w:rsidRPr="00927641" w:rsidRDefault="00365BD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Detail </w:t>
            </w:r>
          </w:p>
        </w:tc>
        <w:tc>
          <w:tcPr>
            <w:tcW w:w="1935" w:type="dxa"/>
            <w:tcBorders>
              <w:top w:val="single" w:sz="4" w:space="0" w:color="auto"/>
              <w:left w:val="single" w:sz="4" w:space="0" w:color="auto"/>
              <w:bottom w:val="single" w:sz="4" w:space="0" w:color="auto"/>
              <w:right w:val="single" w:sz="4" w:space="0" w:color="auto"/>
            </w:tcBorders>
            <w:shd w:val="clear" w:color="000000" w:fill="CBD3DE"/>
            <w:noWrap/>
            <w:vAlign w:val="bottom"/>
            <w:hideMark/>
          </w:tcPr>
          <w:p w14:paraId="32ABA6D4" w14:textId="77777777" w:rsidR="00365BD1" w:rsidRPr="00927641" w:rsidRDefault="00365BD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Lead Organisation</w:t>
            </w:r>
          </w:p>
        </w:tc>
        <w:tc>
          <w:tcPr>
            <w:tcW w:w="1713" w:type="dxa"/>
            <w:tcBorders>
              <w:top w:val="single" w:sz="4" w:space="0" w:color="auto"/>
              <w:left w:val="single" w:sz="4" w:space="0" w:color="auto"/>
              <w:bottom w:val="single" w:sz="4" w:space="0" w:color="auto"/>
              <w:right w:val="single" w:sz="4" w:space="0" w:color="auto"/>
            </w:tcBorders>
            <w:shd w:val="clear" w:color="000000" w:fill="CBD3DE"/>
            <w:noWrap/>
            <w:vAlign w:val="bottom"/>
            <w:hideMark/>
          </w:tcPr>
          <w:p w14:paraId="7E2BECDA" w14:textId="77777777" w:rsidR="00365BD1" w:rsidRPr="00927641" w:rsidRDefault="00365BD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Timescale </w:t>
            </w:r>
          </w:p>
        </w:tc>
        <w:tc>
          <w:tcPr>
            <w:tcW w:w="1281" w:type="dxa"/>
            <w:tcBorders>
              <w:top w:val="single" w:sz="4" w:space="0" w:color="auto"/>
              <w:left w:val="single" w:sz="4" w:space="0" w:color="auto"/>
              <w:bottom w:val="single" w:sz="4" w:space="0" w:color="auto"/>
              <w:right w:val="single" w:sz="4" w:space="0" w:color="auto"/>
            </w:tcBorders>
            <w:shd w:val="clear" w:color="000000" w:fill="B4C6E7"/>
            <w:vAlign w:val="bottom"/>
            <w:hideMark/>
          </w:tcPr>
          <w:p w14:paraId="762A5F3A" w14:textId="77777777" w:rsidR="00365BD1" w:rsidRPr="00927641" w:rsidRDefault="00365BD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RAG Status</w:t>
            </w:r>
          </w:p>
        </w:tc>
        <w:tc>
          <w:tcPr>
            <w:tcW w:w="7693" w:type="dxa"/>
            <w:tcBorders>
              <w:top w:val="single" w:sz="4" w:space="0" w:color="auto"/>
              <w:left w:val="single" w:sz="4" w:space="0" w:color="auto"/>
              <w:bottom w:val="single" w:sz="4" w:space="0" w:color="auto"/>
              <w:right w:val="single" w:sz="4" w:space="0" w:color="auto"/>
            </w:tcBorders>
            <w:shd w:val="clear" w:color="000000" w:fill="B4C6E7"/>
            <w:vAlign w:val="bottom"/>
            <w:hideMark/>
          </w:tcPr>
          <w:p w14:paraId="529433F9" w14:textId="77777777" w:rsidR="00365BD1" w:rsidRPr="00927641" w:rsidRDefault="00365BD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Commentary </w:t>
            </w:r>
          </w:p>
        </w:tc>
      </w:tr>
      <w:tr w:rsidR="00927641" w:rsidRPr="00927641" w14:paraId="11F7FEA0" w14:textId="77777777" w:rsidTr="00365BD1">
        <w:trPr>
          <w:trHeight w:val="1385"/>
        </w:trPr>
        <w:tc>
          <w:tcPr>
            <w:tcW w:w="2511" w:type="dxa"/>
            <w:vMerge w:val="restart"/>
            <w:tcBorders>
              <w:top w:val="single" w:sz="4" w:space="0" w:color="auto"/>
              <w:left w:val="single" w:sz="4" w:space="0" w:color="auto"/>
              <w:bottom w:val="single" w:sz="4" w:space="0" w:color="auto"/>
              <w:right w:val="single" w:sz="4" w:space="0" w:color="auto"/>
            </w:tcBorders>
            <w:noWrap/>
            <w:hideMark/>
          </w:tcPr>
          <w:p w14:paraId="3BEC7E25"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7AB01A0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w:t>
            </w:r>
          </w:p>
        </w:tc>
        <w:tc>
          <w:tcPr>
            <w:tcW w:w="4956" w:type="dxa"/>
            <w:tcBorders>
              <w:top w:val="single" w:sz="4" w:space="0" w:color="auto"/>
              <w:left w:val="single" w:sz="4" w:space="0" w:color="auto"/>
              <w:bottom w:val="single" w:sz="4" w:space="0" w:color="auto"/>
              <w:right w:val="single" w:sz="4" w:space="0" w:color="auto"/>
            </w:tcBorders>
            <w:hideMark/>
          </w:tcPr>
          <w:p w14:paraId="50E4189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All health boards should, within three months, develop a plan to reduce referrals to traditional outpatients in high volume specialities</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598F8D8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7336455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04101D9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right w:val="single" w:sz="4" w:space="0" w:color="auto"/>
            </w:tcBorders>
            <w:shd w:val="clear" w:color="000000" w:fill="FFFFFF"/>
            <w:hideMark/>
          </w:tcPr>
          <w:p w14:paraId="794CCA40" w14:textId="6CF0BC0F"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Clinical Committee set up to oversee implementation of national guidelines and Clinical Implementation Network (CIN) thresholds for follow up criteria General Surgery will be pilot test bed for pathway application. Follow Up Waiting List dashboard in situ to track impact of CIN pathway implementation on waiting list size and track compliance at consultant level. </w:t>
            </w:r>
          </w:p>
        </w:tc>
      </w:tr>
      <w:tr w:rsidR="00927641" w:rsidRPr="00927641" w14:paraId="5CA2FC3D" w14:textId="77777777" w:rsidTr="00365BD1">
        <w:trPr>
          <w:trHeight w:val="81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71EFFFE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1F38976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59155901"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Particular attention should be given to unwarranted variation and specialities where per capita referrals rates are above the national median.</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23046E9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7C13F1B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242D0FA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left w:val="single" w:sz="4" w:space="0" w:color="auto"/>
              <w:right w:val="single" w:sz="4" w:space="0" w:color="auto"/>
            </w:tcBorders>
            <w:vAlign w:val="center"/>
            <w:hideMark/>
          </w:tcPr>
          <w:p w14:paraId="6FBDBA5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41AF8F13" w14:textId="77777777" w:rsidTr="00365BD1">
        <w:trPr>
          <w:trHeight w:val="97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73B39F9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4CFDCE6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3FE50789"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Models that offer alternatives to traditional outpatient pathways should be rapidly identified and scaled. National Funding for Advice and Guidance and the National Pathways programme should continue</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505EE7B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63ED16B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198E9C7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left w:val="single" w:sz="4" w:space="0" w:color="auto"/>
              <w:right w:val="single" w:sz="4" w:space="0" w:color="auto"/>
            </w:tcBorders>
            <w:vAlign w:val="center"/>
            <w:hideMark/>
          </w:tcPr>
          <w:p w14:paraId="0F155D7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74F6AC28" w14:textId="77777777" w:rsidTr="00365BD1">
        <w:trPr>
          <w:trHeight w:val="94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0710948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221E1971"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77C2D233"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From June 2025, progress reported monthly to health board and trust public meetings, and at individual monthly Performance &amp; Productivity meetings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0806D9A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09D9921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7AC6912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left w:val="single" w:sz="4" w:space="0" w:color="auto"/>
              <w:bottom w:val="single" w:sz="4" w:space="0" w:color="auto"/>
              <w:right w:val="single" w:sz="4" w:space="0" w:color="auto"/>
            </w:tcBorders>
            <w:noWrap/>
            <w:hideMark/>
          </w:tcPr>
          <w:p w14:paraId="2EBBC80F"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02B5A0FB" w14:textId="77777777" w:rsidTr="00365BD1">
        <w:trPr>
          <w:trHeight w:val="918"/>
        </w:trPr>
        <w:tc>
          <w:tcPr>
            <w:tcW w:w="2511" w:type="dxa"/>
            <w:vMerge w:val="restart"/>
            <w:tcBorders>
              <w:top w:val="single" w:sz="4" w:space="0" w:color="auto"/>
              <w:left w:val="single" w:sz="4" w:space="0" w:color="auto"/>
              <w:bottom w:val="single" w:sz="4" w:space="0" w:color="auto"/>
              <w:right w:val="single" w:sz="4" w:space="0" w:color="auto"/>
            </w:tcBorders>
            <w:noWrap/>
            <w:hideMark/>
          </w:tcPr>
          <w:p w14:paraId="36376A07"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06EB4CD0"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w:t>
            </w:r>
          </w:p>
        </w:tc>
        <w:tc>
          <w:tcPr>
            <w:tcW w:w="4956" w:type="dxa"/>
            <w:tcBorders>
              <w:top w:val="single" w:sz="4" w:space="0" w:color="auto"/>
              <w:left w:val="single" w:sz="4" w:space="0" w:color="auto"/>
              <w:bottom w:val="single" w:sz="4" w:space="0" w:color="auto"/>
              <w:right w:val="single" w:sz="4" w:space="0" w:color="auto"/>
            </w:tcBorders>
            <w:vAlign w:val="bottom"/>
            <w:hideMark/>
          </w:tcPr>
          <w:p w14:paraId="0BEE78DE"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All health boards and trusts should work to reduce variation in outpatient waiting times by adopting best practices in outpatient service management</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569FA40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45658AE5"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638E5CEA"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single" w:sz="4" w:space="0" w:color="auto"/>
              <w:right w:val="single" w:sz="4" w:space="0" w:color="auto"/>
            </w:tcBorders>
            <w:hideMark/>
          </w:tcPr>
          <w:p w14:paraId="678F622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Clinical Committee overseeing implementation of National Optimisation Frameworks published by the Strategic Programme for Planned Care. National programme due to provide prioritisation of actions at a CIN level to inform how best to sequence implementation. Clinical Committee in preparatory discussions to allow quick mobilisation of actions once priorities are published. </w:t>
            </w:r>
            <w:r w:rsidRPr="00927641">
              <w:rPr>
                <w:rFonts w:ascii="Verdana" w:eastAsia="Times New Roman" w:hAnsi="Verdana" w:cs="Calibri"/>
                <w:color w:val="000000"/>
                <w:sz w:val="20"/>
                <w:szCs w:val="20"/>
                <w:lang w:eastAsia="en-GB"/>
              </w:rPr>
              <w:br/>
            </w:r>
            <w:r w:rsidRPr="00927641">
              <w:rPr>
                <w:rFonts w:ascii="Verdana" w:eastAsia="Times New Roman" w:hAnsi="Verdana" w:cs="Calibri"/>
                <w:color w:val="000000"/>
                <w:sz w:val="20"/>
                <w:szCs w:val="20"/>
                <w:lang w:eastAsia="en-GB"/>
              </w:rPr>
              <w:br/>
              <w:t>The Health Board has developed and implemented a training programme for waiting list management.  This is a modular programme, accessed via ESR and participation is monitored via the PADR process.</w:t>
            </w:r>
            <w:r w:rsidRPr="00927641">
              <w:rPr>
                <w:rFonts w:ascii="Verdana" w:eastAsia="Times New Roman" w:hAnsi="Verdana" w:cs="Calibri"/>
                <w:color w:val="000000"/>
                <w:sz w:val="20"/>
                <w:szCs w:val="20"/>
                <w:lang w:eastAsia="en-GB"/>
              </w:rPr>
              <w:br/>
            </w:r>
            <w:r w:rsidRPr="00927641">
              <w:rPr>
                <w:rFonts w:ascii="Verdana" w:eastAsia="Times New Roman" w:hAnsi="Verdana" w:cs="Calibri"/>
                <w:color w:val="000000"/>
                <w:sz w:val="20"/>
                <w:szCs w:val="20"/>
                <w:lang w:eastAsia="en-GB"/>
              </w:rPr>
              <w:br/>
            </w:r>
            <w:r w:rsidRPr="00927641">
              <w:rPr>
                <w:rFonts w:ascii="Verdana" w:eastAsia="Times New Roman" w:hAnsi="Verdana" w:cs="Calibri"/>
                <w:color w:val="000000"/>
                <w:sz w:val="20"/>
                <w:szCs w:val="20"/>
                <w:lang w:eastAsia="en-GB"/>
              </w:rPr>
              <w:br/>
              <w:t xml:space="preserve">More specifically for theatre management, the Health Board has implemented a 6-4-2 process, managed via a theatre scheduling group and a Theatre Operational Group.  It has also developed a suite of dashboards available via BI, that drills down into consultant level / procedure level information.  </w:t>
            </w:r>
          </w:p>
        </w:tc>
      </w:tr>
      <w:tr w:rsidR="00927641" w:rsidRPr="00927641" w14:paraId="2A642E5C" w14:textId="77777777" w:rsidTr="00365BD1">
        <w:trPr>
          <w:trHeight w:val="1611"/>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0CED67BF"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0AB1C47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60CAA491"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using existing specialty GIRFT health board and trust reports, the </w:t>
            </w:r>
            <w:proofErr w:type="gramStart"/>
            <w:r w:rsidRPr="00927641">
              <w:rPr>
                <w:rFonts w:ascii="Verdana" w:eastAsia="Times New Roman" w:hAnsi="Verdana" w:cs="Calibri"/>
                <w:i/>
                <w:iCs/>
                <w:color w:val="000000"/>
                <w:sz w:val="20"/>
                <w:szCs w:val="20"/>
                <w:lang w:eastAsia="en-GB"/>
              </w:rPr>
              <w:t>16 specialty</w:t>
            </w:r>
            <w:proofErr w:type="gramEnd"/>
            <w:r w:rsidRPr="00927641">
              <w:rPr>
                <w:rFonts w:ascii="Verdana" w:eastAsia="Times New Roman" w:hAnsi="Verdana" w:cs="Calibri"/>
                <w:i/>
                <w:iCs/>
                <w:color w:val="000000"/>
                <w:sz w:val="20"/>
                <w:szCs w:val="20"/>
                <w:lang w:eastAsia="en-GB"/>
              </w:rPr>
              <w:t xml:space="preserve"> specific Further Faster guides, mandatory electronic triage of referrals, and adoption of the 29 pathways across the 6 specialties with the longest waits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59184B1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140559F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2C5943C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778AFEF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26BC1A93" w14:textId="77777777" w:rsidTr="00365BD1">
        <w:trPr>
          <w:trHeight w:val="103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6053572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843B4A1"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5875848A"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From June 2025, progress reported monthly to health board and trust public meetings, and individual monthly Performance &amp; Productivity meetings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2F6A8C4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259574F0"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71B3E48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1D537BA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4EC9BDF4" w14:textId="77777777" w:rsidTr="00365BD1">
        <w:trPr>
          <w:trHeight w:val="512"/>
        </w:trPr>
        <w:tc>
          <w:tcPr>
            <w:tcW w:w="2511" w:type="dxa"/>
            <w:vMerge w:val="restart"/>
            <w:tcBorders>
              <w:top w:val="single" w:sz="4" w:space="0" w:color="auto"/>
              <w:left w:val="single" w:sz="4" w:space="0" w:color="auto"/>
              <w:bottom w:val="single" w:sz="4" w:space="0" w:color="auto"/>
              <w:right w:val="single" w:sz="4" w:space="0" w:color="auto"/>
            </w:tcBorders>
            <w:noWrap/>
            <w:hideMark/>
          </w:tcPr>
          <w:p w14:paraId="19544FDF"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tcBorders>
              <w:top w:val="single" w:sz="4" w:space="0" w:color="auto"/>
              <w:left w:val="single" w:sz="4" w:space="0" w:color="auto"/>
              <w:bottom w:val="single" w:sz="4" w:space="0" w:color="auto"/>
              <w:right w:val="single" w:sz="4" w:space="0" w:color="auto"/>
            </w:tcBorders>
            <w:noWrap/>
            <w:hideMark/>
          </w:tcPr>
          <w:p w14:paraId="5288E904"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3</w:t>
            </w:r>
          </w:p>
        </w:tc>
        <w:tc>
          <w:tcPr>
            <w:tcW w:w="4956" w:type="dxa"/>
            <w:tcBorders>
              <w:top w:val="single" w:sz="4" w:space="0" w:color="auto"/>
              <w:left w:val="single" w:sz="4" w:space="0" w:color="auto"/>
              <w:bottom w:val="single" w:sz="4" w:space="0" w:color="auto"/>
              <w:right w:val="single" w:sz="4" w:space="0" w:color="auto"/>
            </w:tcBorders>
            <w:hideMark/>
          </w:tcPr>
          <w:p w14:paraId="6960117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All health boards and trusts should take action to improve waiting list management</w:t>
            </w:r>
          </w:p>
        </w:tc>
        <w:tc>
          <w:tcPr>
            <w:tcW w:w="1935" w:type="dxa"/>
            <w:tcBorders>
              <w:top w:val="single" w:sz="4" w:space="0" w:color="auto"/>
              <w:left w:val="single" w:sz="4" w:space="0" w:color="auto"/>
              <w:bottom w:val="single" w:sz="4" w:space="0" w:color="auto"/>
              <w:right w:val="single" w:sz="4" w:space="0" w:color="auto"/>
            </w:tcBorders>
            <w:noWrap/>
            <w:hideMark/>
          </w:tcPr>
          <w:p w14:paraId="258B32B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tcBorders>
              <w:top w:val="single" w:sz="4" w:space="0" w:color="auto"/>
              <w:left w:val="single" w:sz="4" w:space="0" w:color="auto"/>
              <w:bottom w:val="single" w:sz="4" w:space="0" w:color="auto"/>
              <w:right w:val="single" w:sz="4" w:space="0" w:color="auto"/>
            </w:tcBorders>
            <w:noWrap/>
            <w:hideMark/>
          </w:tcPr>
          <w:p w14:paraId="68245AB5"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55B8CA9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2D41C25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3F8CE4B9" w14:textId="77777777" w:rsidTr="00365BD1">
        <w:trPr>
          <w:trHeight w:val="949"/>
        </w:trPr>
        <w:tc>
          <w:tcPr>
            <w:tcW w:w="2511" w:type="dxa"/>
            <w:vMerge/>
            <w:tcBorders>
              <w:top w:val="single" w:sz="4" w:space="0" w:color="auto"/>
              <w:left w:val="single" w:sz="4" w:space="0" w:color="808080"/>
              <w:bottom w:val="nil"/>
              <w:right w:val="single" w:sz="4" w:space="0" w:color="808080"/>
            </w:tcBorders>
            <w:vAlign w:val="center"/>
            <w:hideMark/>
          </w:tcPr>
          <w:p w14:paraId="2C89098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auto"/>
              <w:left w:val="single" w:sz="4" w:space="0" w:color="808080"/>
              <w:bottom w:val="nil"/>
              <w:right w:val="single" w:sz="4" w:space="0" w:color="808080"/>
            </w:tcBorders>
            <w:noWrap/>
            <w:hideMark/>
          </w:tcPr>
          <w:p w14:paraId="203ED88F"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3a)</w:t>
            </w:r>
          </w:p>
        </w:tc>
        <w:tc>
          <w:tcPr>
            <w:tcW w:w="4956" w:type="dxa"/>
            <w:tcBorders>
              <w:top w:val="single" w:sz="4" w:space="0" w:color="auto"/>
              <w:left w:val="nil"/>
              <w:bottom w:val="nil"/>
              <w:right w:val="nil"/>
            </w:tcBorders>
            <w:vAlign w:val="bottom"/>
            <w:hideMark/>
          </w:tcPr>
          <w:p w14:paraId="2606A3F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b/>
                <w:bCs/>
                <w:color w:val="000000"/>
                <w:sz w:val="20"/>
                <w:szCs w:val="20"/>
                <w:lang w:eastAsia="en-GB"/>
              </w:rPr>
              <w:t>Better prioritisation of available capacity for the longest-wait patients should become a pre-condition for receipt of additional funding from Welsh Government for elective recovery.</w:t>
            </w:r>
            <w:r w:rsidRPr="00927641">
              <w:rPr>
                <w:rFonts w:ascii="Verdana" w:eastAsia="Times New Roman" w:hAnsi="Verdana" w:cs="Calibri"/>
                <w:color w:val="000000"/>
                <w:sz w:val="20"/>
                <w:szCs w:val="20"/>
                <w:lang w:eastAsia="en-GB"/>
              </w:rPr>
              <w:t xml:space="preserve"> </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67CE0A0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vMerge w:val="restart"/>
            <w:tcBorders>
              <w:top w:val="single" w:sz="4" w:space="0" w:color="auto"/>
              <w:left w:val="nil"/>
              <w:bottom w:val="nil"/>
              <w:right w:val="nil"/>
            </w:tcBorders>
            <w:noWrap/>
            <w:hideMark/>
          </w:tcPr>
          <w:p w14:paraId="6663CF0A"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tcBorders>
              <w:top w:val="single" w:sz="4" w:space="0" w:color="auto"/>
              <w:left w:val="single" w:sz="4" w:space="0" w:color="auto"/>
              <w:bottom w:val="nil"/>
              <w:right w:val="single" w:sz="4" w:space="0" w:color="auto"/>
            </w:tcBorders>
            <w:vAlign w:val="center"/>
            <w:hideMark/>
          </w:tcPr>
          <w:p w14:paraId="1E0A8F5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16290AB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6AC4F9B2" w14:textId="77777777" w:rsidTr="00365BD1">
        <w:trPr>
          <w:trHeight w:val="1265"/>
        </w:trPr>
        <w:tc>
          <w:tcPr>
            <w:tcW w:w="2511" w:type="dxa"/>
            <w:vMerge/>
            <w:tcBorders>
              <w:top w:val="single" w:sz="4" w:space="0" w:color="808080"/>
              <w:left w:val="single" w:sz="4" w:space="0" w:color="808080"/>
              <w:bottom w:val="nil"/>
              <w:right w:val="single" w:sz="4" w:space="0" w:color="808080"/>
            </w:tcBorders>
            <w:vAlign w:val="center"/>
            <w:hideMark/>
          </w:tcPr>
          <w:p w14:paraId="1B2F69A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nil"/>
              <w:left w:val="single" w:sz="4" w:space="0" w:color="808080"/>
              <w:bottom w:val="nil"/>
              <w:right w:val="single" w:sz="4" w:space="0" w:color="808080"/>
            </w:tcBorders>
            <w:vAlign w:val="center"/>
            <w:hideMark/>
          </w:tcPr>
          <w:p w14:paraId="04F5A48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808080"/>
              <w:left w:val="single" w:sz="4" w:space="0" w:color="808080"/>
              <w:bottom w:val="single" w:sz="4" w:space="0" w:color="808080"/>
              <w:right w:val="nil"/>
            </w:tcBorders>
            <w:vAlign w:val="bottom"/>
            <w:hideMark/>
          </w:tcPr>
          <w:p w14:paraId="5EB4CB78"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Welsh Government should agree minimum standards based on Treat in Turn dataset, and elective recovery funding for 2025/26 should be conditional on meeting these in each health board within a defined period of time.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58EE95E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808080"/>
              <w:left w:val="nil"/>
              <w:bottom w:val="nil"/>
              <w:right w:val="nil"/>
            </w:tcBorders>
            <w:vAlign w:val="center"/>
            <w:hideMark/>
          </w:tcPr>
          <w:p w14:paraId="53FAB56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540E50D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44401DD3"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246D3578" w14:textId="77777777" w:rsidTr="00365BD1">
        <w:trPr>
          <w:trHeight w:val="617"/>
        </w:trPr>
        <w:tc>
          <w:tcPr>
            <w:tcW w:w="2511" w:type="dxa"/>
            <w:vMerge/>
            <w:tcBorders>
              <w:top w:val="single" w:sz="4" w:space="0" w:color="808080"/>
              <w:left w:val="single" w:sz="4" w:space="0" w:color="808080"/>
              <w:bottom w:val="single" w:sz="4" w:space="0" w:color="auto"/>
              <w:right w:val="single" w:sz="4" w:space="0" w:color="808080"/>
            </w:tcBorders>
            <w:vAlign w:val="center"/>
            <w:hideMark/>
          </w:tcPr>
          <w:p w14:paraId="21AC1DE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808080"/>
              <w:left w:val="single" w:sz="4" w:space="0" w:color="808080"/>
              <w:bottom w:val="single" w:sz="4" w:space="0" w:color="auto"/>
              <w:right w:val="single" w:sz="4" w:space="0" w:color="808080"/>
            </w:tcBorders>
            <w:noWrap/>
            <w:hideMark/>
          </w:tcPr>
          <w:p w14:paraId="6303BA5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3b)</w:t>
            </w:r>
          </w:p>
        </w:tc>
        <w:tc>
          <w:tcPr>
            <w:tcW w:w="4956" w:type="dxa"/>
            <w:tcBorders>
              <w:top w:val="single" w:sz="4" w:space="0" w:color="808080"/>
              <w:left w:val="single" w:sz="4" w:space="0" w:color="808080"/>
              <w:bottom w:val="single" w:sz="4" w:space="0" w:color="auto"/>
              <w:right w:val="nil"/>
            </w:tcBorders>
            <w:vAlign w:val="bottom"/>
            <w:hideMark/>
          </w:tcPr>
          <w:p w14:paraId="210FDDB8"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HEIW should set up an accredited training programme for waiting list management, across both RTT and Cancer</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78B98DF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vMerge w:val="restart"/>
            <w:tcBorders>
              <w:top w:val="single" w:sz="4" w:space="0" w:color="808080"/>
              <w:left w:val="nil"/>
              <w:bottom w:val="single" w:sz="4" w:space="0" w:color="auto"/>
              <w:right w:val="nil"/>
            </w:tcBorders>
            <w:noWrap/>
            <w:hideMark/>
          </w:tcPr>
          <w:p w14:paraId="018850CB"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5902C3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66FD748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5E962FF6" w14:textId="77777777" w:rsidTr="00365BD1">
        <w:trPr>
          <w:trHeight w:val="1084"/>
        </w:trPr>
        <w:tc>
          <w:tcPr>
            <w:tcW w:w="2511" w:type="dxa"/>
            <w:vMerge/>
            <w:tcBorders>
              <w:top w:val="single" w:sz="4" w:space="0" w:color="auto"/>
              <w:left w:val="single" w:sz="4" w:space="0" w:color="808080"/>
              <w:bottom w:val="nil"/>
              <w:right w:val="single" w:sz="4" w:space="0" w:color="808080"/>
            </w:tcBorders>
            <w:vAlign w:val="center"/>
            <w:hideMark/>
          </w:tcPr>
          <w:p w14:paraId="0CA8F3D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808080"/>
              <w:bottom w:val="nil"/>
              <w:right w:val="single" w:sz="4" w:space="0" w:color="808080"/>
            </w:tcBorders>
            <w:vAlign w:val="center"/>
            <w:hideMark/>
          </w:tcPr>
          <w:p w14:paraId="489E6DBF"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nil"/>
              <w:bottom w:val="nil"/>
              <w:right w:val="nil"/>
            </w:tcBorders>
            <w:vAlign w:val="bottom"/>
            <w:hideMark/>
          </w:tcPr>
          <w:p w14:paraId="00E5038B"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aimed at B7 and B8 managers in elective care; to become an expectation for all managers  to embed a consistent and shared set of skills across the country</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6CC5A61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nil"/>
              <w:bottom w:val="nil"/>
              <w:right w:val="nil"/>
            </w:tcBorders>
            <w:vAlign w:val="center"/>
            <w:hideMark/>
          </w:tcPr>
          <w:p w14:paraId="75819BD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08448A9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48862DC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7DC5DFFB" w14:textId="77777777" w:rsidTr="00365BD1">
        <w:trPr>
          <w:trHeight w:val="873"/>
        </w:trPr>
        <w:tc>
          <w:tcPr>
            <w:tcW w:w="2511" w:type="dxa"/>
            <w:vMerge/>
            <w:tcBorders>
              <w:top w:val="single" w:sz="4" w:space="0" w:color="808080"/>
              <w:left w:val="single" w:sz="4" w:space="0" w:color="808080"/>
              <w:bottom w:val="nil"/>
              <w:right w:val="single" w:sz="4" w:space="0" w:color="808080"/>
            </w:tcBorders>
            <w:vAlign w:val="center"/>
            <w:hideMark/>
          </w:tcPr>
          <w:p w14:paraId="42BACAF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808080"/>
              <w:left w:val="single" w:sz="4" w:space="0" w:color="808080"/>
              <w:bottom w:val="nil"/>
              <w:right w:val="single" w:sz="4" w:space="0" w:color="808080"/>
            </w:tcBorders>
            <w:noWrap/>
            <w:hideMark/>
          </w:tcPr>
          <w:p w14:paraId="1308E3A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3c)</w:t>
            </w:r>
          </w:p>
        </w:tc>
        <w:tc>
          <w:tcPr>
            <w:tcW w:w="4956" w:type="dxa"/>
            <w:tcBorders>
              <w:top w:val="nil"/>
              <w:left w:val="nil"/>
              <w:bottom w:val="single" w:sz="4" w:space="0" w:color="auto"/>
              <w:right w:val="nil"/>
            </w:tcBorders>
            <w:hideMark/>
          </w:tcPr>
          <w:p w14:paraId="5711946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Welsh Government should set a target for all patients to be validated down to 36 weeks by the end of 2025/26, and introduce a new national dataset to track progress.</w:t>
            </w:r>
          </w:p>
        </w:tc>
        <w:tc>
          <w:tcPr>
            <w:tcW w:w="1935" w:type="dxa"/>
            <w:vMerge w:val="restart"/>
            <w:tcBorders>
              <w:top w:val="nil"/>
              <w:left w:val="single" w:sz="4" w:space="0" w:color="808080"/>
              <w:bottom w:val="single" w:sz="4" w:space="0" w:color="auto"/>
              <w:right w:val="single" w:sz="4" w:space="0" w:color="808080"/>
            </w:tcBorders>
            <w:noWrap/>
            <w:hideMark/>
          </w:tcPr>
          <w:p w14:paraId="5876B8A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808080"/>
              <w:left w:val="single" w:sz="4" w:space="0" w:color="808080"/>
              <w:bottom w:val="single" w:sz="4" w:space="0" w:color="auto"/>
              <w:right w:val="nil"/>
            </w:tcBorders>
            <w:noWrap/>
            <w:hideMark/>
          </w:tcPr>
          <w:p w14:paraId="5D9720A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9CCB12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0CB458F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16F0CB4D" w14:textId="77777777" w:rsidTr="00365BD1">
        <w:trPr>
          <w:trHeight w:val="798"/>
        </w:trPr>
        <w:tc>
          <w:tcPr>
            <w:tcW w:w="2511" w:type="dxa"/>
            <w:vMerge/>
            <w:tcBorders>
              <w:top w:val="single" w:sz="4" w:space="0" w:color="808080"/>
              <w:left w:val="single" w:sz="4" w:space="0" w:color="808080"/>
              <w:bottom w:val="nil"/>
              <w:right w:val="single" w:sz="4" w:space="0" w:color="808080"/>
            </w:tcBorders>
            <w:vAlign w:val="center"/>
            <w:hideMark/>
          </w:tcPr>
          <w:p w14:paraId="2B2EA1B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808080"/>
              <w:left w:val="single" w:sz="4" w:space="0" w:color="808080"/>
              <w:bottom w:val="nil"/>
              <w:right w:val="single" w:sz="4" w:space="0" w:color="auto"/>
            </w:tcBorders>
            <w:vAlign w:val="center"/>
            <w:hideMark/>
          </w:tcPr>
          <w:p w14:paraId="36FF856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03ACE383"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If insufficient confidence can be achieved in all health boards / trusts, WG should consider nationally procured contract with company specialising in validation (could be once-for-Wales), through Elective Recovery funding.</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1AA0C31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2468895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596AB05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6CFBE79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5F5515E8" w14:textId="77777777" w:rsidTr="00365BD1">
        <w:trPr>
          <w:trHeight w:val="1476"/>
        </w:trPr>
        <w:tc>
          <w:tcPr>
            <w:tcW w:w="2511" w:type="dxa"/>
            <w:vMerge/>
            <w:tcBorders>
              <w:top w:val="single" w:sz="4" w:space="0" w:color="808080"/>
              <w:left w:val="single" w:sz="4" w:space="0" w:color="808080"/>
              <w:bottom w:val="single" w:sz="4" w:space="0" w:color="auto"/>
              <w:right w:val="single" w:sz="4" w:space="0" w:color="808080"/>
            </w:tcBorders>
            <w:vAlign w:val="center"/>
            <w:hideMark/>
          </w:tcPr>
          <w:p w14:paraId="2EB4000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808080"/>
              <w:left w:val="single" w:sz="4" w:space="0" w:color="808080"/>
              <w:bottom w:val="single" w:sz="4" w:space="0" w:color="auto"/>
              <w:right w:val="single" w:sz="4" w:space="0" w:color="auto"/>
            </w:tcBorders>
            <w:vAlign w:val="center"/>
            <w:hideMark/>
          </w:tcPr>
          <w:p w14:paraId="4A72933E"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288784EC"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DHCW should  develop a new national dataset to track progress, either based on ROTT (removals from the list for reasons other than treatment) rates or manual health board and trust returns around the proportion of 36+ week waiters validated, which should be regularly discussed at the Performance and Productivity meetings.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72030B9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79E00F4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23B7AB0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582A06D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762A9709" w14:textId="77777777" w:rsidTr="00365BD1">
        <w:trPr>
          <w:trHeight w:val="843"/>
        </w:trPr>
        <w:tc>
          <w:tcPr>
            <w:tcW w:w="2511" w:type="dxa"/>
            <w:vMerge w:val="restart"/>
            <w:tcBorders>
              <w:top w:val="single" w:sz="4" w:space="0" w:color="auto"/>
              <w:left w:val="single" w:sz="4" w:space="0" w:color="auto"/>
              <w:bottom w:val="single" w:sz="4" w:space="0" w:color="auto"/>
              <w:right w:val="single" w:sz="4" w:space="0" w:color="auto"/>
            </w:tcBorders>
            <w:noWrap/>
            <w:hideMark/>
          </w:tcPr>
          <w:p w14:paraId="5E36612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67395F38"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4a)</w:t>
            </w:r>
          </w:p>
        </w:tc>
        <w:tc>
          <w:tcPr>
            <w:tcW w:w="4956" w:type="dxa"/>
            <w:tcBorders>
              <w:top w:val="single" w:sz="4" w:space="0" w:color="auto"/>
              <w:left w:val="single" w:sz="4" w:space="0" w:color="auto"/>
              <w:bottom w:val="single" w:sz="4" w:space="0" w:color="auto"/>
              <w:right w:val="single" w:sz="4" w:space="0" w:color="auto"/>
            </w:tcBorders>
            <w:vAlign w:val="bottom"/>
            <w:hideMark/>
          </w:tcPr>
          <w:p w14:paraId="1F06C99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All health boards should reduce unwarranted variation in treatment waiting times and adopt best practice in theatre management.</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626FEB4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7AA1418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175BD03B"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3850286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269C360C" w14:textId="77777777" w:rsidTr="00365BD1">
        <w:trPr>
          <w:trHeight w:val="1777"/>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AF1272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0772EB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27485436"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Through the implementation of  GIRFT including  theatre reviews; supported by the establishment of local Theatre Optimisation Boards, with a remit to deliver increased productivity within theatre sessions including the implementation of best practice standards of cases per session, particularly in ophthalmology and orthopaedics (in ophthalmology 8 cataracts in 4 hour  if a training session and 10 if consultant only, and in elective orthopaedics a minimum requirement of 4 Joints or equivalent in an all day list).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1CD36FC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76736500"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43F6B70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6AD91F8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5F674031" w14:textId="77777777" w:rsidTr="00365BD1">
        <w:trPr>
          <w:trHeight w:val="115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1D22B5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06D4D524"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4b)</w:t>
            </w:r>
          </w:p>
        </w:tc>
        <w:tc>
          <w:tcPr>
            <w:tcW w:w="4956" w:type="dxa"/>
            <w:tcBorders>
              <w:top w:val="single" w:sz="4" w:space="0" w:color="auto"/>
              <w:left w:val="single" w:sz="4" w:space="0" w:color="auto"/>
              <w:bottom w:val="single" w:sz="4" w:space="0" w:color="auto"/>
              <w:right w:val="single" w:sz="4" w:space="0" w:color="auto"/>
            </w:tcBorders>
            <w:vAlign w:val="bottom"/>
            <w:hideMark/>
          </w:tcPr>
          <w:p w14:paraId="2E016C38"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Health boards should seek accreditation for all current Surgical Hubs</w:t>
            </w:r>
          </w:p>
        </w:tc>
        <w:tc>
          <w:tcPr>
            <w:tcW w:w="1935" w:type="dxa"/>
            <w:vMerge w:val="restart"/>
            <w:tcBorders>
              <w:top w:val="single" w:sz="4" w:space="0" w:color="auto"/>
              <w:left w:val="single" w:sz="4" w:space="0" w:color="auto"/>
              <w:bottom w:val="single" w:sz="4" w:space="0" w:color="auto"/>
              <w:right w:val="single" w:sz="4" w:space="0" w:color="auto"/>
            </w:tcBorders>
            <w:hideMark/>
          </w:tcPr>
          <w:p w14:paraId="07A16548" w14:textId="77777777" w:rsidR="00927641" w:rsidRPr="00927641" w:rsidRDefault="00927641" w:rsidP="00927641">
            <w:pPr>
              <w:spacing w:after="0" w:line="240" w:lineRule="auto"/>
              <w:jc w:val="center"/>
              <w:rPr>
                <w:rFonts w:ascii="Verdana" w:eastAsia="Times New Roman" w:hAnsi="Verdana" w:cs="Calibri"/>
                <w:i/>
                <w:iCs/>
                <w:color w:val="ED7D31"/>
                <w:sz w:val="20"/>
                <w:szCs w:val="20"/>
                <w:lang w:eastAsia="en-GB"/>
              </w:rPr>
            </w:pPr>
            <w:r w:rsidRPr="00927641">
              <w:rPr>
                <w:rFonts w:ascii="Verdana" w:eastAsia="Times New Roman" w:hAnsi="Verdana" w:cs="Calibri"/>
                <w:i/>
                <w:iCs/>
                <w:color w:val="ED7D31"/>
                <w:sz w:val="20"/>
                <w:szCs w:val="20"/>
                <w:lang w:eastAsia="en-GB"/>
              </w:rPr>
              <w:t>Health Board - WG propose in their response that they lead this</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55B732D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7025C74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single" w:sz="4" w:space="0" w:color="auto"/>
              <w:right w:val="single" w:sz="4" w:space="0" w:color="auto"/>
            </w:tcBorders>
            <w:hideMark/>
          </w:tcPr>
          <w:p w14:paraId="745AEDF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Clinical Committee received verbal update from national planned care director on 10th Nov outlining planned process for accreditation. SBUHB poised to engage once this is finalised. </w:t>
            </w:r>
          </w:p>
        </w:tc>
      </w:tr>
      <w:tr w:rsidR="00927641" w:rsidRPr="00927641" w14:paraId="3508D354" w14:textId="77777777" w:rsidTr="00365BD1">
        <w:trPr>
          <w:trHeight w:val="1566"/>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17168B91"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56F50581"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10E0F8D0"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(listed in Annex C) from the National Medical Director, within 6 months using standard GIRFT criteria including maximised theatre productivity (Annex D), and with all hubs to be accredited within 12 months. From June 2025, progress reported monthly to the public part </w:t>
            </w:r>
            <w:r w:rsidRPr="00927641">
              <w:rPr>
                <w:rFonts w:ascii="Verdana" w:eastAsia="Times New Roman" w:hAnsi="Verdana" w:cs="Calibri"/>
                <w:i/>
                <w:iCs/>
                <w:color w:val="000000"/>
                <w:sz w:val="20"/>
                <w:szCs w:val="20"/>
                <w:lang w:eastAsia="en-GB"/>
              </w:rPr>
              <w:lastRenderedPageBreak/>
              <w:t>of health board meetings, and  monthly Performance and Productivity meeting</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21B5F9F6" w14:textId="77777777" w:rsidR="00927641" w:rsidRPr="00927641" w:rsidRDefault="00927641" w:rsidP="00927641">
            <w:pPr>
              <w:spacing w:after="0" w:line="240" w:lineRule="auto"/>
              <w:rPr>
                <w:rFonts w:ascii="Verdana" w:eastAsia="Times New Roman" w:hAnsi="Verdana" w:cs="Calibri"/>
                <w:i/>
                <w:iCs/>
                <w:color w:val="ED7D31"/>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5D43274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7446077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3D9916B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225918A7" w14:textId="77777777" w:rsidTr="00365BD1">
        <w:trPr>
          <w:trHeight w:val="512"/>
        </w:trPr>
        <w:tc>
          <w:tcPr>
            <w:tcW w:w="2511" w:type="dxa"/>
            <w:vMerge w:val="restart"/>
            <w:tcBorders>
              <w:top w:val="single" w:sz="4" w:space="0" w:color="auto"/>
              <w:left w:val="single" w:sz="4" w:space="0" w:color="808080"/>
              <w:bottom w:val="nil"/>
              <w:right w:val="single" w:sz="4" w:space="0" w:color="808080"/>
            </w:tcBorders>
            <w:noWrap/>
            <w:hideMark/>
          </w:tcPr>
          <w:p w14:paraId="2EA0127C"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vMerge w:val="restart"/>
            <w:tcBorders>
              <w:top w:val="single" w:sz="4" w:space="0" w:color="auto"/>
              <w:left w:val="single" w:sz="4" w:space="0" w:color="808080"/>
              <w:bottom w:val="nil"/>
              <w:right w:val="single" w:sz="4" w:space="0" w:color="auto"/>
            </w:tcBorders>
            <w:noWrap/>
            <w:hideMark/>
          </w:tcPr>
          <w:p w14:paraId="4DF1F82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5</w:t>
            </w:r>
          </w:p>
        </w:tc>
        <w:tc>
          <w:tcPr>
            <w:tcW w:w="4956" w:type="dxa"/>
            <w:tcBorders>
              <w:top w:val="single" w:sz="4" w:space="0" w:color="auto"/>
              <w:left w:val="single" w:sz="4" w:space="0" w:color="auto"/>
              <w:bottom w:val="single" w:sz="4" w:space="0" w:color="auto"/>
              <w:right w:val="single" w:sz="4" w:space="0" w:color="auto"/>
            </w:tcBorders>
            <w:vAlign w:val="bottom"/>
            <w:hideMark/>
          </w:tcPr>
          <w:p w14:paraId="56C92F6E"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Establish a national dedicated fund for the use of the independent sector</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7F2D6B3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0C764E0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319B6B7C"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single" w:sz="4" w:space="0" w:color="auto"/>
              <w:right w:val="single" w:sz="4" w:space="0" w:color="auto"/>
            </w:tcBorders>
            <w:hideMark/>
          </w:tcPr>
          <w:p w14:paraId="327735D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SBUHB fully engaged in national programme of insourcing to reduce 26 week waits. On a sustainable basis, this requires further demand and capacity work, ideally on a regional basis to ensure there is equity in the provision of independent sector capacity.</w:t>
            </w:r>
          </w:p>
        </w:tc>
      </w:tr>
      <w:tr w:rsidR="00927641" w:rsidRPr="00927641" w14:paraId="71967A00" w14:textId="77777777" w:rsidTr="00365BD1">
        <w:trPr>
          <w:trHeight w:val="2304"/>
        </w:trPr>
        <w:tc>
          <w:tcPr>
            <w:tcW w:w="2511" w:type="dxa"/>
            <w:vMerge/>
            <w:tcBorders>
              <w:top w:val="single" w:sz="4" w:space="0" w:color="808080"/>
              <w:left w:val="single" w:sz="4" w:space="0" w:color="808080"/>
              <w:bottom w:val="single" w:sz="4" w:space="0" w:color="auto"/>
              <w:right w:val="single" w:sz="4" w:space="0" w:color="808080"/>
            </w:tcBorders>
            <w:vAlign w:val="center"/>
            <w:hideMark/>
          </w:tcPr>
          <w:p w14:paraId="4F13843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808080"/>
              <w:left w:val="single" w:sz="4" w:space="0" w:color="808080"/>
              <w:bottom w:val="single" w:sz="4" w:space="0" w:color="auto"/>
              <w:right w:val="single" w:sz="4" w:space="0" w:color="808080"/>
            </w:tcBorders>
            <w:vAlign w:val="center"/>
            <w:hideMark/>
          </w:tcPr>
          <w:p w14:paraId="3AC387F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nil"/>
              <w:bottom w:val="single" w:sz="4" w:space="0" w:color="auto"/>
              <w:right w:val="nil"/>
            </w:tcBorders>
            <w:hideMark/>
          </w:tcPr>
          <w:p w14:paraId="7A432C92"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For use in longer term sustainability challenges in demand/capacity that cannot be addressed through hb improvement. Nationally negotiated, multi-year contract with independent sector for ophthalmology in first instance, with consideration  to replicating  for orthopaedics or dermatology if positive results. Contracts should then be regionally managed, modelling  success of  Southeast Wales cataract contracting in 2024/25, ensuring equity of access across regional footprints. Longer-term, WG to commission options appraisal on opening up choice of provider to referring clinicians and patients in  specific, highly pressured specialties, and include these on  choice menu. </w:t>
            </w:r>
          </w:p>
        </w:tc>
        <w:tc>
          <w:tcPr>
            <w:tcW w:w="1935" w:type="dxa"/>
            <w:vMerge/>
            <w:tcBorders>
              <w:top w:val="single" w:sz="4" w:space="0" w:color="auto"/>
              <w:left w:val="single" w:sz="4" w:space="0" w:color="808080"/>
              <w:bottom w:val="nil"/>
              <w:right w:val="single" w:sz="4" w:space="0" w:color="808080"/>
            </w:tcBorders>
            <w:vAlign w:val="center"/>
            <w:hideMark/>
          </w:tcPr>
          <w:p w14:paraId="7E11DF30"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808080"/>
              <w:bottom w:val="nil"/>
              <w:right w:val="nil"/>
            </w:tcBorders>
            <w:vAlign w:val="center"/>
            <w:hideMark/>
          </w:tcPr>
          <w:p w14:paraId="0EAC21E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7C9DA9A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47826CD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02014B35" w14:textId="77777777" w:rsidTr="00365BD1">
        <w:trPr>
          <w:trHeight w:val="512"/>
        </w:trPr>
        <w:tc>
          <w:tcPr>
            <w:tcW w:w="2511" w:type="dxa"/>
            <w:vMerge w:val="restart"/>
            <w:tcBorders>
              <w:top w:val="single" w:sz="4" w:space="0" w:color="auto"/>
              <w:left w:val="single" w:sz="4" w:space="0" w:color="auto"/>
              <w:bottom w:val="single" w:sz="4" w:space="0" w:color="auto"/>
              <w:right w:val="single" w:sz="4" w:space="0" w:color="auto"/>
            </w:tcBorders>
            <w:noWrap/>
            <w:hideMark/>
          </w:tcPr>
          <w:p w14:paraId="34D3428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Planned Care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27ACA1BE"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6</w:t>
            </w:r>
          </w:p>
        </w:tc>
        <w:tc>
          <w:tcPr>
            <w:tcW w:w="4956" w:type="dxa"/>
            <w:tcBorders>
              <w:top w:val="single" w:sz="4" w:space="0" w:color="auto"/>
              <w:left w:val="single" w:sz="4" w:space="0" w:color="auto"/>
              <w:bottom w:val="single" w:sz="4" w:space="0" w:color="auto"/>
              <w:right w:val="nil"/>
            </w:tcBorders>
            <w:vAlign w:val="bottom"/>
            <w:hideMark/>
          </w:tcPr>
          <w:p w14:paraId="24C5C84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Welsh Government should create a national plan for endoscopy to address the current backlog of long-waits. </w:t>
            </w:r>
          </w:p>
        </w:tc>
        <w:tc>
          <w:tcPr>
            <w:tcW w:w="1935" w:type="dxa"/>
            <w:vMerge w:val="restart"/>
            <w:tcBorders>
              <w:top w:val="single" w:sz="4" w:space="0" w:color="auto"/>
              <w:left w:val="single" w:sz="4" w:space="0" w:color="auto"/>
              <w:bottom w:val="nil"/>
              <w:right w:val="single" w:sz="4" w:space="0" w:color="auto"/>
            </w:tcBorders>
            <w:shd w:val="clear" w:color="000000" w:fill="FFFFFF"/>
            <w:noWrap/>
            <w:hideMark/>
          </w:tcPr>
          <w:p w14:paraId="52A1D005"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nil"/>
              <w:right w:val="single" w:sz="4" w:space="0" w:color="auto"/>
            </w:tcBorders>
            <w:noWrap/>
            <w:hideMark/>
          </w:tcPr>
          <w:p w14:paraId="24B6237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nil"/>
              <w:right w:val="single" w:sz="4" w:space="0" w:color="auto"/>
            </w:tcBorders>
            <w:shd w:val="clear" w:color="000000" w:fill="92D050"/>
            <w:noWrap/>
            <w:vAlign w:val="bottom"/>
            <w:hideMark/>
          </w:tcPr>
          <w:p w14:paraId="7A7A4E6F"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nil"/>
              <w:right w:val="single" w:sz="4" w:space="0" w:color="auto"/>
            </w:tcBorders>
            <w:hideMark/>
          </w:tcPr>
          <w:p w14:paraId="411FF4DB" w14:textId="07336495"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SBUHB fully engaged in WG Phase 4 plan for diagnostics. A plan is in place to deliver the 8-week target by the end of March 2026, using the additional resource made available by the Phase 4 programme.</w:t>
            </w:r>
          </w:p>
        </w:tc>
      </w:tr>
      <w:tr w:rsidR="00927641" w:rsidRPr="00927641" w14:paraId="79B97969" w14:textId="77777777" w:rsidTr="00365BD1">
        <w:trPr>
          <w:trHeight w:val="87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06AED4F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C2D081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nil"/>
            </w:tcBorders>
            <w:hideMark/>
          </w:tcPr>
          <w:p w14:paraId="669C043B"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This should include prioritised capital for Betsi Cadwaladr University Health Board to bring it line with other health boards.</w:t>
            </w:r>
          </w:p>
        </w:tc>
        <w:tc>
          <w:tcPr>
            <w:tcW w:w="1935" w:type="dxa"/>
            <w:vMerge/>
            <w:tcBorders>
              <w:top w:val="single" w:sz="4" w:space="0" w:color="auto"/>
              <w:left w:val="single" w:sz="4" w:space="0" w:color="auto"/>
              <w:bottom w:val="nil"/>
              <w:right w:val="single" w:sz="4" w:space="0" w:color="auto"/>
            </w:tcBorders>
            <w:vAlign w:val="center"/>
            <w:hideMark/>
          </w:tcPr>
          <w:p w14:paraId="0A5B2AA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nil"/>
              <w:right w:val="single" w:sz="4" w:space="0" w:color="auto"/>
            </w:tcBorders>
            <w:vAlign w:val="center"/>
            <w:hideMark/>
          </w:tcPr>
          <w:p w14:paraId="6680B6C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72F146F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2D3C349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6F035C40" w14:textId="77777777" w:rsidTr="00365BD1">
        <w:trPr>
          <w:trHeight w:val="1385"/>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B73B01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0036975B"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nil"/>
            </w:tcBorders>
            <w:hideMark/>
          </w:tcPr>
          <w:p w14:paraId="4959385A"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In all other areas the focus should be on appropriate utilisation of existing resources, creating a national utilisation dataset (using GIRFT productivity benchmarks) which is reviewed regularly at the new Performance and Productivity Meeting. </w:t>
            </w:r>
          </w:p>
        </w:tc>
        <w:tc>
          <w:tcPr>
            <w:tcW w:w="1935" w:type="dxa"/>
            <w:vMerge/>
            <w:tcBorders>
              <w:top w:val="single" w:sz="4" w:space="0" w:color="auto"/>
              <w:left w:val="single" w:sz="4" w:space="0" w:color="auto"/>
              <w:bottom w:val="nil"/>
              <w:right w:val="single" w:sz="4" w:space="0" w:color="auto"/>
            </w:tcBorders>
            <w:vAlign w:val="center"/>
            <w:hideMark/>
          </w:tcPr>
          <w:p w14:paraId="7ED3BAA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nil"/>
              <w:right w:val="single" w:sz="4" w:space="0" w:color="auto"/>
            </w:tcBorders>
            <w:vAlign w:val="center"/>
            <w:hideMark/>
          </w:tcPr>
          <w:p w14:paraId="1BAD48E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61D1A4E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42AFD82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0FBA31C1" w14:textId="77777777" w:rsidTr="00365BD1">
        <w:trPr>
          <w:trHeight w:val="828"/>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6EF7038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154F2AB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nil"/>
            </w:tcBorders>
            <w:hideMark/>
          </w:tcPr>
          <w:p w14:paraId="192550EC"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HEIW should be commissioned to establish a new programme to expand Non-Medical Endoscopist training to rapidly expand the available workforce.</w:t>
            </w:r>
          </w:p>
        </w:tc>
        <w:tc>
          <w:tcPr>
            <w:tcW w:w="1935" w:type="dxa"/>
            <w:tcBorders>
              <w:top w:val="single" w:sz="4" w:space="0" w:color="auto"/>
              <w:left w:val="single" w:sz="4" w:space="0" w:color="auto"/>
              <w:bottom w:val="single" w:sz="4" w:space="0" w:color="auto"/>
              <w:right w:val="single" w:sz="4" w:space="0" w:color="auto"/>
            </w:tcBorders>
            <w:noWrap/>
            <w:hideMark/>
          </w:tcPr>
          <w:p w14:paraId="479E1CF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tcBorders>
              <w:top w:val="single" w:sz="4" w:space="0" w:color="auto"/>
              <w:left w:val="single" w:sz="4" w:space="0" w:color="auto"/>
              <w:bottom w:val="single" w:sz="4" w:space="0" w:color="auto"/>
              <w:right w:val="single" w:sz="4" w:space="0" w:color="auto"/>
            </w:tcBorders>
            <w:noWrap/>
            <w:hideMark/>
          </w:tcPr>
          <w:p w14:paraId="17C90DAA"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71DEA8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71BA3618"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390FD084" w14:textId="77777777" w:rsidTr="00365BD1">
        <w:trPr>
          <w:trHeight w:val="2831"/>
        </w:trPr>
        <w:tc>
          <w:tcPr>
            <w:tcW w:w="2511" w:type="dxa"/>
            <w:tcBorders>
              <w:top w:val="single" w:sz="4" w:space="0" w:color="auto"/>
              <w:left w:val="single" w:sz="4" w:space="0" w:color="808080"/>
              <w:bottom w:val="single" w:sz="4" w:space="0" w:color="auto"/>
              <w:right w:val="single" w:sz="4" w:space="0" w:color="808080"/>
            </w:tcBorders>
            <w:noWrap/>
            <w:hideMark/>
          </w:tcPr>
          <w:p w14:paraId="0FB223C1"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lastRenderedPageBreak/>
              <w:t xml:space="preserve">Planned Care </w:t>
            </w:r>
          </w:p>
        </w:tc>
        <w:tc>
          <w:tcPr>
            <w:tcW w:w="607" w:type="dxa"/>
            <w:tcBorders>
              <w:top w:val="single" w:sz="4" w:space="0" w:color="auto"/>
              <w:left w:val="single" w:sz="4" w:space="0" w:color="808080"/>
              <w:bottom w:val="single" w:sz="4" w:space="0" w:color="auto"/>
              <w:right w:val="single" w:sz="4" w:space="0" w:color="808080"/>
            </w:tcBorders>
            <w:noWrap/>
            <w:hideMark/>
          </w:tcPr>
          <w:p w14:paraId="401267D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7</w:t>
            </w:r>
          </w:p>
        </w:tc>
        <w:tc>
          <w:tcPr>
            <w:tcW w:w="4956" w:type="dxa"/>
            <w:tcBorders>
              <w:top w:val="single" w:sz="4" w:space="0" w:color="auto"/>
              <w:left w:val="nil"/>
              <w:bottom w:val="single" w:sz="4" w:space="0" w:color="auto"/>
              <w:right w:val="nil"/>
            </w:tcBorders>
            <w:hideMark/>
          </w:tcPr>
          <w:p w14:paraId="1D25D2C9"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With the support of the proposed Performance and Productivity Unit regions should develop a plan to create a regional pathology service which is safe, sustainable and fit for the future. The plan should include the full implementation of digital pathology as a key service enabler and address workforce, estate and equipment shortfalls. </w:t>
            </w:r>
          </w:p>
        </w:tc>
        <w:tc>
          <w:tcPr>
            <w:tcW w:w="1935" w:type="dxa"/>
            <w:tcBorders>
              <w:top w:val="nil"/>
              <w:left w:val="single" w:sz="4" w:space="0" w:color="auto"/>
              <w:bottom w:val="single" w:sz="4" w:space="0" w:color="auto"/>
              <w:right w:val="single" w:sz="4" w:space="0" w:color="auto"/>
            </w:tcBorders>
            <w:shd w:val="clear" w:color="000000" w:fill="FFFFFF"/>
            <w:noWrap/>
            <w:hideMark/>
          </w:tcPr>
          <w:p w14:paraId="4F14274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Regions</w:t>
            </w:r>
          </w:p>
        </w:tc>
        <w:tc>
          <w:tcPr>
            <w:tcW w:w="1713" w:type="dxa"/>
            <w:tcBorders>
              <w:top w:val="nil"/>
              <w:left w:val="nil"/>
              <w:bottom w:val="single" w:sz="4" w:space="0" w:color="auto"/>
              <w:right w:val="nil"/>
            </w:tcBorders>
            <w:noWrap/>
            <w:hideMark/>
          </w:tcPr>
          <w:p w14:paraId="5333F32F"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tcBorders>
              <w:top w:val="single" w:sz="4" w:space="0" w:color="auto"/>
              <w:left w:val="single" w:sz="4" w:space="0" w:color="auto"/>
              <w:bottom w:val="single" w:sz="4" w:space="0" w:color="auto"/>
              <w:right w:val="single" w:sz="4" w:space="0" w:color="auto"/>
            </w:tcBorders>
            <w:noWrap/>
            <w:vAlign w:val="bottom"/>
            <w:hideMark/>
          </w:tcPr>
          <w:p w14:paraId="0B053FD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hideMark/>
          </w:tcPr>
          <w:p w14:paraId="636F1F4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The Regional Cellular Pathology Programme is underway, supported by resource from the Regional Joint Committee PMO.  In September 2025, both Hywel Dda and Swansea Bay Health Boards received a paper outlining the intentions to develop a Regional Cellular Pathology Service. These intentions were approved, and work is progressing at pace to define what that programme will look like. A clear timeline has been established to submit a proposed single site option for a Regional Cellular Pathology Laboratory to Welsh Government Capital team by the end of January 2026.  In addition, a timeline is being developed for the development of a Cellular Pathology Operational Delivery Network for South West Wales.</w:t>
            </w:r>
          </w:p>
        </w:tc>
      </w:tr>
      <w:tr w:rsidR="00927641" w:rsidRPr="00927641" w14:paraId="5EBBE772" w14:textId="77777777" w:rsidTr="00365BD1">
        <w:trPr>
          <w:trHeight w:val="1536"/>
        </w:trPr>
        <w:tc>
          <w:tcPr>
            <w:tcW w:w="2511" w:type="dxa"/>
            <w:vMerge w:val="restart"/>
            <w:tcBorders>
              <w:top w:val="single" w:sz="4" w:space="0" w:color="auto"/>
              <w:left w:val="single" w:sz="4" w:space="0" w:color="auto"/>
              <w:bottom w:val="single" w:sz="4" w:space="0" w:color="auto"/>
              <w:right w:val="single" w:sz="4" w:space="0" w:color="auto"/>
            </w:tcBorders>
            <w:hideMark/>
          </w:tcPr>
          <w:p w14:paraId="2EBF3D1C"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Cancer</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799816E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9</w:t>
            </w:r>
          </w:p>
        </w:tc>
        <w:tc>
          <w:tcPr>
            <w:tcW w:w="4956" w:type="dxa"/>
            <w:tcBorders>
              <w:top w:val="single" w:sz="4" w:space="0" w:color="auto"/>
              <w:left w:val="single" w:sz="4" w:space="0" w:color="auto"/>
              <w:bottom w:val="single" w:sz="4" w:space="0" w:color="auto"/>
              <w:right w:val="single" w:sz="4" w:space="0" w:color="auto"/>
            </w:tcBorders>
            <w:vAlign w:val="bottom"/>
            <w:hideMark/>
          </w:tcPr>
          <w:p w14:paraId="5AB2F9C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No additional cancer performance plans should be produced for 2025/26 and 2026/27. Instead, there should be an immediate focus on implementing a narrow but nationally mandated set of deliverables drawn from existing policy proposals.</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hideMark/>
          </w:tcPr>
          <w:p w14:paraId="1F241B2F"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National and Health Board</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4733AB26"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243998D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single" w:sz="4" w:space="0" w:color="auto"/>
              <w:right w:val="single" w:sz="4" w:space="0" w:color="auto"/>
            </w:tcBorders>
            <w:hideMark/>
          </w:tcPr>
          <w:p w14:paraId="50A82C64" w14:textId="56784381"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 is focusing on the narrow cancer improvement deliverables proposed by MAG i.e. consistent implementation on symptomatic FIT testing for Lower GI, implementation of national breast-pain only pathway, participation in nationally funded Local Anaesthetic Transperineal (Prostate Biopsy) training in Urology, expansion of teledermatology and adoption of national pathway for Post Menopausal Bleeding.</w:t>
            </w:r>
          </w:p>
        </w:tc>
      </w:tr>
      <w:tr w:rsidR="00927641" w:rsidRPr="00927641" w14:paraId="4880280D" w14:textId="77777777" w:rsidTr="00365BD1">
        <w:trPr>
          <w:trHeight w:val="3329"/>
        </w:trPr>
        <w:tc>
          <w:tcPr>
            <w:tcW w:w="2511" w:type="dxa"/>
            <w:vMerge/>
            <w:tcBorders>
              <w:top w:val="single" w:sz="4" w:space="0" w:color="auto"/>
              <w:left w:val="single" w:sz="4" w:space="0" w:color="808080"/>
              <w:bottom w:val="single" w:sz="4" w:space="0" w:color="auto"/>
              <w:right w:val="single" w:sz="4" w:space="0" w:color="808080"/>
            </w:tcBorders>
            <w:vAlign w:val="center"/>
            <w:hideMark/>
          </w:tcPr>
          <w:p w14:paraId="69AAE89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808080"/>
              <w:bottom w:val="single" w:sz="4" w:space="0" w:color="auto"/>
              <w:right w:val="single" w:sz="4" w:space="0" w:color="auto"/>
            </w:tcBorders>
            <w:vAlign w:val="center"/>
            <w:hideMark/>
          </w:tcPr>
          <w:p w14:paraId="5CA8C89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5223E806"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NHS Wales should identify single highest-impact pathway change for each of five tumour types driving poor performance: skin, lower GI, breast, gynaecology and urology. These form  basis of much narrower, focused set of national support activities and accountability conversations with hbs, alongside  continued local focus health boards will have on  more unique challenges. For Lower GI, more consistent implementation of symptomatic FIT, with new dataset  across endoscopy to assess whether capacity is appropriately prioritised for FIT positive patients. For gynaecology, consistent post-menopausal bleeding services; for breast the provision of breast-pain services; and for skin more standardised provision of teledermatology in primary care. In all cases, national specifications to base in primary care wherever possible, reducing referrals to secondary care as a whole rather than substituting SCPnon-urgent referrals.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46891D99"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1541543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0649AA50"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single" w:sz="4" w:space="0" w:color="auto"/>
              <w:right w:val="single" w:sz="4" w:space="0" w:color="auto"/>
            </w:tcBorders>
            <w:vAlign w:val="center"/>
            <w:hideMark/>
          </w:tcPr>
          <w:p w14:paraId="5317861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117EED0D" w14:textId="77777777" w:rsidTr="00365BD1">
        <w:trPr>
          <w:trHeight w:val="1009"/>
        </w:trPr>
        <w:tc>
          <w:tcPr>
            <w:tcW w:w="2511" w:type="dxa"/>
            <w:vMerge w:val="restart"/>
            <w:tcBorders>
              <w:top w:val="single" w:sz="4" w:space="0" w:color="auto"/>
              <w:left w:val="single" w:sz="4" w:space="0" w:color="auto"/>
              <w:bottom w:val="single" w:sz="4" w:space="0" w:color="auto"/>
              <w:right w:val="single" w:sz="4" w:space="0" w:color="auto"/>
            </w:tcBorders>
            <w:hideMark/>
          </w:tcPr>
          <w:p w14:paraId="778D52AF"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Cancer</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03AA0D39"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10</w:t>
            </w:r>
          </w:p>
        </w:tc>
        <w:tc>
          <w:tcPr>
            <w:tcW w:w="4956" w:type="dxa"/>
            <w:tcBorders>
              <w:top w:val="single" w:sz="4" w:space="0" w:color="auto"/>
              <w:left w:val="single" w:sz="4" w:space="0" w:color="auto"/>
              <w:bottom w:val="single" w:sz="4" w:space="0" w:color="auto"/>
              <w:right w:val="single" w:sz="4" w:space="0" w:color="auto"/>
            </w:tcBorders>
            <w:vAlign w:val="bottom"/>
            <w:hideMark/>
          </w:tcPr>
          <w:p w14:paraId="2DC9EABF"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 ring-fenced fund, held centrally, should be created to directly fund the highimpact, nationally prescribed service changes described in Recommendation 9, which are monitored through the health board performance report (see Recommendation 21).</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363F6D3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3A4DA9E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507CC5DC"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5DBF5DD0"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142B9E84" w14:textId="77777777" w:rsidTr="00365BD1">
        <w:trPr>
          <w:trHeight w:val="100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4D58C23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611ED40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76B8DE8A"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Could be created from restructuring smaller ring-fenced amounts where limited evidence of impact; or by retaining proportion of new funds in future years. HBs must demonstrate use of these funds for specified initiatives using national data, or funding should be withheld or subject to claw-back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2D3E57B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4BB7931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5C92DF7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09942A68"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266824DE" w14:textId="77777777" w:rsidTr="00365BD1">
        <w:trPr>
          <w:trHeight w:val="1265"/>
        </w:trPr>
        <w:tc>
          <w:tcPr>
            <w:tcW w:w="2511" w:type="dxa"/>
            <w:vMerge w:val="restart"/>
            <w:tcBorders>
              <w:top w:val="single" w:sz="4" w:space="0" w:color="auto"/>
              <w:left w:val="single" w:sz="4" w:space="0" w:color="auto"/>
              <w:bottom w:val="single" w:sz="4" w:space="0" w:color="auto"/>
              <w:right w:val="single" w:sz="4" w:space="0" w:color="auto"/>
            </w:tcBorders>
            <w:hideMark/>
          </w:tcPr>
          <w:p w14:paraId="686CF369"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Cancer</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36C2EB98"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11</w:t>
            </w:r>
          </w:p>
        </w:tc>
        <w:tc>
          <w:tcPr>
            <w:tcW w:w="4956" w:type="dxa"/>
            <w:tcBorders>
              <w:top w:val="single" w:sz="4" w:space="0" w:color="auto"/>
              <w:left w:val="single" w:sz="4" w:space="0" w:color="auto"/>
              <w:bottom w:val="single" w:sz="4" w:space="0" w:color="auto"/>
              <w:right w:val="single" w:sz="4" w:space="0" w:color="auto"/>
            </w:tcBorders>
            <w:vAlign w:val="bottom"/>
            <w:hideMark/>
          </w:tcPr>
          <w:p w14:paraId="6ED507FF"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The Welsh Government should establish financial incentives in primary care to improve cancer performance, focusing on in-depth diagnostic work-up and subsequent safety-netting in order to reduce referral volumes and provide more diagnostic information for patient triage in secondary care</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7DA0C36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1B75841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658297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7F3B70ED"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28A76DB8" w14:textId="77777777" w:rsidTr="00365BD1">
        <w:trPr>
          <w:trHeight w:val="1521"/>
        </w:trPr>
        <w:tc>
          <w:tcPr>
            <w:tcW w:w="2511" w:type="dxa"/>
            <w:vMerge/>
            <w:tcBorders>
              <w:top w:val="single" w:sz="4" w:space="0" w:color="auto"/>
              <w:left w:val="single" w:sz="4" w:space="0" w:color="808080"/>
              <w:bottom w:val="nil"/>
              <w:right w:val="single" w:sz="4" w:space="0" w:color="auto"/>
            </w:tcBorders>
            <w:vAlign w:val="center"/>
            <w:hideMark/>
          </w:tcPr>
          <w:p w14:paraId="045B1A5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360F20BA"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7D674939"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Given the five tumour types driving the majority of long waits nationally, initial incentives could include increased safety netting for FIT negative patients, the provision of breastpain services, or the development of teledermatology arrangements outside of secondary care. This will require changes in contracts at the cluster and practice level including updating the governance framework indicators by July 2025.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7E70FEB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4FE9ED1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5C3916A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1527885F"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0804341D" w14:textId="77777777" w:rsidTr="00365BD1">
        <w:trPr>
          <w:trHeight w:val="1777"/>
        </w:trPr>
        <w:tc>
          <w:tcPr>
            <w:tcW w:w="2511" w:type="dxa"/>
            <w:tcBorders>
              <w:top w:val="single" w:sz="4" w:space="0" w:color="808080"/>
              <w:left w:val="single" w:sz="4" w:space="0" w:color="808080"/>
              <w:bottom w:val="nil"/>
              <w:right w:val="single" w:sz="4" w:space="0" w:color="auto"/>
            </w:tcBorders>
            <w:hideMark/>
          </w:tcPr>
          <w:p w14:paraId="3A28F114"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Cancer</w:t>
            </w:r>
          </w:p>
        </w:tc>
        <w:tc>
          <w:tcPr>
            <w:tcW w:w="607" w:type="dxa"/>
            <w:tcBorders>
              <w:top w:val="single" w:sz="4" w:space="0" w:color="auto"/>
              <w:left w:val="single" w:sz="4" w:space="0" w:color="auto"/>
              <w:bottom w:val="single" w:sz="4" w:space="0" w:color="auto"/>
              <w:right w:val="single" w:sz="4" w:space="0" w:color="auto"/>
            </w:tcBorders>
            <w:noWrap/>
            <w:hideMark/>
          </w:tcPr>
          <w:p w14:paraId="4FB55FCF"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12</w:t>
            </w:r>
          </w:p>
        </w:tc>
        <w:tc>
          <w:tcPr>
            <w:tcW w:w="4956" w:type="dxa"/>
            <w:tcBorders>
              <w:top w:val="single" w:sz="4" w:space="0" w:color="auto"/>
              <w:left w:val="single" w:sz="4" w:space="0" w:color="auto"/>
              <w:bottom w:val="single" w:sz="4" w:space="0" w:color="auto"/>
              <w:right w:val="single" w:sz="4" w:space="0" w:color="auto"/>
            </w:tcBorders>
            <w:hideMark/>
          </w:tcPr>
          <w:p w14:paraId="7C29765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The Cancer Network and the cancer arm of the Planned Care Recovery Programme should formally merge to create a single team responsible for setting the strategic direction of cancer care in Wales and directing improvement activities to support this, led by a senior clinician and senior managerial lead, reporting to the Managing Director of the proposed Performance and Productivity Unit and the National Medical Director.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5DADE84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tcBorders>
              <w:top w:val="single" w:sz="4" w:space="0" w:color="auto"/>
              <w:left w:val="single" w:sz="4" w:space="0" w:color="auto"/>
              <w:bottom w:val="single" w:sz="4" w:space="0" w:color="auto"/>
              <w:right w:val="single" w:sz="4" w:space="0" w:color="auto"/>
            </w:tcBorders>
            <w:noWrap/>
            <w:hideMark/>
          </w:tcPr>
          <w:p w14:paraId="73B4012B"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tcBorders>
              <w:top w:val="single" w:sz="4" w:space="0" w:color="auto"/>
              <w:left w:val="single" w:sz="4" w:space="0" w:color="auto"/>
              <w:bottom w:val="single" w:sz="4" w:space="0" w:color="auto"/>
              <w:right w:val="single" w:sz="4" w:space="0" w:color="auto"/>
            </w:tcBorders>
            <w:shd w:val="clear" w:color="000000" w:fill="92D050"/>
            <w:noWrap/>
            <w:hideMark/>
          </w:tcPr>
          <w:p w14:paraId="5B9DBC9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Complete</w:t>
            </w:r>
          </w:p>
        </w:tc>
        <w:tc>
          <w:tcPr>
            <w:tcW w:w="7693" w:type="dxa"/>
            <w:tcBorders>
              <w:top w:val="single" w:sz="4" w:space="0" w:color="auto"/>
              <w:left w:val="single" w:sz="4" w:space="0" w:color="auto"/>
              <w:bottom w:val="single" w:sz="4" w:space="0" w:color="auto"/>
              <w:right w:val="single" w:sz="4" w:space="0" w:color="auto"/>
            </w:tcBorders>
            <w:shd w:val="clear" w:color="000000" w:fill="92D050"/>
            <w:noWrap/>
            <w:hideMark/>
          </w:tcPr>
          <w:p w14:paraId="4D59C5C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r>
      <w:tr w:rsidR="00927641" w:rsidRPr="00927641" w14:paraId="2ED28C4B" w14:textId="77777777" w:rsidTr="00365BD1">
        <w:trPr>
          <w:trHeight w:val="1521"/>
        </w:trPr>
        <w:tc>
          <w:tcPr>
            <w:tcW w:w="2511" w:type="dxa"/>
            <w:vMerge w:val="restart"/>
            <w:tcBorders>
              <w:top w:val="single" w:sz="4" w:space="0" w:color="auto"/>
              <w:left w:val="single" w:sz="4" w:space="0" w:color="auto"/>
              <w:bottom w:val="single" w:sz="4" w:space="0" w:color="auto"/>
              <w:right w:val="single" w:sz="4" w:space="0" w:color="auto"/>
            </w:tcBorders>
            <w:hideMark/>
          </w:tcPr>
          <w:p w14:paraId="244FFC7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Cancer</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2B949F4C"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13</w:t>
            </w:r>
          </w:p>
        </w:tc>
        <w:tc>
          <w:tcPr>
            <w:tcW w:w="4956" w:type="dxa"/>
            <w:tcBorders>
              <w:top w:val="single" w:sz="4" w:space="0" w:color="auto"/>
              <w:left w:val="single" w:sz="4" w:space="0" w:color="auto"/>
              <w:bottom w:val="single" w:sz="4" w:space="0" w:color="auto"/>
              <w:right w:val="single" w:sz="4" w:space="0" w:color="auto"/>
            </w:tcBorders>
            <w:hideMark/>
          </w:tcPr>
          <w:p w14:paraId="7FAFE01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Digital Health and Care Wales (DHCW) should develop a plan to begin collecting and publishing more granular tumour-level performance data from the beginning of the 2026/27 financial year at the latest. DHCW should also produce an options appraisal for the production of a linked dataset containing cancer and diagnostics waiting times data,</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1934455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05541D8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6FE7DFF"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nil"/>
              <w:right w:val="single" w:sz="4" w:space="0" w:color="auto"/>
            </w:tcBorders>
            <w:shd w:val="clear" w:color="000000" w:fill="E7E6E6"/>
            <w:noWrap/>
            <w:hideMark/>
          </w:tcPr>
          <w:p w14:paraId="6C3455F5"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44A37BE7" w14:textId="77777777" w:rsidTr="00365BD1">
        <w:trPr>
          <w:trHeight w:val="512"/>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E5CEF7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2E5C6AE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2A7CCC66"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producing pathway-level insights into the key diagnostic drivers of long-waits at health board and at national level.</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10BA214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4F9C3BF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37B49CD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single" w:sz="4" w:space="0" w:color="auto"/>
              <w:right w:val="single" w:sz="4" w:space="0" w:color="auto"/>
            </w:tcBorders>
            <w:shd w:val="clear" w:color="000000" w:fill="E7E6E6"/>
            <w:noWrap/>
            <w:hideMark/>
          </w:tcPr>
          <w:p w14:paraId="26F29DFB"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2C3DE779" w14:textId="77777777" w:rsidTr="00365BD1">
        <w:trPr>
          <w:trHeight w:val="3012"/>
        </w:trPr>
        <w:tc>
          <w:tcPr>
            <w:tcW w:w="2511" w:type="dxa"/>
            <w:vMerge w:val="restart"/>
            <w:tcBorders>
              <w:top w:val="single" w:sz="4" w:space="0" w:color="auto"/>
              <w:left w:val="single" w:sz="4" w:space="0" w:color="auto"/>
              <w:bottom w:val="single" w:sz="4" w:space="0" w:color="auto"/>
              <w:right w:val="single" w:sz="4" w:space="0" w:color="auto"/>
            </w:tcBorders>
            <w:hideMark/>
          </w:tcPr>
          <w:p w14:paraId="4ED51EF7"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lastRenderedPageBreak/>
              <w:t>Urgent &amp; Emergency Care</w:t>
            </w:r>
          </w:p>
        </w:tc>
        <w:tc>
          <w:tcPr>
            <w:tcW w:w="607" w:type="dxa"/>
            <w:tcBorders>
              <w:top w:val="single" w:sz="4" w:space="0" w:color="auto"/>
              <w:left w:val="single" w:sz="4" w:space="0" w:color="auto"/>
              <w:bottom w:val="single" w:sz="4" w:space="0" w:color="auto"/>
              <w:right w:val="single" w:sz="4" w:space="0" w:color="auto"/>
            </w:tcBorders>
            <w:noWrap/>
            <w:hideMark/>
          </w:tcPr>
          <w:p w14:paraId="6111BF99"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14</w:t>
            </w:r>
          </w:p>
        </w:tc>
        <w:tc>
          <w:tcPr>
            <w:tcW w:w="4956" w:type="dxa"/>
            <w:tcBorders>
              <w:top w:val="single" w:sz="4" w:space="0" w:color="auto"/>
              <w:left w:val="single" w:sz="4" w:space="0" w:color="auto"/>
              <w:bottom w:val="single" w:sz="4" w:space="0" w:color="auto"/>
              <w:right w:val="single" w:sz="4" w:space="0" w:color="auto"/>
            </w:tcBorders>
            <w:hideMark/>
          </w:tcPr>
          <w:p w14:paraId="00F0309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Health boards should make improvement in processes, partnerships and investment in specific community pathways to reduce delayed pathways of care. </w:t>
            </w:r>
          </w:p>
        </w:tc>
        <w:tc>
          <w:tcPr>
            <w:tcW w:w="1935" w:type="dxa"/>
            <w:tcBorders>
              <w:top w:val="single" w:sz="4" w:space="0" w:color="auto"/>
              <w:left w:val="single" w:sz="4" w:space="0" w:color="auto"/>
              <w:bottom w:val="single" w:sz="4" w:space="0" w:color="auto"/>
              <w:right w:val="single" w:sz="4" w:space="0" w:color="auto"/>
            </w:tcBorders>
            <w:noWrap/>
            <w:hideMark/>
          </w:tcPr>
          <w:p w14:paraId="1983F84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tcBorders>
              <w:top w:val="single" w:sz="4" w:space="0" w:color="808080"/>
              <w:left w:val="single" w:sz="4" w:space="0" w:color="808080"/>
              <w:bottom w:val="single" w:sz="4" w:space="0" w:color="auto"/>
              <w:right w:val="nil"/>
            </w:tcBorders>
            <w:noWrap/>
            <w:hideMark/>
          </w:tcPr>
          <w:p w14:paraId="76D982B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1782BD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hideMark/>
          </w:tcPr>
          <w:p w14:paraId="4A369D50" w14:textId="69DA81AE"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A review of community services is currently underway to assess existing capacity and align it with current and projected demand. This analysis will inform decisions on how finite resources can be reallocated to improve patient flow and reduce delays across care pathways. We are working closely with Local Authority partners to examine the discharge process, identify bottlenecks, and understand where delays typically occur. The ultimate goal is to optimise resource deployment, enhance discharge profiles, and ensure a more efficient, responsive system that supports timely transitions of care. A full demand and capacity piece of work is required for discharge pathways.  This is planned to be taken place with the Clinical Lead for Urgent and Emergency Care.</w:t>
            </w:r>
          </w:p>
        </w:tc>
      </w:tr>
      <w:tr w:rsidR="00927641" w:rsidRPr="00927641" w14:paraId="62D52648" w14:textId="77777777" w:rsidTr="00365BD1">
        <w:trPr>
          <w:trHeight w:val="75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DE5C58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52D7AB3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w:t>
            </w:r>
          </w:p>
        </w:tc>
        <w:tc>
          <w:tcPr>
            <w:tcW w:w="4956" w:type="dxa"/>
            <w:tcBorders>
              <w:top w:val="single" w:sz="4" w:space="0" w:color="auto"/>
              <w:left w:val="single" w:sz="4" w:space="0" w:color="auto"/>
              <w:bottom w:val="single" w:sz="4" w:space="0" w:color="auto"/>
              <w:right w:val="single" w:sz="4" w:space="0" w:color="auto"/>
            </w:tcBorders>
            <w:vAlign w:val="bottom"/>
            <w:hideMark/>
          </w:tcPr>
          <w:p w14:paraId="36CFB798"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Hospitals must ensure that all admitted patients are placed on D2RA pathways in line with the national Hospital Discharge Guidance, and delays by pathways to be published within 3 months.</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59C3038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296C476A"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9FC656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22CB0D97"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65F23372" w14:textId="77777777" w:rsidTr="00365BD1">
        <w:trPr>
          <w:trHeight w:val="75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262A7C7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46F6833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7A1439C7" w14:textId="7EADCCE5"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The Performance and Productivity Unit should then use pathways of care delays for patients requiring no onward care (pathway 0) as a proxy for where hospital processes must be improved to reduce delays.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74F989F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242EC08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309D590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1F6E4FA5"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4056C092" w14:textId="77777777" w:rsidTr="00365BD1">
        <w:trPr>
          <w:trHeight w:val="662"/>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17AC99B2"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5391101D"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b)</w:t>
            </w:r>
          </w:p>
        </w:tc>
        <w:tc>
          <w:tcPr>
            <w:tcW w:w="4956" w:type="dxa"/>
            <w:tcBorders>
              <w:top w:val="single" w:sz="4" w:space="0" w:color="auto"/>
              <w:left w:val="single" w:sz="4" w:space="0" w:color="auto"/>
              <w:bottom w:val="single" w:sz="4" w:space="0" w:color="auto"/>
              <w:right w:val="single" w:sz="4" w:space="0" w:color="auto"/>
            </w:tcBorders>
            <w:hideMark/>
          </w:tcPr>
          <w:p w14:paraId="7F24093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Welsh Government to run audit of use of trusted assessors across 7 health boards and 22 local authorities in May 2025, repeat in October 2025.</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248182C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hideMark/>
          </w:tcPr>
          <w:p w14:paraId="1782EE60"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May and October 2025</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4FFA9C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2F21D78B"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481E9850" w14:textId="77777777" w:rsidTr="00365BD1">
        <w:trPr>
          <w:trHeight w:val="75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B26690B"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6B98BA30"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5D2BB28E"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Publish in November with justification from health board and/or local authority where not been achieved alongside realistic timetable for implementation</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706DD9CF"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4149CD70"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475B299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0F584368"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3092D175" w14:textId="77777777" w:rsidTr="00365BD1">
        <w:trPr>
          <w:trHeight w:val="100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58C6235B"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44474249"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c)</w:t>
            </w:r>
          </w:p>
        </w:tc>
        <w:tc>
          <w:tcPr>
            <w:tcW w:w="4956" w:type="dxa"/>
            <w:tcBorders>
              <w:top w:val="single" w:sz="4" w:space="0" w:color="auto"/>
              <w:left w:val="single" w:sz="4" w:space="0" w:color="auto"/>
              <w:bottom w:val="single" w:sz="4" w:space="0" w:color="auto"/>
              <w:right w:val="single" w:sz="4" w:space="0" w:color="auto"/>
            </w:tcBorders>
            <w:vAlign w:val="bottom"/>
            <w:hideMark/>
          </w:tcPr>
          <w:p w14:paraId="7CC6B76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 rapid study  within 3 months, by Welsh Government working with health boards, to identify which patient groups/pathways consistently experience longest pathway of care delays, especially when associated with long time spent in ED.</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6E76857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53EB161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CBB9E4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44B360BB"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67A1281B" w14:textId="77777777" w:rsidTr="00365BD1">
        <w:trPr>
          <w:trHeight w:val="647"/>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0B7A421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6C45EB8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51699A52"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This should be used to target investment in linked community services for winter and future budgets.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5B52146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76E6953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06F7C70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F2F2F2"/>
            <w:noWrap/>
            <w:hideMark/>
          </w:tcPr>
          <w:p w14:paraId="6A9B6C93"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0436A11C" w14:textId="77777777" w:rsidTr="00365BD1">
        <w:trPr>
          <w:trHeight w:val="3449"/>
        </w:trPr>
        <w:tc>
          <w:tcPr>
            <w:tcW w:w="2511" w:type="dxa"/>
            <w:vMerge w:val="restart"/>
            <w:tcBorders>
              <w:top w:val="single" w:sz="4" w:space="0" w:color="auto"/>
              <w:left w:val="single" w:sz="4" w:space="0" w:color="auto"/>
              <w:bottom w:val="single" w:sz="4" w:space="0" w:color="auto"/>
              <w:right w:val="single" w:sz="4" w:space="0" w:color="auto"/>
            </w:tcBorders>
            <w:hideMark/>
          </w:tcPr>
          <w:p w14:paraId="2C8C7272"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lastRenderedPageBreak/>
              <w:t>Urgent &amp; Emergency Care</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230F42B4"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15</w:t>
            </w:r>
          </w:p>
        </w:tc>
        <w:tc>
          <w:tcPr>
            <w:tcW w:w="4956" w:type="dxa"/>
            <w:tcBorders>
              <w:top w:val="single" w:sz="4" w:space="0" w:color="auto"/>
              <w:left w:val="single" w:sz="4" w:space="0" w:color="auto"/>
              <w:bottom w:val="single" w:sz="4" w:space="0" w:color="auto"/>
              <w:right w:val="single" w:sz="4" w:space="0" w:color="auto"/>
            </w:tcBorders>
            <w:vAlign w:val="bottom"/>
            <w:hideMark/>
          </w:tcPr>
          <w:p w14:paraId="1B7EAB3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Health Boards should ensure that no ambulance handover should exceed 45 minutes, with a focus on achieving the </w:t>
            </w:r>
            <w:proofErr w:type="gramStart"/>
            <w:r w:rsidRPr="00927641">
              <w:rPr>
                <w:rFonts w:ascii="Verdana" w:eastAsia="Times New Roman" w:hAnsi="Verdana" w:cs="Calibri"/>
                <w:b/>
                <w:bCs/>
                <w:color w:val="000000"/>
                <w:sz w:val="20"/>
                <w:szCs w:val="20"/>
                <w:lang w:eastAsia="en-GB"/>
              </w:rPr>
              <w:t>15 minute</w:t>
            </w:r>
            <w:proofErr w:type="gramEnd"/>
            <w:r w:rsidRPr="00927641">
              <w:rPr>
                <w:rFonts w:ascii="Verdana" w:eastAsia="Times New Roman" w:hAnsi="Verdana" w:cs="Calibri"/>
                <w:b/>
                <w:bCs/>
                <w:color w:val="000000"/>
                <w:sz w:val="20"/>
                <w:szCs w:val="20"/>
                <w:lang w:eastAsia="en-GB"/>
              </w:rPr>
              <w:t xml:space="preserve"> handover target wherever possible</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657B1CD1"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3F0D74D6"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vMerge w:val="restart"/>
            <w:tcBorders>
              <w:top w:val="single" w:sz="4" w:space="0" w:color="auto"/>
              <w:left w:val="single" w:sz="4" w:space="0" w:color="auto"/>
              <w:bottom w:val="nil"/>
              <w:right w:val="single" w:sz="4" w:space="0" w:color="auto"/>
            </w:tcBorders>
            <w:shd w:val="clear" w:color="000000" w:fill="FFC000"/>
            <w:noWrap/>
            <w:vAlign w:val="bottom"/>
            <w:hideMark/>
          </w:tcPr>
          <w:p w14:paraId="024819B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vMerge w:val="restart"/>
            <w:tcBorders>
              <w:top w:val="single" w:sz="4" w:space="0" w:color="auto"/>
              <w:left w:val="single" w:sz="4" w:space="0" w:color="auto"/>
              <w:bottom w:val="nil"/>
              <w:right w:val="single" w:sz="4" w:space="0" w:color="auto"/>
            </w:tcBorders>
            <w:hideMark/>
          </w:tcPr>
          <w:p w14:paraId="230EA75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Significant progress was achieved in meeting handover targets between June and September 2025. However, performance has been more challenging in subsequent months due to three key factors: (1) an increase in the Clinically Optimised Patient (COP) position, (2) increased demand at the front door, and (3) greater acuity of patients presenting at the front door. These pressures have contributed to a decline in handover performance compared to the earlier period. To address this, work is underway to mitigate the COP position and improve patient flow throughout the system, thereby optimising hospital capacity. This will support timely handovers in line with the 15-minute standard at the front door.</w:t>
            </w:r>
          </w:p>
        </w:tc>
      </w:tr>
      <w:tr w:rsidR="00927641" w:rsidRPr="00927641" w14:paraId="26574D0B" w14:textId="77777777" w:rsidTr="00365BD1">
        <w:trPr>
          <w:trHeight w:val="90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3ECF53E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32D2057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3E2812C0"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Where the </w:t>
            </w:r>
            <w:proofErr w:type="gramStart"/>
            <w:r w:rsidRPr="00927641">
              <w:rPr>
                <w:rFonts w:ascii="Verdana" w:eastAsia="Times New Roman" w:hAnsi="Verdana" w:cs="Calibri"/>
                <w:i/>
                <w:iCs/>
                <w:color w:val="000000"/>
                <w:sz w:val="20"/>
                <w:szCs w:val="20"/>
                <w:lang w:eastAsia="en-GB"/>
              </w:rPr>
              <w:t>15 minute</w:t>
            </w:r>
            <w:proofErr w:type="gramEnd"/>
            <w:r w:rsidRPr="00927641">
              <w:rPr>
                <w:rFonts w:ascii="Verdana" w:eastAsia="Times New Roman" w:hAnsi="Verdana" w:cs="Calibri"/>
                <w:i/>
                <w:iCs/>
                <w:color w:val="000000"/>
                <w:sz w:val="20"/>
                <w:szCs w:val="20"/>
                <w:lang w:eastAsia="en-GB"/>
              </w:rPr>
              <w:t xml:space="preserve"> handover time target is not possible, an absolute maximum handover time of 45 minutes introduced by October 2025. </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226420E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764EE68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4BEEB41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1F80AC1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371AE93C" w14:textId="77777777" w:rsidTr="00365BD1">
        <w:trPr>
          <w:trHeight w:val="1024"/>
        </w:trPr>
        <w:tc>
          <w:tcPr>
            <w:tcW w:w="2511" w:type="dxa"/>
            <w:vMerge w:val="restart"/>
            <w:tcBorders>
              <w:top w:val="single" w:sz="4" w:space="0" w:color="auto"/>
              <w:left w:val="single" w:sz="4" w:space="0" w:color="auto"/>
              <w:bottom w:val="single" w:sz="4" w:space="0" w:color="auto"/>
              <w:right w:val="single" w:sz="4" w:space="0" w:color="auto"/>
            </w:tcBorders>
            <w:hideMark/>
          </w:tcPr>
          <w:p w14:paraId="7E33728A"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Urgent &amp; Emergency Care</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16BE0648"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16</w:t>
            </w:r>
          </w:p>
        </w:tc>
        <w:tc>
          <w:tcPr>
            <w:tcW w:w="4956" w:type="dxa"/>
            <w:tcBorders>
              <w:top w:val="single" w:sz="4" w:space="0" w:color="auto"/>
              <w:left w:val="single" w:sz="4" w:space="0" w:color="auto"/>
              <w:bottom w:val="single" w:sz="4" w:space="0" w:color="auto"/>
              <w:right w:val="single" w:sz="4" w:space="0" w:color="auto"/>
            </w:tcBorders>
            <w:hideMark/>
          </w:tcPr>
          <w:p w14:paraId="1303AC3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Progress against the Six Goals for Urgent &amp; Emergency Care Programme should be reported publicly, using the health board performance reports (see Recommendation 21). Timescale - within 3 months.</w:t>
            </w:r>
          </w:p>
        </w:tc>
        <w:tc>
          <w:tcPr>
            <w:tcW w:w="1935" w:type="dxa"/>
            <w:vMerge w:val="restart"/>
            <w:tcBorders>
              <w:top w:val="single" w:sz="4" w:space="0" w:color="auto"/>
              <w:left w:val="single" w:sz="4" w:space="0" w:color="auto"/>
              <w:bottom w:val="single" w:sz="4" w:space="0" w:color="auto"/>
              <w:right w:val="single" w:sz="4" w:space="0" w:color="auto"/>
            </w:tcBorders>
            <w:hideMark/>
          </w:tcPr>
          <w:p w14:paraId="0EF3367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 however note WG response - national work to be completed first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237E383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nil"/>
              <w:right w:val="single" w:sz="4" w:space="0" w:color="auto"/>
            </w:tcBorders>
            <w:noWrap/>
            <w:vAlign w:val="bottom"/>
            <w:hideMark/>
          </w:tcPr>
          <w:p w14:paraId="3C3EA76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TBC</w:t>
            </w:r>
          </w:p>
        </w:tc>
        <w:tc>
          <w:tcPr>
            <w:tcW w:w="7693" w:type="dxa"/>
            <w:vMerge w:val="restart"/>
            <w:tcBorders>
              <w:top w:val="single" w:sz="4" w:space="0" w:color="auto"/>
              <w:left w:val="single" w:sz="4" w:space="0" w:color="auto"/>
              <w:bottom w:val="nil"/>
              <w:right w:val="single" w:sz="4" w:space="0" w:color="auto"/>
            </w:tcBorders>
            <w:hideMark/>
          </w:tcPr>
          <w:p w14:paraId="4AA856E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SBUHB carries out significant monitoring of Urgent and Emergency Care activity/ data via appropriate dashboards aligned to the NHS Wales Performance Framework, Targeted Intervention status and broader 6 Goals measures/ metrics</w:t>
            </w:r>
          </w:p>
        </w:tc>
      </w:tr>
      <w:tr w:rsidR="00927641" w:rsidRPr="00927641" w14:paraId="1D37DC6F" w14:textId="77777777" w:rsidTr="00365BD1">
        <w:trPr>
          <w:trHeight w:val="84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1E726C4E"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26B1A71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086393B2"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Health boards should ensure that performance reports are aligned with the 6 Goals metrics before winter 2025/26 and made public from June. The report should include both validated and unvalidated </w:t>
            </w:r>
            <w:proofErr w:type="gramStart"/>
            <w:r w:rsidRPr="00927641">
              <w:rPr>
                <w:rFonts w:ascii="Verdana" w:eastAsia="Times New Roman" w:hAnsi="Verdana" w:cs="Calibri"/>
                <w:i/>
                <w:iCs/>
                <w:color w:val="000000"/>
                <w:sz w:val="20"/>
                <w:szCs w:val="20"/>
                <w:lang w:eastAsia="en-GB"/>
              </w:rPr>
              <w:t>four hour</w:t>
            </w:r>
            <w:proofErr w:type="gramEnd"/>
            <w:r w:rsidRPr="00927641">
              <w:rPr>
                <w:rFonts w:ascii="Verdana" w:eastAsia="Times New Roman" w:hAnsi="Verdana" w:cs="Calibri"/>
                <w:i/>
                <w:iCs/>
                <w:color w:val="000000"/>
                <w:sz w:val="20"/>
                <w:szCs w:val="20"/>
                <w:lang w:eastAsia="en-GB"/>
              </w:rPr>
              <w:t xml:space="preserve"> performance data. The clinical group reviewing performance standards should ensure that performance metrics cover the full UEC pathway.</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6F25B69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14DA3E55"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1396126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vMerge/>
            <w:tcBorders>
              <w:top w:val="single" w:sz="4" w:space="0" w:color="auto"/>
              <w:left w:val="single" w:sz="4" w:space="0" w:color="auto"/>
              <w:bottom w:val="nil"/>
              <w:right w:val="single" w:sz="4" w:space="0" w:color="auto"/>
            </w:tcBorders>
            <w:vAlign w:val="center"/>
            <w:hideMark/>
          </w:tcPr>
          <w:p w14:paraId="7F4BE25C"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r>
      <w:tr w:rsidR="00927641" w:rsidRPr="00927641" w14:paraId="13FBB2AA" w14:textId="77777777" w:rsidTr="00365BD1">
        <w:trPr>
          <w:trHeight w:val="1009"/>
        </w:trPr>
        <w:tc>
          <w:tcPr>
            <w:tcW w:w="2511" w:type="dxa"/>
            <w:vMerge w:val="restart"/>
            <w:tcBorders>
              <w:top w:val="single" w:sz="4" w:space="0" w:color="auto"/>
              <w:left w:val="single" w:sz="4" w:space="0" w:color="auto"/>
              <w:bottom w:val="single" w:sz="4" w:space="0" w:color="auto"/>
              <w:right w:val="single" w:sz="4" w:space="0" w:color="auto"/>
            </w:tcBorders>
            <w:hideMark/>
          </w:tcPr>
          <w:p w14:paraId="03104F4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Urgent &amp; Emergency Care</w:t>
            </w:r>
          </w:p>
        </w:tc>
        <w:tc>
          <w:tcPr>
            <w:tcW w:w="607" w:type="dxa"/>
            <w:vMerge w:val="restart"/>
            <w:tcBorders>
              <w:top w:val="single" w:sz="4" w:space="0" w:color="auto"/>
              <w:left w:val="single" w:sz="4" w:space="0" w:color="auto"/>
              <w:bottom w:val="single" w:sz="4" w:space="0" w:color="auto"/>
              <w:right w:val="single" w:sz="4" w:space="0" w:color="auto"/>
            </w:tcBorders>
            <w:hideMark/>
          </w:tcPr>
          <w:p w14:paraId="23BE8FDE"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17</w:t>
            </w:r>
          </w:p>
        </w:tc>
        <w:tc>
          <w:tcPr>
            <w:tcW w:w="4956" w:type="dxa"/>
            <w:tcBorders>
              <w:top w:val="single" w:sz="4" w:space="0" w:color="auto"/>
              <w:left w:val="single" w:sz="4" w:space="0" w:color="auto"/>
              <w:bottom w:val="single" w:sz="4" w:space="0" w:color="auto"/>
              <w:right w:val="single" w:sz="4" w:space="0" w:color="auto"/>
            </w:tcBorders>
            <w:hideMark/>
          </w:tcPr>
          <w:p w14:paraId="60A2042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 consistent framework for escalation levels within the Urgent &amp; Emergency care system should be introduced by October 2025, using the OPEL framework in England, adapted for the Welsh service where needed.</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4286281B"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2FBD68C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Not Specified </w:t>
            </w:r>
          </w:p>
        </w:tc>
        <w:tc>
          <w:tcPr>
            <w:tcW w:w="1281" w:type="dxa"/>
            <w:vMerge w:val="restart"/>
            <w:tcBorders>
              <w:top w:val="single" w:sz="4" w:space="0" w:color="auto"/>
              <w:left w:val="single" w:sz="4" w:space="0" w:color="auto"/>
              <w:bottom w:val="nil"/>
              <w:right w:val="single" w:sz="4" w:space="0" w:color="auto"/>
            </w:tcBorders>
            <w:shd w:val="clear" w:color="000000" w:fill="E7E6E6"/>
            <w:noWrap/>
            <w:vAlign w:val="bottom"/>
            <w:hideMark/>
          </w:tcPr>
          <w:p w14:paraId="1069736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nil"/>
              <w:right w:val="single" w:sz="4" w:space="0" w:color="auto"/>
            </w:tcBorders>
            <w:shd w:val="clear" w:color="000000" w:fill="E7E6E6"/>
            <w:noWrap/>
            <w:hideMark/>
          </w:tcPr>
          <w:p w14:paraId="387C4F51"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6B4EB8B8" w14:textId="77777777" w:rsidTr="00365BD1">
        <w:trPr>
          <w:trHeight w:val="512"/>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3A01EE3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71D62C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hideMark/>
          </w:tcPr>
          <w:p w14:paraId="3D62D36B"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This recommendation should be enabled by the development of a “Once for Wales” digital support tool</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13557E06"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51D070F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448A83D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single" w:sz="4" w:space="0" w:color="auto"/>
              <w:right w:val="single" w:sz="4" w:space="0" w:color="auto"/>
            </w:tcBorders>
            <w:shd w:val="clear" w:color="000000" w:fill="E7E6E6"/>
            <w:noWrap/>
            <w:hideMark/>
          </w:tcPr>
          <w:p w14:paraId="10F03C87"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789F3F3A" w14:textId="77777777" w:rsidTr="00365BD1">
        <w:trPr>
          <w:trHeight w:val="1265"/>
        </w:trPr>
        <w:tc>
          <w:tcPr>
            <w:tcW w:w="2511" w:type="dxa"/>
            <w:vMerge w:val="restart"/>
            <w:tcBorders>
              <w:top w:val="single" w:sz="4" w:space="0" w:color="auto"/>
              <w:left w:val="single" w:sz="4" w:space="0" w:color="auto"/>
              <w:bottom w:val="single" w:sz="4" w:space="0" w:color="auto"/>
              <w:right w:val="single" w:sz="4" w:space="0" w:color="auto"/>
            </w:tcBorders>
            <w:hideMark/>
          </w:tcPr>
          <w:p w14:paraId="46115518"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Operating model and Accountability frameworks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21FA4313"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18</w:t>
            </w:r>
          </w:p>
        </w:tc>
        <w:tc>
          <w:tcPr>
            <w:tcW w:w="4956" w:type="dxa"/>
            <w:tcBorders>
              <w:top w:val="single" w:sz="4" w:space="0" w:color="auto"/>
              <w:left w:val="single" w:sz="4" w:space="0" w:color="auto"/>
              <w:bottom w:val="single" w:sz="4" w:space="0" w:color="auto"/>
              <w:right w:val="single" w:sz="4" w:space="0" w:color="auto"/>
            </w:tcBorders>
            <w:vAlign w:val="bottom"/>
            <w:hideMark/>
          </w:tcPr>
          <w:p w14:paraId="18EC031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Welsh Government should consolidate all holding to account and escalation meetings with health boards to single individual monthly performance and productivity meeting; focus on delivery against key areas of performance and productivity, and recommendations of this report.</w:t>
            </w:r>
          </w:p>
        </w:tc>
        <w:tc>
          <w:tcPr>
            <w:tcW w:w="1935"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313EBB35"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14:paraId="4EA0A8C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Not Specified </w:t>
            </w:r>
          </w:p>
        </w:tc>
        <w:tc>
          <w:tcPr>
            <w:tcW w:w="1281" w:type="dxa"/>
            <w:vMerge w:val="restart"/>
            <w:tcBorders>
              <w:top w:val="single" w:sz="4" w:space="0" w:color="auto"/>
              <w:left w:val="single" w:sz="4" w:space="0" w:color="auto"/>
              <w:bottom w:val="nil"/>
              <w:right w:val="single" w:sz="4" w:space="0" w:color="auto"/>
            </w:tcBorders>
            <w:shd w:val="clear" w:color="000000" w:fill="92D050"/>
            <w:noWrap/>
            <w:hideMark/>
          </w:tcPr>
          <w:p w14:paraId="0477FA45"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Complete</w:t>
            </w:r>
          </w:p>
        </w:tc>
        <w:tc>
          <w:tcPr>
            <w:tcW w:w="7693" w:type="dxa"/>
            <w:tcBorders>
              <w:top w:val="single" w:sz="4" w:space="0" w:color="auto"/>
              <w:left w:val="single" w:sz="4" w:space="0" w:color="auto"/>
              <w:bottom w:val="nil"/>
              <w:right w:val="single" w:sz="4" w:space="0" w:color="auto"/>
            </w:tcBorders>
            <w:shd w:val="clear" w:color="000000" w:fill="92D050"/>
            <w:noWrap/>
            <w:hideMark/>
          </w:tcPr>
          <w:p w14:paraId="09C8D4FA"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r>
      <w:tr w:rsidR="00927641" w:rsidRPr="00927641" w14:paraId="74E78F44" w14:textId="77777777" w:rsidTr="00365BD1">
        <w:trPr>
          <w:trHeight w:val="1009"/>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10498E0F"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0DB7DD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2F7750E9"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The CEO of NHS Wales should chair Performance and Productivity meeting; attended by the CEO of  health board, and at a minimum the medical director, nursing director, finance director and those responsible for operational performance.</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0F67D04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1CAE71F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6B56C45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nil"/>
              <w:right w:val="single" w:sz="4" w:space="0" w:color="auto"/>
            </w:tcBorders>
            <w:shd w:val="clear" w:color="000000" w:fill="92D050"/>
            <w:noWrap/>
            <w:hideMark/>
          </w:tcPr>
          <w:p w14:paraId="7AB7B6AA"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7EE17591" w14:textId="77777777" w:rsidTr="00365BD1">
        <w:trPr>
          <w:trHeight w:val="2018"/>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7270191D"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51805FA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44E255B8"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Outputs of meetings shared with Cabinet Secretary and Chair of health board / trust, with items escalated as appropriate, allowing Chief Executive to focus on operational performance and Chair to focus on board governance, culture and managing the strategic relationship with the elected leadership of the local authorities and other key stakeholders. It would  alleviate duplication / parallel oversight machinery in place between Cabinet Secretary/health board/trust Chair and the NHS Wales/health board/trust CEOs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39FF5BB2"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146D8C1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49A317D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nil"/>
              <w:right w:val="single" w:sz="4" w:space="0" w:color="auto"/>
            </w:tcBorders>
            <w:shd w:val="clear" w:color="000000" w:fill="92D050"/>
            <w:noWrap/>
            <w:hideMark/>
          </w:tcPr>
          <w:p w14:paraId="10D60DF0"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5BCB2C2C" w14:textId="77777777" w:rsidTr="00365BD1">
        <w:trPr>
          <w:trHeight w:val="1265"/>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2A68438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CF32B4A"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17D0BE41"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Monthly performance meetings should replace all existing monthly escalation and performance meetings (inc. JET, IQPD, oversight and escalation, and system NHS Performance Board meetings). The Oversight and Escalation framework should be enacted through these performance meetings.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3E1F8D9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5B86D83A"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5F22202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nil"/>
              <w:right w:val="single" w:sz="4" w:space="0" w:color="auto"/>
            </w:tcBorders>
            <w:shd w:val="clear" w:color="000000" w:fill="92D050"/>
            <w:noWrap/>
            <w:hideMark/>
          </w:tcPr>
          <w:p w14:paraId="3B3783E1"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2BEB3FCD" w14:textId="77777777" w:rsidTr="00365BD1">
        <w:trPr>
          <w:trHeight w:val="753"/>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1C6A813B"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3CEC87D4"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5923B039"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Reduction in meetings should allow more time to focus on immediate performance and productivity. In parallel WG should consider strengthening incentive and sanctions associated with delivery and non-delivery.</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492C5D3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4601C188"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4C6A461D"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single" w:sz="4" w:space="0" w:color="auto"/>
              <w:right w:val="single" w:sz="4" w:space="0" w:color="auto"/>
            </w:tcBorders>
            <w:shd w:val="clear" w:color="000000" w:fill="92D050"/>
            <w:noWrap/>
            <w:hideMark/>
          </w:tcPr>
          <w:p w14:paraId="241099DC"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4E496919" w14:textId="77777777" w:rsidTr="00365BD1">
        <w:trPr>
          <w:trHeight w:val="1009"/>
        </w:trPr>
        <w:tc>
          <w:tcPr>
            <w:tcW w:w="2511" w:type="dxa"/>
            <w:vMerge w:val="restart"/>
            <w:tcBorders>
              <w:top w:val="single" w:sz="4" w:space="0" w:color="auto"/>
              <w:left w:val="single" w:sz="4" w:space="0" w:color="auto"/>
              <w:bottom w:val="single" w:sz="4" w:space="0" w:color="auto"/>
              <w:right w:val="single" w:sz="4" w:space="0" w:color="auto"/>
            </w:tcBorders>
            <w:hideMark/>
          </w:tcPr>
          <w:p w14:paraId="7AFB5BC2"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Operating model and Accountability frameworks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17FC1BD6"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19</w:t>
            </w:r>
          </w:p>
        </w:tc>
        <w:tc>
          <w:tcPr>
            <w:tcW w:w="4956" w:type="dxa"/>
            <w:tcBorders>
              <w:top w:val="single" w:sz="4" w:space="0" w:color="auto"/>
              <w:left w:val="single" w:sz="4" w:space="0" w:color="auto"/>
              <w:bottom w:val="single" w:sz="4" w:space="0" w:color="auto"/>
              <w:right w:val="single" w:sz="4" w:space="0" w:color="auto"/>
            </w:tcBorders>
            <w:vAlign w:val="bottom"/>
            <w:hideMark/>
          </w:tcPr>
          <w:p w14:paraId="3DC4AC0C"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A managing director should be appointed to directly manage and oversee the NHS Executive which will be renamed the Performance and Productivity Unit (PPU). Timescale – appointed within 3 months.</w:t>
            </w:r>
          </w:p>
        </w:tc>
        <w:tc>
          <w:tcPr>
            <w:tcW w:w="1935" w:type="dxa"/>
            <w:vMerge w:val="restart"/>
            <w:tcBorders>
              <w:top w:val="single" w:sz="4" w:space="0" w:color="auto"/>
              <w:left w:val="single" w:sz="4" w:space="0" w:color="auto"/>
              <w:bottom w:val="single" w:sz="4" w:space="0" w:color="auto"/>
              <w:right w:val="single" w:sz="4" w:space="0" w:color="auto"/>
            </w:tcBorders>
            <w:noWrap/>
            <w:hideMark/>
          </w:tcPr>
          <w:p w14:paraId="3D0910E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1FD9CE13"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1C3812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443F5FC2"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08633F73" w14:textId="77777777" w:rsidTr="00365BD1">
        <w:trPr>
          <w:trHeight w:val="2530"/>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7151C9D5"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69B8E3D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7509ABDC"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 xml:space="preserve">The Managing Director (MD) should be of sufficient seniority to support the CEO of NHS Wales in holding their NHS colleagues to account. MD should be accountable to CEO NHS Wales and be member of the WG Executive Director Team (EDT). MD should have direct line management accountability for budget and resources of  NHS Executive. This should be renamed the Performance and Productivity Unit (PPU). MD should ensure that resources are transparently aligned to  single goal of improving the productivity and performance and  review options for how this resource is deployed, including out-posting to </w:t>
            </w:r>
            <w:r w:rsidRPr="00927641">
              <w:rPr>
                <w:rFonts w:ascii="Verdana" w:eastAsia="Times New Roman" w:hAnsi="Verdana" w:cs="Calibri"/>
                <w:i/>
                <w:iCs/>
                <w:color w:val="000000"/>
                <w:sz w:val="20"/>
                <w:szCs w:val="20"/>
                <w:lang w:eastAsia="en-GB"/>
              </w:rPr>
              <w:lastRenderedPageBreak/>
              <w:t>health boards and regions to support improvement interventions</w:t>
            </w:r>
          </w:p>
        </w:tc>
        <w:tc>
          <w:tcPr>
            <w:tcW w:w="1935" w:type="dxa"/>
            <w:vMerge/>
            <w:tcBorders>
              <w:top w:val="single" w:sz="4" w:space="0" w:color="auto"/>
              <w:left w:val="single" w:sz="4" w:space="0" w:color="auto"/>
              <w:bottom w:val="single" w:sz="4" w:space="0" w:color="auto"/>
              <w:right w:val="single" w:sz="4" w:space="0" w:color="auto"/>
            </w:tcBorders>
            <w:vAlign w:val="center"/>
            <w:hideMark/>
          </w:tcPr>
          <w:p w14:paraId="0F130153"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67267DEE"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single" w:sz="4" w:space="0" w:color="auto"/>
              <w:right w:val="single" w:sz="4" w:space="0" w:color="auto"/>
            </w:tcBorders>
            <w:vAlign w:val="center"/>
            <w:hideMark/>
          </w:tcPr>
          <w:p w14:paraId="4AB9F6D1"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5B3E8438"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6256DE32" w14:textId="77777777" w:rsidTr="00365BD1">
        <w:trPr>
          <w:trHeight w:val="1265"/>
        </w:trPr>
        <w:tc>
          <w:tcPr>
            <w:tcW w:w="2511" w:type="dxa"/>
            <w:vMerge w:val="restart"/>
            <w:tcBorders>
              <w:top w:val="single" w:sz="4" w:space="0" w:color="auto"/>
              <w:left w:val="single" w:sz="4" w:space="0" w:color="auto"/>
              <w:bottom w:val="single" w:sz="4" w:space="0" w:color="auto"/>
              <w:right w:val="single" w:sz="4" w:space="0" w:color="auto"/>
            </w:tcBorders>
            <w:hideMark/>
          </w:tcPr>
          <w:p w14:paraId="6285CFD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Operating model and Accountability frameworks </w:t>
            </w:r>
          </w:p>
        </w:tc>
        <w:tc>
          <w:tcPr>
            <w:tcW w:w="607" w:type="dxa"/>
            <w:vMerge w:val="restart"/>
            <w:tcBorders>
              <w:top w:val="single" w:sz="4" w:space="0" w:color="auto"/>
              <w:left w:val="single" w:sz="4" w:space="0" w:color="auto"/>
              <w:bottom w:val="single" w:sz="4" w:space="0" w:color="auto"/>
              <w:right w:val="single" w:sz="4" w:space="0" w:color="auto"/>
            </w:tcBorders>
            <w:noWrap/>
            <w:hideMark/>
          </w:tcPr>
          <w:p w14:paraId="4283DD6C"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20</w:t>
            </w:r>
          </w:p>
        </w:tc>
        <w:tc>
          <w:tcPr>
            <w:tcW w:w="4956" w:type="dxa"/>
            <w:tcBorders>
              <w:top w:val="single" w:sz="4" w:space="0" w:color="auto"/>
              <w:left w:val="single" w:sz="4" w:space="0" w:color="auto"/>
              <w:bottom w:val="single" w:sz="4" w:space="0" w:color="auto"/>
              <w:right w:val="single" w:sz="4" w:space="0" w:color="auto"/>
            </w:tcBorders>
            <w:vAlign w:val="bottom"/>
            <w:hideMark/>
          </w:tcPr>
          <w:p w14:paraId="57D26268"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Medical leadership should be strengthened under the leadership of a new post of Medical Director of NHS Wales; separate from and equal in status to the existing Chief Medical Officer post. This is essential to driving and delivering the performance and productivity agenda.</w:t>
            </w:r>
          </w:p>
        </w:tc>
        <w:tc>
          <w:tcPr>
            <w:tcW w:w="1935" w:type="dxa"/>
            <w:vMerge w:val="restart"/>
            <w:tcBorders>
              <w:top w:val="single" w:sz="4" w:space="0" w:color="auto"/>
              <w:left w:val="single" w:sz="4" w:space="0" w:color="auto"/>
              <w:bottom w:val="nil"/>
              <w:right w:val="single" w:sz="4" w:space="0" w:color="auto"/>
            </w:tcBorders>
            <w:noWrap/>
            <w:hideMark/>
          </w:tcPr>
          <w:p w14:paraId="3D161862"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vMerge w:val="restart"/>
            <w:tcBorders>
              <w:top w:val="single" w:sz="4" w:space="0" w:color="auto"/>
              <w:left w:val="single" w:sz="4" w:space="0" w:color="auto"/>
              <w:bottom w:val="single" w:sz="4" w:space="0" w:color="auto"/>
              <w:right w:val="single" w:sz="4" w:space="0" w:color="auto"/>
            </w:tcBorders>
            <w:noWrap/>
            <w:hideMark/>
          </w:tcPr>
          <w:p w14:paraId="13B230F6"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vMerge w:val="restart"/>
            <w:tcBorders>
              <w:top w:val="single" w:sz="4" w:space="0" w:color="auto"/>
              <w:left w:val="single" w:sz="4" w:space="0" w:color="auto"/>
              <w:bottom w:val="nil"/>
              <w:right w:val="single" w:sz="4" w:space="0" w:color="auto"/>
            </w:tcBorders>
            <w:shd w:val="clear" w:color="000000" w:fill="92D050"/>
            <w:noWrap/>
            <w:hideMark/>
          </w:tcPr>
          <w:p w14:paraId="360CFA2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Complete</w:t>
            </w:r>
          </w:p>
        </w:tc>
        <w:tc>
          <w:tcPr>
            <w:tcW w:w="7693" w:type="dxa"/>
            <w:tcBorders>
              <w:top w:val="single" w:sz="4" w:space="0" w:color="auto"/>
              <w:left w:val="single" w:sz="4" w:space="0" w:color="auto"/>
              <w:bottom w:val="nil"/>
              <w:right w:val="single" w:sz="4" w:space="0" w:color="auto"/>
            </w:tcBorders>
            <w:shd w:val="clear" w:color="000000" w:fill="92D050"/>
            <w:noWrap/>
            <w:hideMark/>
          </w:tcPr>
          <w:p w14:paraId="2AE65BA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r>
      <w:tr w:rsidR="00927641" w:rsidRPr="00927641" w14:paraId="2DCC9141" w14:textId="77777777" w:rsidTr="00365BD1">
        <w:trPr>
          <w:trHeight w:val="512"/>
        </w:trPr>
        <w:tc>
          <w:tcPr>
            <w:tcW w:w="2511" w:type="dxa"/>
            <w:vMerge/>
            <w:tcBorders>
              <w:top w:val="single" w:sz="4" w:space="0" w:color="auto"/>
              <w:left w:val="single" w:sz="4" w:space="0" w:color="auto"/>
              <w:bottom w:val="single" w:sz="4" w:space="0" w:color="auto"/>
              <w:right w:val="single" w:sz="4" w:space="0" w:color="auto"/>
            </w:tcBorders>
            <w:vAlign w:val="center"/>
            <w:hideMark/>
          </w:tcPr>
          <w:p w14:paraId="39971DC6"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14:paraId="755E073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p>
        </w:tc>
        <w:tc>
          <w:tcPr>
            <w:tcW w:w="4956" w:type="dxa"/>
            <w:tcBorders>
              <w:top w:val="single" w:sz="4" w:space="0" w:color="auto"/>
              <w:left w:val="single" w:sz="4" w:space="0" w:color="auto"/>
              <w:bottom w:val="single" w:sz="4" w:space="0" w:color="auto"/>
              <w:right w:val="single" w:sz="4" w:space="0" w:color="auto"/>
            </w:tcBorders>
            <w:vAlign w:val="bottom"/>
            <w:hideMark/>
          </w:tcPr>
          <w:p w14:paraId="33471A4D"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r w:rsidRPr="00927641">
              <w:rPr>
                <w:rFonts w:ascii="Verdana" w:eastAsia="Times New Roman" w:hAnsi="Verdana" w:cs="Calibri"/>
                <w:i/>
                <w:iCs/>
                <w:color w:val="000000"/>
                <w:sz w:val="20"/>
                <w:szCs w:val="20"/>
                <w:lang w:eastAsia="en-GB"/>
              </w:rPr>
              <w:t>(The Medical Director’s proposed responsibilities are listed in detail in the report)</w:t>
            </w:r>
          </w:p>
        </w:tc>
        <w:tc>
          <w:tcPr>
            <w:tcW w:w="1935" w:type="dxa"/>
            <w:vMerge/>
            <w:tcBorders>
              <w:top w:val="single" w:sz="4" w:space="0" w:color="auto"/>
              <w:left w:val="single" w:sz="4" w:space="0" w:color="auto"/>
              <w:bottom w:val="nil"/>
              <w:right w:val="single" w:sz="4" w:space="0" w:color="auto"/>
            </w:tcBorders>
            <w:vAlign w:val="center"/>
            <w:hideMark/>
          </w:tcPr>
          <w:p w14:paraId="49C8CFAB"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37D3A8D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1281" w:type="dxa"/>
            <w:vMerge/>
            <w:tcBorders>
              <w:top w:val="single" w:sz="4" w:space="0" w:color="auto"/>
              <w:left w:val="single" w:sz="4" w:space="0" w:color="auto"/>
              <w:bottom w:val="nil"/>
              <w:right w:val="single" w:sz="4" w:space="0" w:color="auto"/>
            </w:tcBorders>
            <w:vAlign w:val="center"/>
            <w:hideMark/>
          </w:tcPr>
          <w:p w14:paraId="4E011227"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p>
        </w:tc>
        <w:tc>
          <w:tcPr>
            <w:tcW w:w="7693" w:type="dxa"/>
            <w:tcBorders>
              <w:top w:val="nil"/>
              <w:left w:val="single" w:sz="4" w:space="0" w:color="auto"/>
              <w:bottom w:val="single" w:sz="4" w:space="0" w:color="auto"/>
              <w:right w:val="single" w:sz="4" w:space="0" w:color="auto"/>
            </w:tcBorders>
            <w:shd w:val="clear" w:color="000000" w:fill="92D050"/>
            <w:noWrap/>
            <w:hideMark/>
          </w:tcPr>
          <w:p w14:paraId="1A22380A" w14:textId="77777777" w:rsidR="00927641" w:rsidRPr="00927641" w:rsidRDefault="00927641" w:rsidP="00927641">
            <w:pPr>
              <w:spacing w:after="0" w:line="240" w:lineRule="auto"/>
              <w:rPr>
                <w:rFonts w:ascii="Verdana" w:eastAsia="Times New Roman" w:hAnsi="Verdana" w:cs="Calibri"/>
                <w:i/>
                <w:iCs/>
                <w:color w:val="000000"/>
                <w:sz w:val="20"/>
                <w:szCs w:val="20"/>
                <w:lang w:eastAsia="en-GB"/>
              </w:rPr>
            </w:pPr>
          </w:p>
        </w:tc>
      </w:tr>
      <w:tr w:rsidR="00927641" w:rsidRPr="00927641" w14:paraId="6E84F767" w14:textId="77777777" w:rsidTr="00365BD1">
        <w:trPr>
          <w:trHeight w:val="1265"/>
        </w:trPr>
        <w:tc>
          <w:tcPr>
            <w:tcW w:w="2511" w:type="dxa"/>
            <w:tcBorders>
              <w:top w:val="single" w:sz="4" w:space="0" w:color="auto"/>
              <w:left w:val="single" w:sz="4" w:space="0" w:color="auto"/>
              <w:bottom w:val="single" w:sz="4" w:space="0" w:color="auto"/>
              <w:right w:val="single" w:sz="4" w:space="0" w:color="auto"/>
            </w:tcBorders>
            <w:hideMark/>
          </w:tcPr>
          <w:p w14:paraId="1BED383E"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Operating model and Accountability frameworks </w:t>
            </w:r>
          </w:p>
        </w:tc>
        <w:tc>
          <w:tcPr>
            <w:tcW w:w="607" w:type="dxa"/>
            <w:tcBorders>
              <w:top w:val="single" w:sz="4" w:space="0" w:color="auto"/>
              <w:left w:val="single" w:sz="4" w:space="0" w:color="auto"/>
              <w:bottom w:val="single" w:sz="4" w:space="0" w:color="auto"/>
              <w:right w:val="single" w:sz="4" w:space="0" w:color="auto"/>
            </w:tcBorders>
            <w:noWrap/>
            <w:hideMark/>
          </w:tcPr>
          <w:p w14:paraId="76935CE4"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21</w:t>
            </w:r>
          </w:p>
        </w:tc>
        <w:tc>
          <w:tcPr>
            <w:tcW w:w="4956" w:type="dxa"/>
            <w:tcBorders>
              <w:top w:val="single" w:sz="4" w:space="0" w:color="auto"/>
              <w:left w:val="single" w:sz="4" w:space="0" w:color="auto"/>
              <w:bottom w:val="single" w:sz="4" w:space="0" w:color="auto"/>
              <w:right w:val="single" w:sz="4" w:space="0" w:color="auto"/>
            </w:tcBorders>
            <w:hideMark/>
          </w:tcPr>
          <w:p w14:paraId="0E5F83C7"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Health boards should commission the NHS Welsh Confederation to develop a standardised health board performance dashboard. The dashboard should be used in the public part of board meetings and to support the P&amp;P meetings. </w:t>
            </w:r>
          </w:p>
        </w:tc>
        <w:tc>
          <w:tcPr>
            <w:tcW w:w="1935" w:type="dxa"/>
            <w:tcBorders>
              <w:top w:val="single" w:sz="4" w:space="0" w:color="auto"/>
              <w:left w:val="single" w:sz="4" w:space="0" w:color="auto"/>
              <w:bottom w:val="single" w:sz="4" w:space="0" w:color="auto"/>
              <w:right w:val="single" w:sz="4" w:space="0" w:color="auto"/>
            </w:tcBorders>
            <w:hideMark/>
          </w:tcPr>
          <w:p w14:paraId="014F20F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 - WG propose in their response that they lead part of this and then will require Health Boards to transact output</w:t>
            </w:r>
          </w:p>
        </w:tc>
        <w:tc>
          <w:tcPr>
            <w:tcW w:w="1713" w:type="dxa"/>
            <w:tcBorders>
              <w:top w:val="single" w:sz="4" w:space="0" w:color="auto"/>
              <w:left w:val="single" w:sz="4" w:space="0" w:color="auto"/>
              <w:bottom w:val="single" w:sz="4" w:space="0" w:color="auto"/>
              <w:right w:val="single" w:sz="4" w:space="0" w:color="auto"/>
            </w:tcBorders>
            <w:noWrap/>
            <w:hideMark/>
          </w:tcPr>
          <w:p w14:paraId="53B07BFF"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3 Months</w:t>
            </w:r>
          </w:p>
        </w:tc>
        <w:tc>
          <w:tcPr>
            <w:tcW w:w="128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491BE6E"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noWrap/>
            <w:hideMark/>
          </w:tcPr>
          <w:p w14:paraId="56434A44" w14:textId="77777777" w:rsidR="00927641" w:rsidRPr="00927641" w:rsidRDefault="00927641" w:rsidP="00927641">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Action currently with Welsh Government.</w:t>
            </w:r>
          </w:p>
        </w:tc>
      </w:tr>
      <w:tr w:rsidR="00927641" w:rsidRPr="00927641" w14:paraId="38A4FB97" w14:textId="77777777" w:rsidTr="00365BD1">
        <w:trPr>
          <w:trHeight w:val="753"/>
        </w:trPr>
        <w:tc>
          <w:tcPr>
            <w:tcW w:w="2511" w:type="dxa"/>
            <w:tcBorders>
              <w:top w:val="single" w:sz="4" w:space="0" w:color="auto"/>
              <w:left w:val="single" w:sz="4" w:space="0" w:color="auto"/>
              <w:bottom w:val="single" w:sz="4" w:space="0" w:color="auto"/>
              <w:right w:val="single" w:sz="4" w:space="0" w:color="auto"/>
            </w:tcBorders>
            <w:hideMark/>
          </w:tcPr>
          <w:p w14:paraId="7E142F6A"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Measuring productivity</w:t>
            </w:r>
          </w:p>
        </w:tc>
        <w:tc>
          <w:tcPr>
            <w:tcW w:w="607" w:type="dxa"/>
            <w:tcBorders>
              <w:top w:val="single" w:sz="4" w:space="0" w:color="auto"/>
              <w:left w:val="single" w:sz="4" w:space="0" w:color="auto"/>
              <w:bottom w:val="single" w:sz="4" w:space="0" w:color="auto"/>
              <w:right w:val="single" w:sz="4" w:space="0" w:color="auto"/>
            </w:tcBorders>
            <w:noWrap/>
            <w:hideMark/>
          </w:tcPr>
          <w:p w14:paraId="676BDF3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22</w:t>
            </w:r>
          </w:p>
        </w:tc>
        <w:tc>
          <w:tcPr>
            <w:tcW w:w="4956" w:type="dxa"/>
            <w:tcBorders>
              <w:top w:val="single" w:sz="4" w:space="0" w:color="auto"/>
              <w:left w:val="single" w:sz="4" w:space="0" w:color="auto"/>
              <w:bottom w:val="single" w:sz="4" w:space="0" w:color="auto"/>
              <w:right w:val="single" w:sz="4" w:space="0" w:color="auto"/>
            </w:tcBorders>
            <w:hideMark/>
          </w:tcPr>
          <w:p w14:paraId="305FBFAA"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A total factor productivity model and workforce productivity model should be developed for NHS Wales and implemented in advance of the next budget.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64489F71"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tcBorders>
              <w:top w:val="single" w:sz="4" w:space="0" w:color="auto"/>
              <w:left w:val="single" w:sz="4" w:space="0" w:color="auto"/>
              <w:bottom w:val="single" w:sz="4" w:space="0" w:color="auto"/>
              <w:right w:val="single" w:sz="4" w:space="0" w:color="auto"/>
            </w:tcBorders>
            <w:noWrap/>
            <w:hideMark/>
          </w:tcPr>
          <w:p w14:paraId="5119A537"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5FE40FC9"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4B3E85EF"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2C27FE6F" w14:textId="77777777" w:rsidTr="00365BD1">
        <w:trPr>
          <w:trHeight w:val="753"/>
        </w:trPr>
        <w:tc>
          <w:tcPr>
            <w:tcW w:w="2511" w:type="dxa"/>
            <w:tcBorders>
              <w:top w:val="single" w:sz="4" w:space="0" w:color="auto"/>
              <w:left w:val="single" w:sz="4" w:space="0" w:color="auto"/>
              <w:bottom w:val="single" w:sz="4" w:space="0" w:color="auto"/>
              <w:right w:val="single" w:sz="4" w:space="0" w:color="auto"/>
            </w:tcBorders>
            <w:hideMark/>
          </w:tcPr>
          <w:p w14:paraId="2C549A8F"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Measuring productivity</w:t>
            </w:r>
          </w:p>
        </w:tc>
        <w:tc>
          <w:tcPr>
            <w:tcW w:w="607" w:type="dxa"/>
            <w:tcBorders>
              <w:top w:val="single" w:sz="4" w:space="0" w:color="auto"/>
              <w:left w:val="single" w:sz="4" w:space="0" w:color="auto"/>
              <w:bottom w:val="single" w:sz="4" w:space="0" w:color="auto"/>
              <w:right w:val="single" w:sz="4" w:space="0" w:color="auto"/>
            </w:tcBorders>
            <w:noWrap/>
            <w:hideMark/>
          </w:tcPr>
          <w:p w14:paraId="44BA3D76"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24</w:t>
            </w:r>
          </w:p>
        </w:tc>
        <w:tc>
          <w:tcPr>
            <w:tcW w:w="4956" w:type="dxa"/>
            <w:tcBorders>
              <w:top w:val="single" w:sz="4" w:space="0" w:color="auto"/>
              <w:left w:val="single" w:sz="4" w:space="0" w:color="auto"/>
              <w:bottom w:val="single" w:sz="4" w:space="0" w:color="auto"/>
              <w:right w:val="single" w:sz="4" w:space="0" w:color="auto"/>
            </w:tcBorders>
            <w:hideMark/>
          </w:tcPr>
          <w:p w14:paraId="37D4A5B8"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HEIW should work with the PPU to ensure that leadership programmes are in place to support the “threes at the top” of clinical services in health boards and trusts.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73E6531D"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tcBorders>
              <w:top w:val="single" w:sz="4" w:space="0" w:color="auto"/>
              <w:left w:val="single" w:sz="4" w:space="0" w:color="auto"/>
              <w:bottom w:val="single" w:sz="4" w:space="0" w:color="auto"/>
              <w:right w:val="single" w:sz="4" w:space="0" w:color="auto"/>
            </w:tcBorders>
            <w:noWrap/>
            <w:hideMark/>
          </w:tcPr>
          <w:p w14:paraId="660F867B"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7CA6FBC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2D157B4D"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5AB9F03A" w14:textId="77777777" w:rsidTr="00365BD1">
        <w:trPr>
          <w:trHeight w:val="1521"/>
        </w:trPr>
        <w:tc>
          <w:tcPr>
            <w:tcW w:w="2511" w:type="dxa"/>
            <w:tcBorders>
              <w:top w:val="single" w:sz="4" w:space="0" w:color="auto"/>
              <w:left w:val="single" w:sz="4" w:space="0" w:color="auto"/>
              <w:bottom w:val="single" w:sz="4" w:space="0" w:color="auto"/>
              <w:right w:val="single" w:sz="4" w:space="0" w:color="auto"/>
            </w:tcBorders>
            <w:noWrap/>
            <w:hideMark/>
          </w:tcPr>
          <w:p w14:paraId="1558AA6A"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Digital and data</w:t>
            </w:r>
          </w:p>
        </w:tc>
        <w:tc>
          <w:tcPr>
            <w:tcW w:w="607" w:type="dxa"/>
            <w:tcBorders>
              <w:top w:val="single" w:sz="4" w:space="0" w:color="auto"/>
              <w:left w:val="single" w:sz="4" w:space="0" w:color="auto"/>
              <w:bottom w:val="single" w:sz="4" w:space="0" w:color="auto"/>
              <w:right w:val="single" w:sz="4" w:space="0" w:color="auto"/>
            </w:tcBorders>
            <w:noWrap/>
            <w:hideMark/>
          </w:tcPr>
          <w:p w14:paraId="058E5FEE"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25</w:t>
            </w:r>
          </w:p>
        </w:tc>
        <w:tc>
          <w:tcPr>
            <w:tcW w:w="4956" w:type="dxa"/>
            <w:tcBorders>
              <w:top w:val="single" w:sz="4" w:space="0" w:color="auto"/>
              <w:left w:val="single" w:sz="4" w:space="0" w:color="auto"/>
              <w:bottom w:val="single" w:sz="4" w:space="0" w:color="auto"/>
              <w:right w:val="single" w:sz="4" w:space="0" w:color="auto"/>
            </w:tcBorders>
            <w:hideMark/>
          </w:tcPr>
          <w:p w14:paraId="4202E283"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NHS Wales should commission from DHCW a comprehensive roadmap for Missions 2 and 3 of its Organisational Strategy over 24-month period, published in 6 months. No health board or trust should move forward with any EMR or App development until roadmap established. Full consideration should be given to aligning the NHS Wales App with the NHS England App.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03B88626"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Other National</w:t>
            </w:r>
          </w:p>
        </w:tc>
        <w:tc>
          <w:tcPr>
            <w:tcW w:w="1713" w:type="dxa"/>
            <w:tcBorders>
              <w:top w:val="single" w:sz="4" w:space="0" w:color="auto"/>
              <w:left w:val="single" w:sz="4" w:space="0" w:color="auto"/>
              <w:bottom w:val="single" w:sz="4" w:space="0" w:color="auto"/>
              <w:right w:val="single" w:sz="4" w:space="0" w:color="auto"/>
            </w:tcBorders>
            <w:noWrap/>
            <w:hideMark/>
          </w:tcPr>
          <w:p w14:paraId="58FF090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6 Months</w:t>
            </w:r>
          </w:p>
        </w:tc>
        <w:tc>
          <w:tcPr>
            <w:tcW w:w="128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4B09B48C"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4E602D62" w14:textId="77777777" w:rsidR="00927641" w:rsidRPr="00927641" w:rsidRDefault="00927641" w:rsidP="00927641">
            <w:pPr>
              <w:spacing w:after="0" w:line="240" w:lineRule="auto"/>
              <w:jc w:val="center"/>
              <w:rPr>
                <w:rFonts w:ascii="Times New Roman" w:eastAsia="Times New Roman" w:hAnsi="Times New Roman" w:cs="Times New Roman"/>
                <w:sz w:val="20"/>
                <w:szCs w:val="20"/>
                <w:lang w:eastAsia="en-GB"/>
              </w:rPr>
            </w:pPr>
          </w:p>
        </w:tc>
      </w:tr>
      <w:tr w:rsidR="00927641" w:rsidRPr="00927641" w14:paraId="3F0FBBC1" w14:textId="77777777" w:rsidTr="00365BD1">
        <w:trPr>
          <w:trHeight w:val="1009"/>
        </w:trPr>
        <w:tc>
          <w:tcPr>
            <w:tcW w:w="2511" w:type="dxa"/>
            <w:tcBorders>
              <w:top w:val="single" w:sz="4" w:space="0" w:color="auto"/>
              <w:left w:val="single" w:sz="4" w:space="0" w:color="auto"/>
              <w:bottom w:val="single" w:sz="4" w:space="0" w:color="auto"/>
              <w:right w:val="single" w:sz="4" w:space="0" w:color="auto"/>
            </w:tcBorders>
            <w:noWrap/>
            <w:hideMark/>
          </w:tcPr>
          <w:p w14:paraId="2A41C2EE"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lastRenderedPageBreak/>
              <w:t>Digital and data</w:t>
            </w:r>
          </w:p>
        </w:tc>
        <w:tc>
          <w:tcPr>
            <w:tcW w:w="607" w:type="dxa"/>
            <w:tcBorders>
              <w:top w:val="single" w:sz="4" w:space="0" w:color="auto"/>
              <w:left w:val="single" w:sz="4" w:space="0" w:color="auto"/>
              <w:bottom w:val="single" w:sz="4" w:space="0" w:color="auto"/>
              <w:right w:val="single" w:sz="4" w:space="0" w:color="auto"/>
            </w:tcBorders>
            <w:noWrap/>
            <w:hideMark/>
          </w:tcPr>
          <w:p w14:paraId="37DFE07B" w14:textId="77777777" w:rsidR="00927641" w:rsidRPr="00927641" w:rsidRDefault="00927641" w:rsidP="00927641">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26</w:t>
            </w:r>
          </w:p>
        </w:tc>
        <w:tc>
          <w:tcPr>
            <w:tcW w:w="4956" w:type="dxa"/>
            <w:tcBorders>
              <w:top w:val="single" w:sz="4" w:space="0" w:color="auto"/>
              <w:left w:val="single" w:sz="4" w:space="0" w:color="auto"/>
              <w:bottom w:val="single" w:sz="4" w:space="0" w:color="auto"/>
              <w:right w:val="single" w:sz="4" w:space="0" w:color="auto"/>
            </w:tcBorders>
            <w:hideMark/>
          </w:tcPr>
          <w:p w14:paraId="22B3951E" w14:textId="77777777" w:rsidR="00927641" w:rsidRPr="00927641" w:rsidRDefault="00927641" w:rsidP="00927641">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The Cabinet Secretary should work with Ministerial colleagues to address Wales’ data sharing policy and associated framework position with a view to accelerating the incorporation of datasets into the National Data Resource.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5E6C6FD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tcBorders>
              <w:top w:val="single" w:sz="4" w:space="0" w:color="auto"/>
              <w:left w:val="single" w:sz="4" w:space="0" w:color="auto"/>
              <w:bottom w:val="single" w:sz="4" w:space="0" w:color="auto"/>
              <w:right w:val="single" w:sz="4" w:space="0" w:color="auto"/>
            </w:tcBorders>
            <w:noWrap/>
            <w:hideMark/>
          </w:tcPr>
          <w:p w14:paraId="010BAA68"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379511B4" w14:textId="77777777" w:rsidR="00927641" w:rsidRPr="00927641" w:rsidRDefault="00927641" w:rsidP="00927641">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shd w:val="clear" w:color="000000" w:fill="E7E6E6"/>
            <w:noWrap/>
            <w:hideMark/>
          </w:tcPr>
          <w:p w14:paraId="6CD4E986" w14:textId="77777777" w:rsidR="00927641" w:rsidRPr="00927641" w:rsidRDefault="00927641" w:rsidP="00927641">
            <w:pPr>
              <w:spacing w:after="0" w:line="240" w:lineRule="auto"/>
              <w:rPr>
                <w:rFonts w:ascii="Times New Roman" w:eastAsia="Times New Roman" w:hAnsi="Times New Roman" w:cs="Times New Roman"/>
                <w:sz w:val="20"/>
                <w:szCs w:val="20"/>
                <w:lang w:eastAsia="en-GB"/>
              </w:rPr>
            </w:pPr>
          </w:p>
        </w:tc>
      </w:tr>
      <w:tr w:rsidR="002C1E3E" w:rsidRPr="00927641" w14:paraId="28B03665" w14:textId="77777777" w:rsidTr="00365BD1">
        <w:trPr>
          <w:trHeight w:val="1882"/>
        </w:trPr>
        <w:tc>
          <w:tcPr>
            <w:tcW w:w="2511" w:type="dxa"/>
            <w:tcBorders>
              <w:top w:val="single" w:sz="4" w:space="0" w:color="auto"/>
              <w:left w:val="single" w:sz="4" w:space="0" w:color="auto"/>
              <w:bottom w:val="single" w:sz="4" w:space="0" w:color="auto"/>
              <w:right w:val="single" w:sz="4" w:space="0" w:color="auto"/>
            </w:tcBorders>
            <w:hideMark/>
          </w:tcPr>
          <w:p w14:paraId="59A2C18A"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Measuring productivity</w:t>
            </w:r>
          </w:p>
        </w:tc>
        <w:tc>
          <w:tcPr>
            <w:tcW w:w="607" w:type="dxa"/>
            <w:tcBorders>
              <w:top w:val="single" w:sz="4" w:space="0" w:color="auto"/>
              <w:left w:val="single" w:sz="4" w:space="0" w:color="auto"/>
              <w:bottom w:val="single" w:sz="4" w:space="0" w:color="auto"/>
              <w:right w:val="single" w:sz="4" w:space="0" w:color="auto"/>
            </w:tcBorders>
            <w:noWrap/>
            <w:hideMark/>
          </w:tcPr>
          <w:p w14:paraId="53E7B096"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23</w:t>
            </w:r>
          </w:p>
        </w:tc>
        <w:tc>
          <w:tcPr>
            <w:tcW w:w="4956" w:type="dxa"/>
            <w:tcBorders>
              <w:top w:val="single" w:sz="4" w:space="0" w:color="auto"/>
              <w:left w:val="single" w:sz="4" w:space="0" w:color="auto"/>
              <w:bottom w:val="single" w:sz="4" w:space="0" w:color="auto"/>
              <w:right w:val="single" w:sz="4" w:space="0" w:color="auto"/>
            </w:tcBorders>
            <w:hideMark/>
          </w:tcPr>
          <w:p w14:paraId="7A6E4215" w14:textId="77777777" w:rsidR="002C1E3E" w:rsidRPr="00927641" w:rsidRDefault="002C1E3E" w:rsidP="002C1E3E">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From the June health board meeting cycle of the 2025/26 annual year going forward workforce head count, full time equivalent staffing and productivity data should be reported to the monthly public meeting of each Health Board. This should include data on both directly employed and the GMS and other independent contractor workforce.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72EA066E"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Health Board</w:t>
            </w:r>
          </w:p>
        </w:tc>
        <w:tc>
          <w:tcPr>
            <w:tcW w:w="1713" w:type="dxa"/>
            <w:tcBorders>
              <w:top w:val="single" w:sz="4" w:space="0" w:color="auto"/>
              <w:left w:val="single" w:sz="4" w:space="0" w:color="auto"/>
              <w:bottom w:val="single" w:sz="4" w:space="0" w:color="auto"/>
              <w:right w:val="single" w:sz="4" w:space="0" w:color="auto"/>
            </w:tcBorders>
            <w:hideMark/>
          </w:tcPr>
          <w:p w14:paraId="17058BE5"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 xml:space="preserve">3 Months </w:t>
            </w:r>
          </w:p>
        </w:tc>
        <w:tc>
          <w:tcPr>
            <w:tcW w:w="1281"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4AD49340"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hideMark/>
          </w:tcPr>
          <w:p w14:paraId="5821EDE4" w14:textId="20F3F14D" w:rsidR="002C1E3E" w:rsidRPr="00927641" w:rsidRDefault="002C1E3E" w:rsidP="002C1E3E">
            <w:pPr>
              <w:spacing w:after="0" w:line="240" w:lineRule="auto"/>
              <w:rPr>
                <w:rFonts w:ascii="Verdana" w:eastAsia="Times New Roman" w:hAnsi="Verdana" w:cs="Calibri"/>
                <w:color w:val="000000"/>
                <w:sz w:val="20"/>
                <w:szCs w:val="20"/>
                <w:lang w:eastAsia="en-GB"/>
              </w:rPr>
            </w:pPr>
            <w:r w:rsidRPr="003B1923">
              <w:rPr>
                <w:rFonts w:ascii="Verdana" w:eastAsia="Times New Roman" w:hAnsi="Verdana" w:cs="Calibri"/>
                <w:color w:val="000000"/>
                <w:sz w:val="20"/>
                <w:szCs w:val="20"/>
                <w:lang w:eastAsia="en-GB"/>
              </w:rPr>
              <w:t>The Workforce and Organisational Development Committee receives information on a bi-monthly basis on vacancies, turnover, PADR and statutory and mandatory training rates plus sickness absence rates.  There are plans to include headcount and wholetime equivalents from December 2025. This information is reported through to Board. This data does not include GMS and independent contractor workforce at this stage. Welsh Government are developing the workforce productivity metrics and we'll incorporate in to our reporting once defined.</w:t>
            </w:r>
          </w:p>
        </w:tc>
      </w:tr>
      <w:tr w:rsidR="002C1E3E" w:rsidRPr="00927641" w14:paraId="1B96ED45" w14:textId="77777777" w:rsidTr="00365BD1">
        <w:trPr>
          <w:trHeight w:val="4383"/>
        </w:trPr>
        <w:tc>
          <w:tcPr>
            <w:tcW w:w="2511" w:type="dxa"/>
            <w:tcBorders>
              <w:top w:val="single" w:sz="4" w:space="0" w:color="auto"/>
              <w:left w:val="single" w:sz="4" w:space="0" w:color="auto"/>
              <w:bottom w:val="single" w:sz="4" w:space="0" w:color="auto"/>
              <w:right w:val="single" w:sz="4" w:space="0" w:color="auto"/>
            </w:tcBorders>
            <w:hideMark/>
          </w:tcPr>
          <w:p w14:paraId="0B23901E"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The regions and capital as levers for change</w:t>
            </w:r>
          </w:p>
        </w:tc>
        <w:tc>
          <w:tcPr>
            <w:tcW w:w="607" w:type="dxa"/>
            <w:tcBorders>
              <w:top w:val="single" w:sz="4" w:space="0" w:color="auto"/>
              <w:left w:val="single" w:sz="4" w:space="0" w:color="auto"/>
              <w:bottom w:val="single" w:sz="4" w:space="0" w:color="auto"/>
              <w:right w:val="single" w:sz="4" w:space="0" w:color="auto"/>
            </w:tcBorders>
            <w:noWrap/>
            <w:hideMark/>
          </w:tcPr>
          <w:p w14:paraId="6E5C970D"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27</w:t>
            </w:r>
          </w:p>
        </w:tc>
        <w:tc>
          <w:tcPr>
            <w:tcW w:w="4956" w:type="dxa"/>
            <w:tcBorders>
              <w:top w:val="single" w:sz="4" w:space="0" w:color="auto"/>
              <w:left w:val="single" w:sz="4" w:space="0" w:color="auto"/>
              <w:bottom w:val="single" w:sz="4" w:space="0" w:color="auto"/>
              <w:right w:val="single" w:sz="4" w:space="0" w:color="auto"/>
            </w:tcBorders>
            <w:hideMark/>
          </w:tcPr>
          <w:p w14:paraId="711BCADA" w14:textId="77777777" w:rsidR="002C1E3E" w:rsidRPr="00927641" w:rsidRDefault="002C1E3E" w:rsidP="002C1E3E">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 xml:space="preserve">In addition to pathology and endoscopy (see Recommendations 6 and 7), health boards within each region should work together to identify two priority fragile services to be addressed in 2025/26 and thereafter a further two on an annual basis. To facilitate this work, resources and support should be provided by the PPU as required. </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5241F439"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Regions</w:t>
            </w:r>
          </w:p>
        </w:tc>
        <w:tc>
          <w:tcPr>
            <w:tcW w:w="1713" w:type="dxa"/>
            <w:tcBorders>
              <w:top w:val="single" w:sz="4" w:space="0" w:color="auto"/>
              <w:left w:val="single" w:sz="4" w:space="0" w:color="auto"/>
              <w:bottom w:val="single" w:sz="4" w:space="0" w:color="auto"/>
              <w:right w:val="single" w:sz="4" w:space="0" w:color="auto"/>
            </w:tcBorders>
            <w:noWrap/>
            <w:hideMark/>
          </w:tcPr>
          <w:p w14:paraId="4742FF41"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70474491"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p>
        </w:tc>
        <w:tc>
          <w:tcPr>
            <w:tcW w:w="7693" w:type="dxa"/>
            <w:tcBorders>
              <w:top w:val="single" w:sz="4" w:space="0" w:color="auto"/>
              <w:left w:val="single" w:sz="4" w:space="0" w:color="auto"/>
              <w:bottom w:val="single" w:sz="4" w:space="0" w:color="auto"/>
              <w:right w:val="single" w:sz="4" w:space="0" w:color="auto"/>
            </w:tcBorders>
            <w:hideMark/>
          </w:tcPr>
          <w:p w14:paraId="791E545A" w14:textId="74845647" w:rsidR="002C1E3E" w:rsidRPr="00927641" w:rsidRDefault="002C1E3E" w:rsidP="002C1E3E">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During 2025/25 is the South West Wales region is focusing on:</w:t>
            </w:r>
            <w:r w:rsidRPr="00927641">
              <w:rPr>
                <w:rFonts w:ascii="Verdana" w:eastAsia="Times New Roman" w:hAnsi="Verdana" w:cs="Calibri"/>
                <w:color w:val="000000"/>
                <w:sz w:val="20"/>
                <w:szCs w:val="20"/>
                <w:lang w:eastAsia="en-GB"/>
              </w:rPr>
              <w:br/>
              <w:t>- Orthopaedics</w:t>
            </w:r>
            <w:r w:rsidRPr="00927641">
              <w:rPr>
                <w:rFonts w:ascii="Verdana" w:eastAsia="Times New Roman" w:hAnsi="Verdana" w:cs="Calibri"/>
                <w:color w:val="000000"/>
                <w:sz w:val="20"/>
                <w:szCs w:val="20"/>
                <w:lang w:eastAsia="en-GB"/>
              </w:rPr>
              <w:br/>
              <w:t>- Eye Care</w:t>
            </w:r>
            <w:r w:rsidRPr="00927641">
              <w:rPr>
                <w:rFonts w:ascii="Verdana" w:eastAsia="Times New Roman" w:hAnsi="Verdana" w:cs="Calibri"/>
                <w:color w:val="000000"/>
                <w:sz w:val="20"/>
                <w:szCs w:val="20"/>
                <w:lang w:eastAsia="en-GB"/>
              </w:rPr>
              <w:br/>
              <w:t>- Pathology</w:t>
            </w:r>
            <w:r w:rsidRPr="00927641">
              <w:rPr>
                <w:rFonts w:ascii="Verdana" w:eastAsia="Times New Roman" w:hAnsi="Verdana" w:cs="Calibri"/>
                <w:color w:val="000000"/>
                <w:sz w:val="20"/>
                <w:szCs w:val="20"/>
                <w:lang w:eastAsia="en-GB"/>
              </w:rPr>
              <w:br/>
              <w:t>- UEC</w:t>
            </w:r>
            <w:r w:rsidRPr="00927641">
              <w:rPr>
                <w:rFonts w:ascii="Verdana" w:eastAsia="Times New Roman" w:hAnsi="Verdana" w:cs="Calibri"/>
                <w:color w:val="000000"/>
                <w:sz w:val="20"/>
                <w:szCs w:val="20"/>
                <w:lang w:eastAsia="en-GB"/>
              </w:rPr>
              <w:br/>
              <w:t>- Cancer</w:t>
            </w:r>
            <w:r w:rsidRPr="00927641">
              <w:rPr>
                <w:rFonts w:ascii="Verdana" w:eastAsia="Times New Roman" w:hAnsi="Verdana" w:cs="Calibri"/>
                <w:color w:val="000000"/>
                <w:sz w:val="20"/>
                <w:szCs w:val="20"/>
                <w:lang w:eastAsia="en-GB"/>
              </w:rPr>
              <w:br/>
              <w:t>- Stroke</w:t>
            </w:r>
            <w:r w:rsidRPr="00927641">
              <w:rPr>
                <w:rFonts w:ascii="Verdana" w:eastAsia="Times New Roman" w:hAnsi="Verdana" w:cs="Calibri"/>
                <w:color w:val="000000"/>
                <w:sz w:val="20"/>
                <w:szCs w:val="20"/>
                <w:lang w:eastAsia="en-GB"/>
              </w:rPr>
              <w:br/>
              <w:t>- Vascular</w:t>
            </w:r>
            <w:r w:rsidRPr="00927641">
              <w:rPr>
                <w:rFonts w:ascii="Verdana" w:eastAsia="Times New Roman" w:hAnsi="Verdana" w:cs="Calibri"/>
                <w:color w:val="000000"/>
                <w:sz w:val="20"/>
                <w:szCs w:val="20"/>
                <w:lang w:eastAsia="en-GB"/>
              </w:rPr>
              <w:br/>
              <w:t>- Non NWJCC specialised services commissioning</w:t>
            </w:r>
            <w:r w:rsidRPr="00927641">
              <w:rPr>
                <w:rFonts w:ascii="Verdana" w:eastAsia="Times New Roman" w:hAnsi="Verdana" w:cs="Calibri"/>
                <w:color w:val="000000"/>
                <w:sz w:val="20"/>
                <w:szCs w:val="20"/>
                <w:lang w:eastAsia="en-GB"/>
              </w:rPr>
              <w:br/>
              <w:t>- General Surgery</w:t>
            </w:r>
            <w:r w:rsidRPr="00927641">
              <w:rPr>
                <w:rFonts w:ascii="Verdana" w:eastAsia="Times New Roman" w:hAnsi="Verdana" w:cs="Calibri"/>
                <w:color w:val="000000"/>
                <w:sz w:val="20"/>
                <w:szCs w:val="20"/>
                <w:lang w:eastAsia="en-GB"/>
              </w:rPr>
              <w:br/>
            </w:r>
            <w:r w:rsidRPr="00927641">
              <w:rPr>
                <w:rFonts w:ascii="Verdana" w:eastAsia="Times New Roman" w:hAnsi="Verdana" w:cs="Calibri"/>
                <w:color w:val="000000"/>
                <w:sz w:val="20"/>
                <w:szCs w:val="20"/>
                <w:lang w:eastAsia="en-GB"/>
              </w:rPr>
              <w:br/>
              <w:t>These programmes will continue to develop and deliver in to 2026/27.  Other fragile services may be added to the extensive regional programme as a result of the Clinical Services Planning, and service reviews.</w:t>
            </w:r>
            <w:r w:rsidRPr="00927641">
              <w:rPr>
                <w:rFonts w:ascii="Verdana" w:eastAsia="Times New Roman" w:hAnsi="Verdana" w:cs="Calibri"/>
                <w:color w:val="000000"/>
                <w:sz w:val="20"/>
                <w:szCs w:val="20"/>
                <w:lang w:eastAsia="en-GB"/>
              </w:rPr>
              <w:br/>
              <w:t>The SWW region is exploring opportunities for accessing resources and support from NHS Performance and Improvement.</w:t>
            </w:r>
          </w:p>
        </w:tc>
      </w:tr>
      <w:tr w:rsidR="002C1E3E" w:rsidRPr="00927641" w14:paraId="3D4F835F" w14:textId="77777777" w:rsidTr="00365BD1">
        <w:trPr>
          <w:trHeight w:val="1009"/>
        </w:trPr>
        <w:tc>
          <w:tcPr>
            <w:tcW w:w="2511" w:type="dxa"/>
            <w:tcBorders>
              <w:top w:val="single" w:sz="4" w:space="0" w:color="auto"/>
              <w:left w:val="single" w:sz="4" w:space="0" w:color="auto"/>
              <w:bottom w:val="single" w:sz="4" w:space="0" w:color="auto"/>
              <w:right w:val="single" w:sz="4" w:space="0" w:color="auto"/>
            </w:tcBorders>
            <w:hideMark/>
          </w:tcPr>
          <w:p w14:paraId="08192B30"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The regions and capital as levers for change</w:t>
            </w:r>
          </w:p>
        </w:tc>
        <w:tc>
          <w:tcPr>
            <w:tcW w:w="607" w:type="dxa"/>
            <w:tcBorders>
              <w:top w:val="single" w:sz="4" w:space="0" w:color="auto"/>
              <w:left w:val="single" w:sz="4" w:space="0" w:color="auto"/>
              <w:bottom w:val="single" w:sz="4" w:space="0" w:color="auto"/>
              <w:right w:val="single" w:sz="4" w:space="0" w:color="auto"/>
            </w:tcBorders>
            <w:noWrap/>
            <w:hideMark/>
          </w:tcPr>
          <w:p w14:paraId="489A8FFA"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28</w:t>
            </w:r>
          </w:p>
        </w:tc>
        <w:tc>
          <w:tcPr>
            <w:tcW w:w="4956" w:type="dxa"/>
            <w:tcBorders>
              <w:top w:val="single" w:sz="4" w:space="0" w:color="auto"/>
              <w:left w:val="single" w:sz="4" w:space="0" w:color="auto"/>
              <w:bottom w:val="single" w:sz="4" w:space="0" w:color="auto"/>
              <w:right w:val="single" w:sz="4" w:space="0" w:color="auto"/>
            </w:tcBorders>
            <w:hideMark/>
          </w:tcPr>
          <w:p w14:paraId="6C9244DB" w14:textId="77777777" w:rsidR="002C1E3E" w:rsidRPr="00927641" w:rsidRDefault="002C1E3E" w:rsidP="002C1E3E">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It is recommended that the health budget capital allocation is uplifted on an ongoing annual basis and is aligned to the annual planning and prioritisation process. Timescale – within 12 months.</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426879FF"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tcBorders>
              <w:top w:val="single" w:sz="4" w:space="0" w:color="auto"/>
              <w:left w:val="single" w:sz="4" w:space="0" w:color="auto"/>
              <w:bottom w:val="single" w:sz="4" w:space="0" w:color="auto"/>
              <w:right w:val="single" w:sz="4" w:space="0" w:color="auto"/>
            </w:tcBorders>
            <w:noWrap/>
            <w:hideMark/>
          </w:tcPr>
          <w:p w14:paraId="3D1D0FF7"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12 Months</w:t>
            </w:r>
          </w:p>
        </w:tc>
        <w:tc>
          <w:tcPr>
            <w:tcW w:w="1281" w:type="dxa"/>
            <w:tcBorders>
              <w:top w:val="single" w:sz="4" w:space="0" w:color="auto"/>
              <w:left w:val="single" w:sz="4" w:space="0" w:color="auto"/>
              <w:bottom w:val="single" w:sz="4" w:space="0" w:color="auto"/>
              <w:right w:val="single" w:sz="4" w:space="0" w:color="auto"/>
            </w:tcBorders>
            <w:shd w:val="clear" w:color="000000" w:fill="92D050"/>
            <w:noWrap/>
            <w:hideMark/>
          </w:tcPr>
          <w:p w14:paraId="1EFA58E4" w14:textId="77777777" w:rsidR="002C1E3E" w:rsidRPr="00927641" w:rsidRDefault="002C1E3E" w:rsidP="002C1E3E">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Complete</w:t>
            </w:r>
          </w:p>
        </w:tc>
        <w:tc>
          <w:tcPr>
            <w:tcW w:w="7693" w:type="dxa"/>
            <w:tcBorders>
              <w:top w:val="single" w:sz="4" w:space="0" w:color="auto"/>
              <w:left w:val="single" w:sz="4" w:space="0" w:color="auto"/>
              <w:bottom w:val="single" w:sz="4" w:space="0" w:color="auto"/>
              <w:right w:val="single" w:sz="4" w:space="0" w:color="auto"/>
            </w:tcBorders>
            <w:shd w:val="clear" w:color="000000" w:fill="92D050"/>
            <w:noWrap/>
            <w:hideMark/>
          </w:tcPr>
          <w:p w14:paraId="0530D45C" w14:textId="77777777" w:rsidR="002C1E3E" w:rsidRPr="00927641" w:rsidRDefault="002C1E3E" w:rsidP="002C1E3E">
            <w:pPr>
              <w:spacing w:after="0" w:line="240" w:lineRule="auto"/>
              <w:rPr>
                <w:rFonts w:ascii="Verdana" w:eastAsia="Times New Roman" w:hAnsi="Verdana" w:cs="Calibri"/>
                <w:color w:val="000000"/>
                <w:sz w:val="20"/>
                <w:szCs w:val="20"/>
                <w:lang w:eastAsia="en-GB"/>
              </w:rPr>
            </w:pPr>
          </w:p>
        </w:tc>
      </w:tr>
      <w:tr w:rsidR="002C1E3E" w:rsidRPr="00927641" w14:paraId="5FBC8466" w14:textId="77777777" w:rsidTr="00365BD1">
        <w:trPr>
          <w:trHeight w:val="1310"/>
        </w:trPr>
        <w:tc>
          <w:tcPr>
            <w:tcW w:w="2511" w:type="dxa"/>
            <w:tcBorders>
              <w:top w:val="single" w:sz="4" w:space="0" w:color="auto"/>
              <w:left w:val="single" w:sz="4" w:space="0" w:color="auto"/>
              <w:bottom w:val="single" w:sz="4" w:space="0" w:color="auto"/>
              <w:right w:val="single" w:sz="4" w:space="0" w:color="auto"/>
            </w:tcBorders>
            <w:hideMark/>
          </w:tcPr>
          <w:p w14:paraId="2E6FA4F6"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The regions and capital as levers for change</w:t>
            </w:r>
          </w:p>
        </w:tc>
        <w:tc>
          <w:tcPr>
            <w:tcW w:w="607" w:type="dxa"/>
            <w:tcBorders>
              <w:top w:val="single" w:sz="4" w:space="0" w:color="auto"/>
              <w:left w:val="single" w:sz="4" w:space="0" w:color="auto"/>
              <w:bottom w:val="single" w:sz="4" w:space="0" w:color="auto"/>
              <w:right w:val="single" w:sz="4" w:space="0" w:color="auto"/>
            </w:tcBorders>
            <w:noWrap/>
            <w:hideMark/>
          </w:tcPr>
          <w:p w14:paraId="0C1835DB" w14:textId="77777777" w:rsidR="002C1E3E" w:rsidRPr="00927641" w:rsidRDefault="002C1E3E" w:rsidP="002C1E3E">
            <w:pPr>
              <w:spacing w:after="0" w:line="240" w:lineRule="auto"/>
              <w:jc w:val="center"/>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29</w:t>
            </w:r>
          </w:p>
        </w:tc>
        <w:tc>
          <w:tcPr>
            <w:tcW w:w="4956" w:type="dxa"/>
            <w:tcBorders>
              <w:top w:val="single" w:sz="4" w:space="0" w:color="auto"/>
              <w:left w:val="single" w:sz="4" w:space="0" w:color="auto"/>
              <w:bottom w:val="single" w:sz="4" w:space="0" w:color="auto"/>
              <w:right w:val="single" w:sz="4" w:space="0" w:color="auto"/>
            </w:tcBorders>
            <w:hideMark/>
          </w:tcPr>
          <w:p w14:paraId="17D6C6C9" w14:textId="77777777" w:rsidR="002C1E3E" w:rsidRPr="00927641" w:rsidRDefault="002C1E3E" w:rsidP="002C1E3E">
            <w:pPr>
              <w:spacing w:after="0" w:line="240" w:lineRule="auto"/>
              <w:rPr>
                <w:rFonts w:ascii="Verdana" w:eastAsia="Times New Roman" w:hAnsi="Verdana" w:cs="Calibri"/>
                <w:b/>
                <w:bCs/>
                <w:color w:val="000000"/>
                <w:sz w:val="20"/>
                <w:szCs w:val="20"/>
                <w:lang w:eastAsia="en-GB"/>
              </w:rPr>
            </w:pPr>
            <w:r w:rsidRPr="00927641">
              <w:rPr>
                <w:rFonts w:ascii="Verdana" w:eastAsia="Times New Roman" w:hAnsi="Verdana" w:cs="Calibri"/>
                <w:b/>
                <w:bCs/>
                <w:color w:val="000000"/>
                <w:sz w:val="20"/>
                <w:szCs w:val="20"/>
                <w:lang w:eastAsia="en-GB"/>
              </w:rPr>
              <w:t>Reliance on routine capital will not fully meet the capital requirements of service modernisation and transformation across NHS Wales. Welsh Government should conduct a review of preferred options for generating non-exchequer capital for the Cabinet Secretary to consider ahead of 2026/27 capital round. Timescale – within 9 months.</w:t>
            </w:r>
          </w:p>
        </w:tc>
        <w:tc>
          <w:tcPr>
            <w:tcW w:w="1935" w:type="dxa"/>
            <w:tcBorders>
              <w:top w:val="single" w:sz="4" w:space="0" w:color="auto"/>
              <w:left w:val="single" w:sz="4" w:space="0" w:color="auto"/>
              <w:bottom w:val="single" w:sz="4" w:space="0" w:color="auto"/>
              <w:right w:val="single" w:sz="4" w:space="0" w:color="auto"/>
            </w:tcBorders>
            <w:shd w:val="clear" w:color="000000" w:fill="FFFFFF"/>
            <w:noWrap/>
            <w:hideMark/>
          </w:tcPr>
          <w:p w14:paraId="2594D7A6"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Welsh Government</w:t>
            </w:r>
          </w:p>
        </w:tc>
        <w:tc>
          <w:tcPr>
            <w:tcW w:w="1713" w:type="dxa"/>
            <w:tcBorders>
              <w:top w:val="single" w:sz="4" w:space="0" w:color="auto"/>
              <w:left w:val="single" w:sz="4" w:space="0" w:color="auto"/>
              <w:bottom w:val="single" w:sz="4" w:space="0" w:color="auto"/>
              <w:right w:val="single" w:sz="4" w:space="0" w:color="auto"/>
            </w:tcBorders>
            <w:noWrap/>
            <w:hideMark/>
          </w:tcPr>
          <w:p w14:paraId="5A21D1D8" w14:textId="77777777" w:rsidR="002C1E3E" w:rsidRPr="00927641" w:rsidRDefault="002C1E3E" w:rsidP="002C1E3E">
            <w:pPr>
              <w:spacing w:after="0" w:line="240" w:lineRule="auto"/>
              <w:jc w:val="center"/>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9 Months</w:t>
            </w:r>
          </w:p>
        </w:tc>
        <w:tc>
          <w:tcPr>
            <w:tcW w:w="1281" w:type="dxa"/>
            <w:tcBorders>
              <w:top w:val="single" w:sz="4" w:space="0" w:color="auto"/>
              <w:left w:val="single" w:sz="4" w:space="0" w:color="auto"/>
              <w:bottom w:val="single" w:sz="4" w:space="0" w:color="auto"/>
              <w:right w:val="single" w:sz="4" w:space="0" w:color="auto"/>
            </w:tcBorders>
            <w:shd w:val="clear" w:color="000000" w:fill="92D050"/>
            <w:noWrap/>
            <w:hideMark/>
          </w:tcPr>
          <w:p w14:paraId="5E7C43CD" w14:textId="77777777" w:rsidR="002C1E3E" w:rsidRPr="00927641" w:rsidRDefault="002C1E3E" w:rsidP="002C1E3E">
            <w:pPr>
              <w:spacing w:after="0" w:line="240" w:lineRule="auto"/>
              <w:rPr>
                <w:rFonts w:ascii="Verdana" w:eastAsia="Times New Roman" w:hAnsi="Verdana" w:cs="Calibri"/>
                <w:color w:val="000000"/>
                <w:sz w:val="20"/>
                <w:szCs w:val="20"/>
                <w:lang w:eastAsia="en-GB"/>
              </w:rPr>
            </w:pPr>
            <w:r w:rsidRPr="00927641">
              <w:rPr>
                <w:rFonts w:ascii="Verdana" w:eastAsia="Times New Roman" w:hAnsi="Verdana" w:cs="Calibri"/>
                <w:color w:val="000000"/>
                <w:sz w:val="20"/>
                <w:szCs w:val="20"/>
                <w:lang w:eastAsia="en-GB"/>
              </w:rPr>
              <w:t>Complete</w:t>
            </w:r>
          </w:p>
        </w:tc>
        <w:tc>
          <w:tcPr>
            <w:tcW w:w="7693" w:type="dxa"/>
            <w:tcBorders>
              <w:top w:val="single" w:sz="4" w:space="0" w:color="auto"/>
              <w:left w:val="single" w:sz="4" w:space="0" w:color="auto"/>
              <w:bottom w:val="single" w:sz="4" w:space="0" w:color="auto"/>
              <w:right w:val="single" w:sz="4" w:space="0" w:color="auto"/>
            </w:tcBorders>
            <w:shd w:val="clear" w:color="000000" w:fill="92D050"/>
            <w:noWrap/>
            <w:hideMark/>
          </w:tcPr>
          <w:p w14:paraId="604204BC" w14:textId="77777777" w:rsidR="002C1E3E" w:rsidRPr="00927641" w:rsidRDefault="002C1E3E" w:rsidP="002C1E3E">
            <w:pPr>
              <w:spacing w:after="0" w:line="240" w:lineRule="auto"/>
              <w:rPr>
                <w:rFonts w:ascii="Verdana" w:eastAsia="Times New Roman" w:hAnsi="Verdana" w:cs="Calibri"/>
                <w:color w:val="000000"/>
                <w:sz w:val="20"/>
                <w:szCs w:val="20"/>
                <w:lang w:eastAsia="en-GB"/>
              </w:rPr>
            </w:pPr>
          </w:p>
        </w:tc>
      </w:tr>
    </w:tbl>
    <w:p w14:paraId="2BCF7F66" w14:textId="77777777" w:rsidR="00927641" w:rsidRDefault="00927641"/>
    <w:sectPr w:rsidR="00927641" w:rsidSect="00365BD1">
      <w:headerReference w:type="default" r:id="rId9"/>
      <w:pgSz w:w="23811" w:h="16838" w:orient="landscape" w:code="8"/>
      <w:pgMar w:top="213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EF510" w14:textId="77777777" w:rsidR="00116EDC" w:rsidRDefault="00116EDC" w:rsidP="00927641">
      <w:pPr>
        <w:spacing w:after="0" w:line="240" w:lineRule="auto"/>
      </w:pPr>
      <w:r>
        <w:separator/>
      </w:r>
    </w:p>
  </w:endnote>
  <w:endnote w:type="continuationSeparator" w:id="0">
    <w:p w14:paraId="5CA1A325" w14:textId="77777777" w:rsidR="00116EDC" w:rsidRDefault="00116EDC" w:rsidP="009276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C31C4" w14:textId="77777777" w:rsidR="00116EDC" w:rsidRDefault="00116EDC" w:rsidP="00927641">
      <w:pPr>
        <w:spacing w:after="0" w:line="240" w:lineRule="auto"/>
      </w:pPr>
      <w:r>
        <w:separator/>
      </w:r>
    </w:p>
  </w:footnote>
  <w:footnote w:type="continuationSeparator" w:id="0">
    <w:p w14:paraId="779C4C76" w14:textId="77777777" w:rsidR="00116EDC" w:rsidRDefault="00116EDC" w:rsidP="009276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16264" w14:textId="1F36BE34" w:rsidR="00365BD1" w:rsidRPr="00365BD1" w:rsidRDefault="00365BD1">
    <w:pPr>
      <w:pStyle w:val="Header"/>
      <w:rPr>
        <w:sz w:val="40"/>
        <w:szCs w:val="40"/>
      </w:rPr>
    </w:pPr>
    <w:r w:rsidRPr="00365BD1">
      <w:rPr>
        <w:rFonts w:ascii="Verdana" w:eastAsia="Times New Roman" w:hAnsi="Verdana" w:cs="Calibri"/>
        <w:b/>
        <w:bCs/>
        <w:color w:val="000000"/>
        <w:sz w:val="40"/>
        <w:szCs w:val="40"/>
        <w:lang w:eastAsia="en-GB"/>
      </w:rPr>
      <w:t>Swansea Bay University Health Board: Update of progress against Ministerial Advisory Group Recommendations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641"/>
    <w:rsid w:val="00116EDC"/>
    <w:rsid w:val="002C1E3E"/>
    <w:rsid w:val="00365BD1"/>
    <w:rsid w:val="007D1A7F"/>
    <w:rsid w:val="00927641"/>
    <w:rsid w:val="00A013D3"/>
    <w:rsid w:val="00A82D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D2552"/>
  <w15:chartTrackingRefBased/>
  <w15:docId w15:val="{FC00EA9F-09AF-4859-BB29-A8686CA8A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76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7641"/>
  </w:style>
  <w:style w:type="paragraph" w:styleId="Footer">
    <w:name w:val="footer"/>
    <w:basedOn w:val="Normal"/>
    <w:link w:val="FooterChar"/>
    <w:uiPriority w:val="99"/>
    <w:unhideWhenUsed/>
    <w:rsid w:val="009276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76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7163717">
      <w:bodyDiv w:val="1"/>
      <w:marLeft w:val="0"/>
      <w:marRight w:val="0"/>
      <w:marTop w:val="0"/>
      <w:marBottom w:val="0"/>
      <w:divBdr>
        <w:top w:val="none" w:sz="0" w:space="0" w:color="auto"/>
        <w:left w:val="none" w:sz="0" w:space="0" w:color="auto"/>
        <w:bottom w:val="none" w:sz="0" w:space="0" w:color="auto"/>
        <w:right w:val="none" w:sz="0" w:space="0" w:color="auto"/>
      </w:divBdr>
    </w:div>
    <w:div w:id="830145885">
      <w:bodyDiv w:val="1"/>
      <w:marLeft w:val="0"/>
      <w:marRight w:val="0"/>
      <w:marTop w:val="0"/>
      <w:marBottom w:val="0"/>
      <w:divBdr>
        <w:top w:val="none" w:sz="0" w:space="0" w:color="auto"/>
        <w:left w:val="none" w:sz="0" w:space="0" w:color="auto"/>
        <w:bottom w:val="none" w:sz="0" w:space="0" w:color="auto"/>
        <w:right w:val="none" w:sz="0" w:space="0" w:color="auto"/>
      </w:divBdr>
    </w:div>
    <w:div w:id="2063360063">
      <w:bodyDiv w:val="1"/>
      <w:marLeft w:val="0"/>
      <w:marRight w:val="0"/>
      <w:marTop w:val="0"/>
      <w:marBottom w:val="0"/>
      <w:divBdr>
        <w:top w:val="none" w:sz="0" w:space="0" w:color="auto"/>
        <w:left w:val="none" w:sz="0" w:space="0" w:color="auto"/>
        <w:bottom w:val="none" w:sz="0" w:space="0" w:color="auto"/>
        <w:right w:val="none" w:sz="0" w:space="0" w:color="auto"/>
      </w:divBdr>
    </w:div>
    <w:div w:id="2100255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3080A3F-BF06-452C-A9B7-76EAD786B17B}">
  <ds:schemaRefs>
    <ds:schemaRef ds:uri="http://schemas.microsoft.com/sharepoint/v3/contenttype/forms"/>
  </ds:schemaRefs>
</ds:datastoreItem>
</file>

<file path=customXml/itemProps2.xml><?xml version="1.0" encoding="utf-8"?>
<ds:datastoreItem xmlns:ds="http://schemas.openxmlformats.org/officeDocument/2006/customXml" ds:itemID="{0AFCF735-1EB3-4A82-B3F3-BF70C1465EA4}"/>
</file>

<file path=customXml/itemProps3.xml><?xml version="1.0" encoding="utf-8"?>
<ds:datastoreItem xmlns:ds="http://schemas.openxmlformats.org/officeDocument/2006/customXml" ds:itemID="{08F9C1DD-F9AB-4788-8647-21DE36673C5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3604</Words>
  <Characters>20544</Characters>
  <Application>Microsoft Office Word</Application>
  <DocSecurity>0</DocSecurity>
  <Lines>171</Lines>
  <Paragraphs>48</Paragraphs>
  <ScaleCrop>false</ScaleCrop>
  <Company/>
  <LinksUpToDate>false</LinksUpToDate>
  <CharactersWithSpaces>24100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Ashleigh OCallaghan (Swansea Bay UHB - Corporate)</dc:creator>
  <cp:keywords/>
  <dc:description/>
  <cp:lastModifiedBy>Ashleigh OCallaghan (Swansea Bay UHB - Corporate)</cp:lastModifiedBy>
  <cp:revision>4</cp:revision>
  <dcterms:created xsi:type="dcterms:W3CDTF">2025-11-14T12:50:00Z</dcterms:created>
  <dcterms:modified xsi:type="dcterms:W3CDTF">2025-11-14T12:53:00Z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