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696" w:type="dxa"/>
        <w:tblInd w:w="-5" w:type="dxa"/>
        <w:tblCellMar>
          <w:top w:w="15" w:type="dxa"/>
          <w:bottom w:w="15" w:type="dxa"/>
        </w:tblCellMar>
        <w:tblLook w:val="04A0" w:firstRow="1" w:lastRow="0" w:firstColumn="1" w:lastColumn="0" w:noHBand="0" w:noVBand="1"/>
      </w:tblPr>
      <w:tblGrid>
        <w:gridCol w:w="2511"/>
        <w:gridCol w:w="607"/>
        <w:gridCol w:w="4956"/>
        <w:gridCol w:w="1935"/>
        <w:gridCol w:w="1713"/>
        <w:gridCol w:w="1281"/>
        <w:gridCol w:w="7693"/>
      </w:tblGrid>
      <w:tr w:rsidR="00365BD1" w:rsidRPr="00927641" w14:paraId="1A9AB3B2" w14:textId="77777777" w:rsidTr="00365BD1">
        <w:trPr>
          <w:trHeight w:val="286"/>
          <w:tblHeader/>
        </w:trPr>
        <w:tc>
          <w:tcPr>
            <w:tcW w:w="2511" w:type="dxa"/>
            <w:tcBorders>
              <w:left w:val="single" w:sz="4" w:space="0" w:color="auto"/>
              <w:bottom w:val="single" w:sz="4" w:space="0" w:color="auto"/>
              <w:right w:val="single" w:sz="4" w:space="0" w:color="auto"/>
            </w:tcBorders>
            <w:shd w:val="clear" w:color="000000" w:fill="44546A"/>
            <w:vAlign w:val="center"/>
            <w:hideMark/>
          </w:tcPr>
          <w:p w14:paraId="67EE6BB5" w14:textId="78ED8A6E" w:rsidR="00365BD1" w:rsidRPr="00927641" w:rsidRDefault="00365BD1" w:rsidP="00927641">
            <w:pPr>
              <w:spacing w:after="0" w:line="240" w:lineRule="auto"/>
              <w:rPr>
                <w:rFonts w:ascii="Verdana" w:eastAsia="Times New Roman" w:hAnsi="Verdana" w:cs="Calibri"/>
                <w:b/>
                <w:bCs/>
                <w:color w:val="FFFFFF"/>
                <w:sz w:val="20"/>
                <w:szCs w:val="20"/>
                <w:lang w:eastAsia="en-GB"/>
              </w:rPr>
            </w:pPr>
            <w:r w:rsidRPr="00927641">
              <w:rPr>
                <w:rFonts w:ascii="Verdana" w:eastAsia="Times New Roman" w:hAnsi="Verdana" w:cs="Calibri"/>
                <w:b/>
                <w:bCs/>
                <w:color w:val="FFFFFF"/>
                <w:sz w:val="20"/>
                <w:szCs w:val="20"/>
                <w:lang w:eastAsia="en-GB"/>
              </w:rPr>
              <w:t>Key Area</w:t>
            </w:r>
          </w:p>
        </w:tc>
        <w:tc>
          <w:tcPr>
            <w:tcW w:w="607" w:type="dxa"/>
            <w:tcBorders>
              <w:top w:val="single" w:sz="4" w:space="0" w:color="auto"/>
              <w:left w:val="single" w:sz="4" w:space="0" w:color="auto"/>
              <w:bottom w:val="single" w:sz="4" w:space="0" w:color="auto"/>
              <w:right w:val="single" w:sz="4" w:space="0" w:color="auto"/>
            </w:tcBorders>
            <w:shd w:val="clear" w:color="000000" w:fill="CBD3DE"/>
            <w:noWrap/>
            <w:vAlign w:val="bottom"/>
            <w:hideMark/>
          </w:tcPr>
          <w:p w14:paraId="40A6DAEA" w14:textId="77777777" w:rsidR="00365BD1" w:rsidRPr="00927641" w:rsidRDefault="00365BD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No.</w:t>
            </w:r>
          </w:p>
        </w:tc>
        <w:tc>
          <w:tcPr>
            <w:tcW w:w="4956" w:type="dxa"/>
            <w:tcBorders>
              <w:top w:val="single" w:sz="4" w:space="0" w:color="auto"/>
              <w:left w:val="single" w:sz="4" w:space="0" w:color="auto"/>
              <w:bottom w:val="single" w:sz="4" w:space="0" w:color="auto"/>
              <w:right w:val="single" w:sz="4" w:space="0" w:color="auto"/>
            </w:tcBorders>
            <w:shd w:val="clear" w:color="000000" w:fill="CBD3DE"/>
            <w:noWrap/>
            <w:vAlign w:val="bottom"/>
            <w:hideMark/>
          </w:tcPr>
          <w:p w14:paraId="5C292CE1" w14:textId="77777777" w:rsidR="00365BD1" w:rsidRPr="00927641" w:rsidRDefault="00365BD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Detail </w:t>
            </w:r>
          </w:p>
        </w:tc>
        <w:tc>
          <w:tcPr>
            <w:tcW w:w="1935" w:type="dxa"/>
            <w:tcBorders>
              <w:top w:val="single" w:sz="4" w:space="0" w:color="auto"/>
              <w:left w:val="single" w:sz="4" w:space="0" w:color="auto"/>
              <w:bottom w:val="single" w:sz="4" w:space="0" w:color="auto"/>
              <w:right w:val="single" w:sz="4" w:space="0" w:color="auto"/>
            </w:tcBorders>
            <w:shd w:val="clear" w:color="000000" w:fill="CBD3DE"/>
            <w:noWrap/>
            <w:vAlign w:val="bottom"/>
            <w:hideMark/>
          </w:tcPr>
          <w:p w14:paraId="32ABA6D4" w14:textId="77777777" w:rsidR="00365BD1" w:rsidRPr="00927641" w:rsidRDefault="00365BD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Lead Organisation</w:t>
            </w:r>
          </w:p>
        </w:tc>
        <w:tc>
          <w:tcPr>
            <w:tcW w:w="1713" w:type="dxa"/>
            <w:tcBorders>
              <w:top w:val="single" w:sz="4" w:space="0" w:color="auto"/>
              <w:left w:val="single" w:sz="4" w:space="0" w:color="auto"/>
              <w:bottom w:val="single" w:sz="4" w:space="0" w:color="auto"/>
              <w:right w:val="single" w:sz="4" w:space="0" w:color="auto"/>
            </w:tcBorders>
            <w:shd w:val="clear" w:color="000000" w:fill="CBD3DE"/>
            <w:noWrap/>
            <w:vAlign w:val="bottom"/>
            <w:hideMark/>
          </w:tcPr>
          <w:p w14:paraId="7E2BECDA" w14:textId="77777777" w:rsidR="00365BD1" w:rsidRPr="00927641" w:rsidRDefault="00365BD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Timescale </w:t>
            </w:r>
          </w:p>
        </w:tc>
        <w:tc>
          <w:tcPr>
            <w:tcW w:w="1281" w:type="dxa"/>
            <w:tcBorders>
              <w:top w:val="single" w:sz="4" w:space="0" w:color="auto"/>
              <w:left w:val="single" w:sz="4" w:space="0" w:color="auto"/>
              <w:bottom w:val="single" w:sz="4" w:space="0" w:color="auto"/>
              <w:right w:val="single" w:sz="4" w:space="0" w:color="auto"/>
            </w:tcBorders>
            <w:shd w:val="clear" w:color="000000" w:fill="B4C6E7"/>
            <w:vAlign w:val="bottom"/>
            <w:hideMark/>
          </w:tcPr>
          <w:p w14:paraId="762A5F3A" w14:textId="77777777" w:rsidR="00365BD1" w:rsidRPr="00927641" w:rsidRDefault="00365BD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RAG Status</w:t>
            </w:r>
          </w:p>
        </w:tc>
        <w:tc>
          <w:tcPr>
            <w:tcW w:w="7693" w:type="dxa"/>
            <w:tcBorders>
              <w:top w:val="single" w:sz="4" w:space="0" w:color="auto"/>
              <w:left w:val="single" w:sz="4" w:space="0" w:color="auto"/>
              <w:bottom w:val="single" w:sz="4" w:space="0" w:color="auto"/>
              <w:right w:val="single" w:sz="4" w:space="0" w:color="auto"/>
            </w:tcBorders>
            <w:shd w:val="clear" w:color="000000" w:fill="B4C6E7"/>
            <w:vAlign w:val="bottom"/>
            <w:hideMark/>
          </w:tcPr>
          <w:p w14:paraId="529433F9" w14:textId="77777777" w:rsidR="00365BD1" w:rsidRPr="00927641" w:rsidRDefault="00365BD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Commentary </w:t>
            </w:r>
          </w:p>
        </w:tc>
      </w:tr>
      <w:tr w:rsidR="00927641" w:rsidRPr="00927641" w14:paraId="11F7FEA0" w14:textId="77777777" w:rsidTr="00365BD1">
        <w:trPr>
          <w:trHeight w:val="1385"/>
        </w:trPr>
        <w:tc>
          <w:tcPr>
            <w:tcW w:w="2511" w:type="dxa"/>
            <w:vMerge w:val="restart"/>
            <w:tcBorders>
              <w:top w:val="single" w:sz="4" w:space="0" w:color="auto"/>
              <w:left w:val="single" w:sz="4" w:space="0" w:color="auto"/>
              <w:bottom w:val="single" w:sz="4" w:space="0" w:color="auto"/>
              <w:right w:val="single" w:sz="4" w:space="0" w:color="auto"/>
            </w:tcBorders>
            <w:noWrap/>
            <w:hideMark/>
          </w:tcPr>
          <w:p w14:paraId="3BEC7E25"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Planned Care </w:t>
            </w: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7AB01A0B"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1</w:t>
            </w:r>
          </w:p>
        </w:tc>
        <w:tc>
          <w:tcPr>
            <w:tcW w:w="4956" w:type="dxa"/>
            <w:tcBorders>
              <w:top w:val="single" w:sz="4" w:space="0" w:color="auto"/>
              <w:left w:val="single" w:sz="4" w:space="0" w:color="auto"/>
              <w:bottom w:val="single" w:sz="4" w:space="0" w:color="auto"/>
              <w:right w:val="single" w:sz="4" w:space="0" w:color="auto"/>
            </w:tcBorders>
            <w:hideMark/>
          </w:tcPr>
          <w:p w14:paraId="50E41893"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All health boards should, within three months, develop a plan to reduce referrals to traditional outpatients in high volume specialities</w:t>
            </w:r>
          </w:p>
        </w:tc>
        <w:tc>
          <w:tcPr>
            <w:tcW w:w="1935" w:type="dxa"/>
            <w:vMerge w:val="restart"/>
            <w:tcBorders>
              <w:top w:val="single" w:sz="4" w:space="0" w:color="auto"/>
              <w:left w:val="single" w:sz="4" w:space="0" w:color="auto"/>
              <w:bottom w:val="single" w:sz="4" w:space="0" w:color="auto"/>
              <w:right w:val="single" w:sz="4" w:space="0" w:color="auto"/>
            </w:tcBorders>
            <w:noWrap/>
            <w:hideMark/>
          </w:tcPr>
          <w:p w14:paraId="598F8D8D"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Health Board</w:t>
            </w:r>
          </w:p>
        </w:tc>
        <w:tc>
          <w:tcPr>
            <w:tcW w:w="1713" w:type="dxa"/>
            <w:vMerge w:val="restart"/>
            <w:tcBorders>
              <w:top w:val="single" w:sz="4" w:space="0" w:color="auto"/>
              <w:left w:val="single" w:sz="4" w:space="0" w:color="auto"/>
              <w:bottom w:val="single" w:sz="4" w:space="0" w:color="auto"/>
              <w:right w:val="single" w:sz="4" w:space="0" w:color="auto"/>
            </w:tcBorders>
            <w:noWrap/>
            <w:hideMark/>
          </w:tcPr>
          <w:p w14:paraId="7336455E"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3 Months</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04101D9D"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vMerge w:val="restart"/>
            <w:tcBorders>
              <w:top w:val="single" w:sz="4" w:space="0" w:color="auto"/>
              <w:left w:val="single" w:sz="4" w:space="0" w:color="auto"/>
              <w:right w:val="single" w:sz="4" w:space="0" w:color="auto"/>
            </w:tcBorders>
            <w:shd w:val="clear" w:color="000000" w:fill="FFFFFF"/>
            <w:hideMark/>
          </w:tcPr>
          <w:p w14:paraId="794CCA40" w14:textId="6CF0BC0F" w:rsidR="00927641" w:rsidRPr="00927641" w:rsidRDefault="00927641" w:rsidP="00927641">
            <w:pPr>
              <w:spacing w:after="0" w:line="240" w:lineRule="auto"/>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 xml:space="preserve">Clinical Committee set up to oversee implementation of national guidelines and Clinical Implementation Network (CIN) thresholds for follow up criteria General Surgery will be pilot test bed for pathway application. Follow Up Waiting List dashboard in situ to track impact of CIN pathway implementation on waiting list size and track compliance at consultant level. </w:t>
            </w:r>
          </w:p>
        </w:tc>
      </w:tr>
      <w:tr w:rsidR="00927641" w:rsidRPr="00927641" w14:paraId="5CA2FC3D" w14:textId="77777777" w:rsidTr="00365BD1">
        <w:trPr>
          <w:trHeight w:val="813"/>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71EFFFE3"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1F389769"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hideMark/>
          </w:tcPr>
          <w:p w14:paraId="59155901"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Particular attention should be given to unwarranted variation and specialities where per capita referrals rates are above the national median.</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23046E9B"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7C13F1B8"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242D0FA4"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left w:val="single" w:sz="4" w:space="0" w:color="auto"/>
              <w:right w:val="single" w:sz="4" w:space="0" w:color="auto"/>
            </w:tcBorders>
            <w:vAlign w:val="center"/>
            <w:hideMark/>
          </w:tcPr>
          <w:p w14:paraId="6FBDBA5A"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41AF8F13" w14:textId="77777777" w:rsidTr="00365BD1">
        <w:trPr>
          <w:trHeight w:val="979"/>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73B39F93"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4CFDCE6D"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hideMark/>
          </w:tcPr>
          <w:p w14:paraId="3FE50789"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Models that offer alternatives to traditional outpatient pathways should be rapidly identified and scaled. National Funding for Advice and Guidance and the National Pathways programme should continue</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505EE7BD"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63ED16BF"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198E9C78"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left w:val="single" w:sz="4" w:space="0" w:color="auto"/>
              <w:right w:val="single" w:sz="4" w:space="0" w:color="auto"/>
            </w:tcBorders>
            <w:vAlign w:val="center"/>
            <w:hideMark/>
          </w:tcPr>
          <w:p w14:paraId="0F155D78"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74F6AC28" w14:textId="77777777" w:rsidTr="00365BD1">
        <w:trPr>
          <w:trHeight w:val="949"/>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07109483"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221E1971"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hideMark/>
          </w:tcPr>
          <w:p w14:paraId="77C2D233"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 xml:space="preserve">From June 2025, progress reported monthly to health board and trust public meetings, and at individual monthly Performance &amp; Productivity meetings </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0806D9AE"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09D99219"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7AC69129"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left w:val="single" w:sz="4" w:space="0" w:color="auto"/>
              <w:bottom w:val="single" w:sz="4" w:space="0" w:color="auto"/>
              <w:right w:val="single" w:sz="4" w:space="0" w:color="auto"/>
            </w:tcBorders>
            <w:noWrap/>
            <w:hideMark/>
          </w:tcPr>
          <w:p w14:paraId="2EBBC80F"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p>
        </w:tc>
      </w:tr>
      <w:tr w:rsidR="00927641" w:rsidRPr="00927641" w14:paraId="02B5A0FB" w14:textId="77777777" w:rsidTr="00365BD1">
        <w:trPr>
          <w:trHeight w:val="918"/>
        </w:trPr>
        <w:tc>
          <w:tcPr>
            <w:tcW w:w="2511" w:type="dxa"/>
            <w:vMerge w:val="restart"/>
            <w:tcBorders>
              <w:top w:val="single" w:sz="4" w:space="0" w:color="auto"/>
              <w:left w:val="single" w:sz="4" w:space="0" w:color="auto"/>
              <w:bottom w:val="single" w:sz="4" w:space="0" w:color="auto"/>
              <w:right w:val="single" w:sz="4" w:space="0" w:color="auto"/>
            </w:tcBorders>
            <w:noWrap/>
            <w:hideMark/>
          </w:tcPr>
          <w:p w14:paraId="36376A07"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Planned Care </w:t>
            </w: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06EB4CD0"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2</w:t>
            </w:r>
          </w:p>
        </w:tc>
        <w:tc>
          <w:tcPr>
            <w:tcW w:w="4956" w:type="dxa"/>
            <w:tcBorders>
              <w:top w:val="single" w:sz="4" w:space="0" w:color="auto"/>
              <w:left w:val="single" w:sz="4" w:space="0" w:color="auto"/>
              <w:bottom w:val="single" w:sz="4" w:space="0" w:color="auto"/>
              <w:right w:val="single" w:sz="4" w:space="0" w:color="auto"/>
            </w:tcBorders>
            <w:vAlign w:val="bottom"/>
            <w:hideMark/>
          </w:tcPr>
          <w:p w14:paraId="0BEE78DE"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All health boards and trusts should work to reduce variation in outpatient waiting times by adopting best practices in outpatient service management</w:t>
            </w:r>
          </w:p>
        </w:tc>
        <w:tc>
          <w:tcPr>
            <w:tcW w:w="1935" w:type="dxa"/>
            <w:vMerge w:val="restart"/>
            <w:tcBorders>
              <w:top w:val="single" w:sz="4" w:space="0" w:color="auto"/>
              <w:left w:val="single" w:sz="4" w:space="0" w:color="auto"/>
              <w:bottom w:val="single" w:sz="4" w:space="0" w:color="auto"/>
              <w:right w:val="single" w:sz="4" w:space="0" w:color="auto"/>
            </w:tcBorders>
            <w:noWrap/>
            <w:hideMark/>
          </w:tcPr>
          <w:p w14:paraId="569FA40E"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Health Board</w:t>
            </w:r>
          </w:p>
        </w:tc>
        <w:tc>
          <w:tcPr>
            <w:tcW w:w="1713" w:type="dxa"/>
            <w:vMerge w:val="restart"/>
            <w:tcBorders>
              <w:top w:val="single" w:sz="4" w:space="0" w:color="auto"/>
              <w:left w:val="single" w:sz="4" w:space="0" w:color="auto"/>
              <w:bottom w:val="single" w:sz="4" w:space="0" w:color="auto"/>
              <w:right w:val="single" w:sz="4" w:space="0" w:color="auto"/>
            </w:tcBorders>
            <w:noWrap/>
            <w:hideMark/>
          </w:tcPr>
          <w:p w14:paraId="45658AE5"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3 Months</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38E5CEA"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vMerge w:val="restart"/>
            <w:tcBorders>
              <w:top w:val="single" w:sz="4" w:space="0" w:color="auto"/>
              <w:left w:val="single" w:sz="4" w:space="0" w:color="auto"/>
              <w:bottom w:val="single" w:sz="4" w:space="0" w:color="auto"/>
              <w:right w:val="single" w:sz="4" w:space="0" w:color="auto"/>
            </w:tcBorders>
            <w:hideMark/>
          </w:tcPr>
          <w:p w14:paraId="678F6229"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 xml:space="preserve">Clinical Committee overseeing implementation of National Optimisation Frameworks published by the Strategic Programme for Planned Care. National programme due to provide prioritisation of actions at a CIN level to inform how best to sequence implementation. Clinical Committee in preparatory discussions to allow quick mobilisation of actions once priorities are published. </w:t>
            </w:r>
            <w:r w:rsidRPr="00927641">
              <w:rPr>
                <w:rFonts w:ascii="Verdana" w:eastAsia="Times New Roman" w:hAnsi="Verdana" w:cs="Calibri"/>
                <w:color w:val="000000"/>
                <w:sz w:val="20"/>
                <w:szCs w:val="20"/>
                <w:lang w:eastAsia="en-GB"/>
              </w:rPr>
              <w:br/>
            </w:r>
            <w:r w:rsidRPr="00927641">
              <w:rPr>
                <w:rFonts w:ascii="Verdana" w:eastAsia="Times New Roman" w:hAnsi="Verdana" w:cs="Calibri"/>
                <w:color w:val="000000"/>
                <w:sz w:val="20"/>
                <w:szCs w:val="20"/>
                <w:lang w:eastAsia="en-GB"/>
              </w:rPr>
              <w:br/>
              <w:t>The Health Board has developed and implemented a training programme for waiting list management.  This is a modular programme, accessed via ESR and participation is monitored via the PADR process.</w:t>
            </w:r>
            <w:r w:rsidRPr="00927641">
              <w:rPr>
                <w:rFonts w:ascii="Verdana" w:eastAsia="Times New Roman" w:hAnsi="Verdana" w:cs="Calibri"/>
                <w:color w:val="000000"/>
                <w:sz w:val="20"/>
                <w:szCs w:val="20"/>
                <w:lang w:eastAsia="en-GB"/>
              </w:rPr>
              <w:br/>
            </w:r>
            <w:r w:rsidRPr="00927641">
              <w:rPr>
                <w:rFonts w:ascii="Verdana" w:eastAsia="Times New Roman" w:hAnsi="Verdana" w:cs="Calibri"/>
                <w:color w:val="000000"/>
                <w:sz w:val="20"/>
                <w:szCs w:val="20"/>
                <w:lang w:eastAsia="en-GB"/>
              </w:rPr>
              <w:br/>
            </w:r>
            <w:r w:rsidRPr="00927641">
              <w:rPr>
                <w:rFonts w:ascii="Verdana" w:eastAsia="Times New Roman" w:hAnsi="Verdana" w:cs="Calibri"/>
                <w:color w:val="000000"/>
                <w:sz w:val="20"/>
                <w:szCs w:val="20"/>
                <w:lang w:eastAsia="en-GB"/>
              </w:rPr>
              <w:br/>
              <w:t xml:space="preserve">More specifically for theatre management, the Health Board has implemented a 6-4-2 process, managed via a theatre scheduling group and a Theatre Operational Group.  It has also developed a suite of dashboards available via BI, that drills down into consultant level / procedure level information.  </w:t>
            </w:r>
          </w:p>
        </w:tc>
      </w:tr>
      <w:tr w:rsidR="00927641" w:rsidRPr="00927641" w14:paraId="2A642E5C" w14:textId="77777777" w:rsidTr="00365BD1">
        <w:trPr>
          <w:trHeight w:val="1611"/>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0CED67BF"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0AB1C476"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vAlign w:val="bottom"/>
            <w:hideMark/>
          </w:tcPr>
          <w:p w14:paraId="60CAA491"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 xml:space="preserve">using existing specialty GIRFT health board and trust reports, the </w:t>
            </w:r>
            <w:proofErr w:type="gramStart"/>
            <w:r w:rsidRPr="00927641">
              <w:rPr>
                <w:rFonts w:ascii="Verdana" w:eastAsia="Times New Roman" w:hAnsi="Verdana" w:cs="Calibri"/>
                <w:i/>
                <w:iCs/>
                <w:color w:val="000000"/>
                <w:sz w:val="20"/>
                <w:szCs w:val="20"/>
                <w:lang w:eastAsia="en-GB"/>
              </w:rPr>
              <w:t>16 specialty</w:t>
            </w:r>
            <w:proofErr w:type="gramEnd"/>
            <w:r w:rsidRPr="00927641">
              <w:rPr>
                <w:rFonts w:ascii="Verdana" w:eastAsia="Times New Roman" w:hAnsi="Verdana" w:cs="Calibri"/>
                <w:i/>
                <w:iCs/>
                <w:color w:val="000000"/>
                <w:sz w:val="20"/>
                <w:szCs w:val="20"/>
                <w:lang w:eastAsia="en-GB"/>
              </w:rPr>
              <w:t xml:space="preserve"> specific Further Faster guides, mandatory electronic triage of referrals, and adoption of the 29 pathways across the 6 specialties with the longest waits  </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59184B15"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140559F8"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2C5943CE"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single" w:sz="4" w:space="0" w:color="auto"/>
              <w:right w:val="single" w:sz="4" w:space="0" w:color="auto"/>
            </w:tcBorders>
            <w:vAlign w:val="center"/>
            <w:hideMark/>
          </w:tcPr>
          <w:p w14:paraId="778AFEF6"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26BC1A93" w14:textId="77777777" w:rsidTr="00365BD1">
        <w:trPr>
          <w:trHeight w:val="1039"/>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60535729"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7843B4A1"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hideMark/>
          </w:tcPr>
          <w:p w14:paraId="5875848A"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 xml:space="preserve">From June 2025, progress reported monthly to health board and trust public meetings, and individual monthly Performance &amp; Productivity meetings </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2F6A8C4F"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259574F0"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71B3E48A"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single" w:sz="4" w:space="0" w:color="auto"/>
              <w:right w:val="single" w:sz="4" w:space="0" w:color="auto"/>
            </w:tcBorders>
            <w:vAlign w:val="center"/>
            <w:hideMark/>
          </w:tcPr>
          <w:p w14:paraId="1D537BAB"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4EC9BDF4" w14:textId="77777777" w:rsidTr="00365BD1">
        <w:trPr>
          <w:trHeight w:val="512"/>
        </w:trPr>
        <w:tc>
          <w:tcPr>
            <w:tcW w:w="2511" w:type="dxa"/>
            <w:vMerge w:val="restart"/>
            <w:tcBorders>
              <w:top w:val="single" w:sz="4" w:space="0" w:color="auto"/>
              <w:left w:val="single" w:sz="4" w:space="0" w:color="auto"/>
              <w:bottom w:val="single" w:sz="4" w:space="0" w:color="auto"/>
              <w:right w:val="single" w:sz="4" w:space="0" w:color="auto"/>
            </w:tcBorders>
            <w:noWrap/>
            <w:hideMark/>
          </w:tcPr>
          <w:p w14:paraId="19544FDF"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Planned Care </w:t>
            </w:r>
          </w:p>
        </w:tc>
        <w:tc>
          <w:tcPr>
            <w:tcW w:w="607" w:type="dxa"/>
            <w:tcBorders>
              <w:top w:val="single" w:sz="4" w:space="0" w:color="auto"/>
              <w:left w:val="single" w:sz="4" w:space="0" w:color="auto"/>
              <w:bottom w:val="single" w:sz="4" w:space="0" w:color="auto"/>
              <w:right w:val="single" w:sz="4" w:space="0" w:color="auto"/>
            </w:tcBorders>
            <w:noWrap/>
            <w:hideMark/>
          </w:tcPr>
          <w:p w14:paraId="5288E904"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3</w:t>
            </w:r>
          </w:p>
        </w:tc>
        <w:tc>
          <w:tcPr>
            <w:tcW w:w="4956" w:type="dxa"/>
            <w:tcBorders>
              <w:top w:val="single" w:sz="4" w:space="0" w:color="auto"/>
              <w:left w:val="single" w:sz="4" w:space="0" w:color="auto"/>
              <w:bottom w:val="single" w:sz="4" w:space="0" w:color="auto"/>
              <w:right w:val="single" w:sz="4" w:space="0" w:color="auto"/>
            </w:tcBorders>
            <w:hideMark/>
          </w:tcPr>
          <w:p w14:paraId="69601179"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All health boards and trusts should take action to improve waiting list management</w:t>
            </w:r>
          </w:p>
        </w:tc>
        <w:tc>
          <w:tcPr>
            <w:tcW w:w="1935" w:type="dxa"/>
            <w:tcBorders>
              <w:top w:val="single" w:sz="4" w:space="0" w:color="auto"/>
              <w:left w:val="single" w:sz="4" w:space="0" w:color="auto"/>
              <w:bottom w:val="single" w:sz="4" w:space="0" w:color="auto"/>
              <w:right w:val="single" w:sz="4" w:space="0" w:color="auto"/>
            </w:tcBorders>
            <w:noWrap/>
            <w:hideMark/>
          </w:tcPr>
          <w:p w14:paraId="258B32B0"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Health Board</w:t>
            </w:r>
          </w:p>
        </w:tc>
        <w:tc>
          <w:tcPr>
            <w:tcW w:w="1713" w:type="dxa"/>
            <w:tcBorders>
              <w:top w:val="single" w:sz="4" w:space="0" w:color="auto"/>
              <w:left w:val="single" w:sz="4" w:space="0" w:color="auto"/>
              <w:bottom w:val="single" w:sz="4" w:space="0" w:color="auto"/>
              <w:right w:val="single" w:sz="4" w:space="0" w:color="auto"/>
            </w:tcBorders>
            <w:noWrap/>
            <w:hideMark/>
          </w:tcPr>
          <w:p w14:paraId="68245AB5"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3 Months</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55B8CA9D"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single" w:sz="4" w:space="0" w:color="auto"/>
              <w:right w:val="single" w:sz="4" w:space="0" w:color="auto"/>
            </w:tcBorders>
            <w:vAlign w:val="center"/>
            <w:hideMark/>
          </w:tcPr>
          <w:p w14:paraId="2D41C25A"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3F8CE4B9" w14:textId="77777777" w:rsidTr="00365BD1">
        <w:trPr>
          <w:trHeight w:val="949"/>
        </w:trPr>
        <w:tc>
          <w:tcPr>
            <w:tcW w:w="2511" w:type="dxa"/>
            <w:vMerge/>
            <w:tcBorders>
              <w:top w:val="single" w:sz="4" w:space="0" w:color="auto"/>
              <w:left w:val="single" w:sz="4" w:space="0" w:color="808080"/>
              <w:bottom w:val="nil"/>
              <w:right w:val="single" w:sz="4" w:space="0" w:color="808080"/>
            </w:tcBorders>
            <w:vAlign w:val="center"/>
            <w:hideMark/>
          </w:tcPr>
          <w:p w14:paraId="2C890984"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val="restart"/>
            <w:tcBorders>
              <w:top w:val="single" w:sz="4" w:space="0" w:color="auto"/>
              <w:left w:val="single" w:sz="4" w:space="0" w:color="808080"/>
              <w:bottom w:val="nil"/>
              <w:right w:val="single" w:sz="4" w:space="0" w:color="808080"/>
            </w:tcBorders>
            <w:noWrap/>
            <w:hideMark/>
          </w:tcPr>
          <w:p w14:paraId="203ED88F"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3a)</w:t>
            </w:r>
          </w:p>
        </w:tc>
        <w:tc>
          <w:tcPr>
            <w:tcW w:w="4956" w:type="dxa"/>
            <w:tcBorders>
              <w:top w:val="single" w:sz="4" w:space="0" w:color="auto"/>
              <w:left w:val="nil"/>
              <w:bottom w:val="nil"/>
              <w:right w:val="nil"/>
            </w:tcBorders>
            <w:vAlign w:val="bottom"/>
            <w:hideMark/>
          </w:tcPr>
          <w:p w14:paraId="2606A3FE"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r w:rsidRPr="00927641">
              <w:rPr>
                <w:rFonts w:ascii="Verdana" w:eastAsia="Times New Roman" w:hAnsi="Verdana" w:cs="Calibri"/>
                <w:b/>
                <w:bCs/>
                <w:color w:val="000000"/>
                <w:sz w:val="20"/>
                <w:szCs w:val="20"/>
                <w:lang w:eastAsia="en-GB"/>
              </w:rPr>
              <w:t>Better prioritisation of available capacity for the longest-wait patients should become a pre-condition for receipt of additional funding from Welsh Government for elective recovery.</w:t>
            </w:r>
            <w:r w:rsidRPr="00927641">
              <w:rPr>
                <w:rFonts w:ascii="Verdana" w:eastAsia="Times New Roman" w:hAnsi="Verdana" w:cs="Calibri"/>
                <w:color w:val="000000"/>
                <w:sz w:val="20"/>
                <w:szCs w:val="20"/>
                <w:lang w:eastAsia="en-GB"/>
              </w:rPr>
              <w:t xml:space="preserve"> </w:t>
            </w:r>
          </w:p>
        </w:tc>
        <w:tc>
          <w:tcPr>
            <w:tcW w:w="1935" w:type="dxa"/>
            <w:vMerge w:val="restart"/>
            <w:tcBorders>
              <w:top w:val="single" w:sz="4" w:space="0" w:color="auto"/>
              <w:left w:val="single" w:sz="4" w:space="0" w:color="auto"/>
              <w:bottom w:val="single" w:sz="4" w:space="0" w:color="auto"/>
              <w:right w:val="single" w:sz="4" w:space="0" w:color="auto"/>
            </w:tcBorders>
            <w:noWrap/>
            <w:hideMark/>
          </w:tcPr>
          <w:p w14:paraId="67CE0A08"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Health Board</w:t>
            </w:r>
          </w:p>
        </w:tc>
        <w:tc>
          <w:tcPr>
            <w:tcW w:w="1713" w:type="dxa"/>
            <w:vMerge w:val="restart"/>
            <w:tcBorders>
              <w:top w:val="single" w:sz="4" w:space="0" w:color="auto"/>
              <w:left w:val="nil"/>
              <w:bottom w:val="nil"/>
              <w:right w:val="nil"/>
            </w:tcBorders>
            <w:noWrap/>
            <w:hideMark/>
          </w:tcPr>
          <w:p w14:paraId="6663CF0A"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3 Months</w:t>
            </w:r>
          </w:p>
        </w:tc>
        <w:tc>
          <w:tcPr>
            <w:tcW w:w="1281" w:type="dxa"/>
            <w:vMerge/>
            <w:tcBorders>
              <w:top w:val="single" w:sz="4" w:space="0" w:color="auto"/>
              <w:left w:val="single" w:sz="4" w:space="0" w:color="auto"/>
              <w:bottom w:val="nil"/>
              <w:right w:val="single" w:sz="4" w:space="0" w:color="auto"/>
            </w:tcBorders>
            <w:vAlign w:val="center"/>
            <w:hideMark/>
          </w:tcPr>
          <w:p w14:paraId="1E0A8F52"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nil"/>
              <w:right w:val="single" w:sz="4" w:space="0" w:color="auto"/>
            </w:tcBorders>
            <w:vAlign w:val="center"/>
            <w:hideMark/>
          </w:tcPr>
          <w:p w14:paraId="16290AB8"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6AC4F9B2" w14:textId="77777777" w:rsidTr="00365BD1">
        <w:trPr>
          <w:trHeight w:val="1265"/>
        </w:trPr>
        <w:tc>
          <w:tcPr>
            <w:tcW w:w="2511" w:type="dxa"/>
            <w:vMerge/>
            <w:tcBorders>
              <w:top w:val="single" w:sz="4" w:space="0" w:color="808080"/>
              <w:left w:val="single" w:sz="4" w:space="0" w:color="808080"/>
              <w:bottom w:val="nil"/>
              <w:right w:val="single" w:sz="4" w:space="0" w:color="808080"/>
            </w:tcBorders>
            <w:vAlign w:val="center"/>
            <w:hideMark/>
          </w:tcPr>
          <w:p w14:paraId="1B2F69AC"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nil"/>
              <w:left w:val="single" w:sz="4" w:space="0" w:color="808080"/>
              <w:bottom w:val="nil"/>
              <w:right w:val="single" w:sz="4" w:space="0" w:color="808080"/>
            </w:tcBorders>
            <w:vAlign w:val="center"/>
            <w:hideMark/>
          </w:tcPr>
          <w:p w14:paraId="04F5A482"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808080"/>
              <w:left w:val="single" w:sz="4" w:space="0" w:color="808080"/>
              <w:bottom w:val="single" w:sz="4" w:space="0" w:color="808080"/>
              <w:right w:val="nil"/>
            </w:tcBorders>
            <w:vAlign w:val="bottom"/>
            <w:hideMark/>
          </w:tcPr>
          <w:p w14:paraId="5EB4CB78"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 xml:space="preserve">Welsh Government should agree minimum standards based on Treat in Turn dataset, and elective recovery funding for 2025/26 should be conditional on meeting these in each health board within a defined period of time. </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58EE95EE"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808080"/>
              <w:left w:val="nil"/>
              <w:bottom w:val="nil"/>
              <w:right w:val="nil"/>
            </w:tcBorders>
            <w:vAlign w:val="center"/>
            <w:hideMark/>
          </w:tcPr>
          <w:p w14:paraId="53FAB569"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nil"/>
              <w:right w:val="single" w:sz="4" w:space="0" w:color="auto"/>
            </w:tcBorders>
            <w:vAlign w:val="center"/>
            <w:hideMark/>
          </w:tcPr>
          <w:p w14:paraId="540E50D7"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nil"/>
              <w:right w:val="single" w:sz="4" w:space="0" w:color="auto"/>
            </w:tcBorders>
            <w:vAlign w:val="center"/>
            <w:hideMark/>
          </w:tcPr>
          <w:p w14:paraId="44401DD3"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246D3578" w14:textId="77777777" w:rsidTr="00365BD1">
        <w:trPr>
          <w:trHeight w:val="617"/>
        </w:trPr>
        <w:tc>
          <w:tcPr>
            <w:tcW w:w="2511" w:type="dxa"/>
            <w:vMerge/>
            <w:tcBorders>
              <w:top w:val="single" w:sz="4" w:space="0" w:color="808080"/>
              <w:left w:val="single" w:sz="4" w:space="0" w:color="808080"/>
              <w:bottom w:val="single" w:sz="4" w:space="0" w:color="auto"/>
              <w:right w:val="single" w:sz="4" w:space="0" w:color="808080"/>
            </w:tcBorders>
            <w:vAlign w:val="center"/>
            <w:hideMark/>
          </w:tcPr>
          <w:p w14:paraId="21AC1DE6"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val="restart"/>
            <w:tcBorders>
              <w:top w:val="single" w:sz="4" w:space="0" w:color="808080"/>
              <w:left w:val="single" w:sz="4" w:space="0" w:color="808080"/>
              <w:bottom w:val="single" w:sz="4" w:space="0" w:color="auto"/>
              <w:right w:val="single" w:sz="4" w:space="0" w:color="808080"/>
            </w:tcBorders>
            <w:noWrap/>
            <w:hideMark/>
          </w:tcPr>
          <w:p w14:paraId="6303BA53"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3b)</w:t>
            </w:r>
          </w:p>
        </w:tc>
        <w:tc>
          <w:tcPr>
            <w:tcW w:w="4956" w:type="dxa"/>
            <w:tcBorders>
              <w:top w:val="single" w:sz="4" w:space="0" w:color="808080"/>
              <w:left w:val="single" w:sz="4" w:space="0" w:color="808080"/>
              <w:bottom w:val="single" w:sz="4" w:space="0" w:color="auto"/>
              <w:right w:val="nil"/>
            </w:tcBorders>
            <w:vAlign w:val="bottom"/>
            <w:hideMark/>
          </w:tcPr>
          <w:p w14:paraId="210FDDB8"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HEIW should set up an accredited training programme for waiting list management, across both RTT and Cancer</w:t>
            </w:r>
          </w:p>
        </w:tc>
        <w:tc>
          <w:tcPr>
            <w:tcW w:w="1935" w:type="dxa"/>
            <w:vMerge w:val="restart"/>
            <w:tcBorders>
              <w:top w:val="single" w:sz="4" w:space="0" w:color="auto"/>
              <w:left w:val="single" w:sz="4" w:space="0" w:color="auto"/>
              <w:bottom w:val="single" w:sz="4" w:space="0" w:color="auto"/>
              <w:right w:val="single" w:sz="4" w:space="0" w:color="auto"/>
            </w:tcBorders>
            <w:noWrap/>
            <w:hideMark/>
          </w:tcPr>
          <w:p w14:paraId="78B98DF8"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Other National</w:t>
            </w:r>
          </w:p>
        </w:tc>
        <w:tc>
          <w:tcPr>
            <w:tcW w:w="1713" w:type="dxa"/>
            <w:vMerge w:val="restart"/>
            <w:tcBorders>
              <w:top w:val="single" w:sz="4" w:space="0" w:color="808080"/>
              <w:left w:val="nil"/>
              <w:bottom w:val="single" w:sz="4" w:space="0" w:color="auto"/>
              <w:right w:val="nil"/>
            </w:tcBorders>
            <w:noWrap/>
            <w:hideMark/>
          </w:tcPr>
          <w:p w14:paraId="018850CB"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6 Months</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5902C39"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single" w:sz="4" w:space="0" w:color="auto"/>
              <w:right w:val="single" w:sz="4" w:space="0" w:color="auto"/>
            </w:tcBorders>
            <w:vAlign w:val="center"/>
            <w:hideMark/>
          </w:tcPr>
          <w:p w14:paraId="66FD748D"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5E962FF6" w14:textId="77777777" w:rsidTr="00365BD1">
        <w:trPr>
          <w:trHeight w:val="1084"/>
        </w:trPr>
        <w:tc>
          <w:tcPr>
            <w:tcW w:w="2511" w:type="dxa"/>
            <w:vMerge/>
            <w:tcBorders>
              <w:top w:val="single" w:sz="4" w:space="0" w:color="auto"/>
              <w:left w:val="single" w:sz="4" w:space="0" w:color="808080"/>
              <w:bottom w:val="nil"/>
              <w:right w:val="single" w:sz="4" w:space="0" w:color="808080"/>
            </w:tcBorders>
            <w:vAlign w:val="center"/>
            <w:hideMark/>
          </w:tcPr>
          <w:p w14:paraId="0CA8F3D2"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808080"/>
              <w:bottom w:val="nil"/>
              <w:right w:val="single" w:sz="4" w:space="0" w:color="808080"/>
            </w:tcBorders>
            <w:vAlign w:val="center"/>
            <w:hideMark/>
          </w:tcPr>
          <w:p w14:paraId="489E6DBF"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nil"/>
              <w:bottom w:val="nil"/>
              <w:right w:val="nil"/>
            </w:tcBorders>
            <w:vAlign w:val="bottom"/>
            <w:hideMark/>
          </w:tcPr>
          <w:p w14:paraId="00E5038B"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aimed at B7 and B8 managers in elective care; to become an expectation for all managers  to embed a consistent and shared set of skills across the country</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6CC5A616"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nil"/>
              <w:bottom w:val="nil"/>
              <w:right w:val="nil"/>
            </w:tcBorders>
            <w:vAlign w:val="center"/>
            <w:hideMark/>
          </w:tcPr>
          <w:p w14:paraId="75819BD7"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nil"/>
              <w:right w:val="single" w:sz="4" w:space="0" w:color="auto"/>
            </w:tcBorders>
            <w:vAlign w:val="center"/>
            <w:hideMark/>
          </w:tcPr>
          <w:p w14:paraId="08448A9C"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nil"/>
              <w:right w:val="single" w:sz="4" w:space="0" w:color="auto"/>
            </w:tcBorders>
            <w:vAlign w:val="center"/>
            <w:hideMark/>
          </w:tcPr>
          <w:p w14:paraId="48862DC1"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7DC5DFFB" w14:textId="77777777" w:rsidTr="00365BD1">
        <w:trPr>
          <w:trHeight w:val="873"/>
        </w:trPr>
        <w:tc>
          <w:tcPr>
            <w:tcW w:w="2511" w:type="dxa"/>
            <w:vMerge/>
            <w:tcBorders>
              <w:top w:val="single" w:sz="4" w:space="0" w:color="808080"/>
              <w:left w:val="single" w:sz="4" w:space="0" w:color="808080"/>
              <w:bottom w:val="nil"/>
              <w:right w:val="single" w:sz="4" w:space="0" w:color="808080"/>
            </w:tcBorders>
            <w:vAlign w:val="center"/>
            <w:hideMark/>
          </w:tcPr>
          <w:p w14:paraId="42BACAF5"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val="restart"/>
            <w:tcBorders>
              <w:top w:val="single" w:sz="4" w:space="0" w:color="808080"/>
              <w:left w:val="single" w:sz="4" w:space="0" w:color="808080"/>
              <w:bottom w:val="nil"/>
              <w:right w:val="single" w:sz="4" w:space="0" w:color="808080"/>
            </w:tcBorders>
            <w:noWrap/>
            <w:hideMark/>
          </w:tcPr>
          <w:p w14:paraId="1308E3A3"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3c)</w:t>
            </w:r>
          </w:p>
        </w:tc>
        <w:tc>
          <w:tcPr>
            <w:tcW w:w="4956" w:type="dxa"/>
            <w:tcBorders>
              <w:top w:val="nil"/>
              <w:left w:val="nil"/>
              <w:bottom w:val="single" w:sz="4" w:space="0" w:color="auto"/>
              <w:right w:val="nil"/>
            </w:tcBorders>
            <w:hideMark/>
          </w:tcPr>
          <w:p w14:paraId="57119465"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Welsh Government should set a target for all patients to be validated down to 36 weeks by the end of 2025/26, and introduce a new national dataset to track progress.</w:t>
            </w:r>
          </w:p>
        </w:tc>
        <w:tc>
          <w:tcPr>
            <w:tcW w:w="1935" w:type="dxa"/>
            <w:vMerge w:val="restart"/>
            <w:tcBorders>
              <w:top w:val="nil"/>
              <w:left w:val="single" w:sz="4" w:space="0" w:color="808080"/>
              <w:bottom w:val="single" w:sz="4" w:space="0" w:color="auto"/>
              <w:right w:val="single" w:sz="4" w:space="0" w:color="808080"/>
            </w:tcBorders>
            <w:noWrap/>
            <w:hideMark/>
          </w:tcPr>
          <w:p w14:paraId="5876B8A9"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Welsh Government</w:t>
            </w:r>
          </w:p>
        </w:tc>
        <w:tc>
          <w:tcPr>
            <w:tcW w:w="1713" w:type="dxa"/>
            <w:vMerge w:val="restart"/>
            <w:tcBorders>
              <w:top w:val="single" w:sz="4" w:space="0" w:color="808080"/>
              <w:left w:val="single" w:sz="4" w:space="0" w:color="808080"/>
              <w:bottom w:val="single" w:sz="4" w:space="0" w:color="auto"/>
              <w:right w:val="nil"/>
            </w:tcBorders>
            <w:noWrap/>
            <w:hideMark/>
          </w:tcPr>
          <w:p w14:paraId="5D9720A8"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3 Months</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9CCB124"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single" w:sz="4" w:space="0" w:color="auto"/>
              <w:right w:val="single" w:sz="4" w:space="0" w:color="auto"/>
            </w:tcBorders>
            <w:vAlign w:val="center"/>
            <w:hideMark/>
          </w:tcPr>
          <w:p w14:paraId="0CB458F8"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16F0CB4D" w14:textId="77777777" w:rsidTr="00365BD1">
        <w:trPr>
          <w:trHeight w:val="798"/>
        </w:trPr>
        <w:tc>
          <w:tcPr>
            <w:tcW w:w="2511" w:type="dxa"/>
            <w:vMerge/>
            <w:tcBorders>
              <w:top w:val="single" w:sz="4" w:space="0" w:color="808080"/>
              <w:left w:val="single" w:sz="4" w:space="0" w:color="808080"/>
              <w:bottom w:val="nil"/>
              <w:right w:val="single" w:sz="4" w:space="0" w:color="808080"/>
            </w:tcBorders>
            <w:vAlign w:val="center"/>
            <w:hideMark/>
          </w:tcPr>
          <w:p w14:paraId="2B2EA1BC"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808080"/>
              <w:left w:val="single" w:sz="4" w:space="0" w:color="808080"/>
              <w:bottom w:val="nil"/>
              <w:right w:val="single" w:sz="4" w:space="0" w:color="auto"/>
            </w:tcBorders>
            <w:vAlign w:val="center"/>
            <w:hideMark/>
          </w:tcPr>
          <w:p w14:paraId="36FF8562"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hideMark/>
          </w:tcPr>
          <w:p w14:paraId="03ACE383"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If insufficient confidence can be achieved in all health boards / trusts, WG should consider nationally procured contract with company specialising in validation (could be once-for-Wales), through Elective Recovery funding.</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1AA0C314"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2468895E"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596AB057"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single" w:sz="4" w:space="0" w:color="auto"/>
              <w:right w:val="single" w:sz="4" w:space="0" w:color="auto"/>
            </w:tcBorders>
            <w:vAlign w:val="center"/>
            <w:hideMark/>
          </w:tcPr>
          <w:p w14:paraId="6CFBE799"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5F5515E8" w14:textId="77777777" w:rsidTr="00365BD1">
        <w:trPr>
          <w:trHeight w:val="1476"/>
        </w:trPr>
        <w:tc>
          <w:tcPr>
            <w:tcW w:w="2511" w:type="dxa"/>
            <w:vMerge/>
            <w:tcBorders>
              <w:top w:val="single" w:sz="4" w:space="0" w:color="808080"/>
              <w:left w:val="single" w:sz="4" w:space="0" w:color="808080"/>
              <w:bottom w:val="single" w:sz="4" w:space="0" w:color="auto"/>
              <w:right w:val="single" w:sz="4" w:space="0" w:color="808080"/>
            </w:tcBorders>
            <w:vAlign w:val="center"/>
            <w:hideMark/>
          </w:tcPr>
          <w:p w14:paraId="2EB4000C"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808080"/>
              <w:left w:val="single" w:sz="4" w:space="0" w:color="808080"/>
              <w:bottom w:val="single" w:sz="4" w:space="0" w:color="auto"/>
              <w:right w:val="single" w:sz="4" w:space="0" w:color="auto"/>
            </w:tcBorders>
            <w:vAlign w:val="center"/>
            <w:hideMark/>
          </w:tcPr>
          <w:p w14:paraId="4A72933E"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hideMark/>
          </w:tcPr>
          <w:p w14:paraId="288784EC"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 xml:space="preserve">DHCW should  develop a new national dataset to track progress, either based on ROTT (removals from the list for reasons other than treatment) rates or manual health board and trust returns around the proportion of 36+ week waiters validated, which should be regularly discussed at the Performance and Productivity meetings. </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72030B94"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79E00F4B"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23B7AB0E"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single" w:sz="4" w:space="0" w:color="auto"/>
              <w:right w:val="single" w:sz="4" w:space="0" w:color="auto"/>
            </w:tcBorders>
            <w:vAlign w:val="center"/>
            <w:hideMark/>
          </w:tcPr>
          <w:p w14:paraId="582A06D6"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762A9709" w14:textId="77777777" w:rsidTr="00365BD1">
        <w:trPr>
          <w:trHeight w:val="843"/>
        </w:trPr>
        <w:tc>
          <w:tcPr>
            <w:tcW w:w="2511" w:type="dxa"/>
            <w:vMerge w:val="restart"/>
            <w:tcBorders>
              <w:top w:val="single" w:sz="4" w:space="0" w:color="auto"/>
              <w:left w:val="single" w:sz="4" w:space="0" w:color="auto"/>
              <w:bottom w:val="single" w:sz="4" w:space="0" w:color="auto"/>
              <w:right w:val="single" w:sz="4" w:space="0" w:color="auto"/>
            </w:tcBorders>
            <w:noWrap/>
            <w:hideMark/>
          </w:tcPr>
          <w:p w14:paraId="5E366123"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Planned Care </w:t>
            </w: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67395F38"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4a)</w:t>
            </w:r>
          </w:p>
        </w:tc>
        <w:tc>
          <w:tcPr>
            <w:tcW w:w="4956" w:type="dxa"/>
            <w:tcBorders>
              <w:top w:val="single" w:sz="4" w:space="0" w:color="auto"/>
              <w:left w:val="single" w:sz="4" w:space="0" w:color="auto"/>
              <w:bottom w:val="single" w:sz="4" w:space="0" w:color="auto"/>
              <w:right w:val="single" w:sz="4" w:space="0" w:color="auto"/>
            </w:tcBorders>
            <w:vAlign w:val="bottom"/>
            <w:hideMark/>
          </w:tcPr>
          <w:p w14:paraId="1F06C994"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All health boards should reduce unwarranted variation in treatment waiting times and adopt best practice in theatre management.</w:t>
            </w:r>
          </w:p>
        </w:tc>
        <w:tc>
          <w:tcPr>
            <w:tcW w:w="1935" w:type="dxa"/>
            <w:vMerge w:val="restart"/>
            <w:tcBorders>
              <w:top w:val="single" w:sz="4" w:space="0" w:color="auto"/>
              <w:left w:val="single" w:sz="4" w:space="0" w:color="auto"/>
              <w:bottom w:val="single" w:sz="4" w:space="0" w:color="auto"/>
              <w:right w:val="single" w:sz="4" w:space="0" w:color="auto"/>
            </w:tcBorders>
            <w:noWrap/>
            <w:hideMark/>
          </w:tcPr>
          <w:p w14:paraId="626FEB43"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Health Board</w:t>
            </w:r>
          </w:p>
        </w:tc>
        <w:tc>
          <w:tcPr>
            <w:tcW w:w="1713" w:type="dxa"/>
            <w:vMerge w:val="restart"/>
            <w:tcBorders>
              <w:top w:val="single" w:sz="4" w:space="0" w:color="auto"/>
              <w:left w:val="single" w:sz="4" w:space="0" w:color="auto"/>
              <w:bottom w:val="single" w:sz="4" w:space="0" w:color="auto"/>
              <w:right w:val="single" w:sz="4" w:space="0" w:color="auto"/>
            </w:tcBorders>
            <w:noWrap/>
            <w:hideMark/>
          </w:tcPr>
          <w:p w14:paraId="7AA14187"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6 Months</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75BD03B"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single" w:sz="4" w:space="0" w:color="auto"/>
              <w:right w:val="single" w:sz="4" w:space="0" w:color="auto"/>
            </w:tcBorders>
            <w:vAlign w:val="center"/>
            <w:hideMark/>
          </w:tcPr>
          <w:p w14:paraId="38502866"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269C360C" w14:textId="77777777" w:rsidTr="00365BD1">
        <w:trPr>
          <w:trHeight w:val="1777"/>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5AF12722"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70772EB9"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vAlign w:val="bottom"/>
            <w:hideMark/>
          </w:tcPr>
          <w:p w14:paraId="27485436"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 xml:space="preserve">Through the implementation of  GIRFT including  theatre reviews; supported by the establishment of local Theatre Optimisation Boards, with a remit to deliver increased productivity within theatre sessions including the implementation of best practice standards of cases per session, particularly in ophthalmology and orthopaedics (in ophthalmology 8 cataracts in 4 hour  if a training session and 10 if consultant only, and in elective orthopaedics a minimum requirement of 4 Joints or equivalent in an all day list). </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1CD36FC4"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76736500"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43F6B70C"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single" w:sz="4" w:space="0" w:color="auto"/>
              <w:right w:val="single" w:sz="4" w:space="0" w:color="auto"/>
            </w:tcBorders>
            <w:vAlign w:val="center"/>
            <w:hideMark/>
          </w:tcPr>
          <w:p w14:paraId="6AD91F8C"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5F674031" w14:textId="77777777" w:rsidTr="00365BD1">
        <w:trPr>
          <w:trHeight w:val="1159"/>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51D22B52"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06D4D524"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4b)</w:t>
            </w:r>
          </w:p>
        </w:tc>
        <w:tc>
          <w:tcPr>
            <w:tcW w:w="4956" w:type="dxa"/>
            <w:tcBorders>
              <w:top w:val="single" w:sz="4" w:space="0" w:color="auto"/>
              <w:left w:val="single" w:sz="4" w:space="0" w:color="auto"/>
              <w:bottom w:val="single" w:sz="4" w:space="0" w:color="auto"/>
              <w:right w:val="single" w:sz="4" w:space="0" w:color="auto"/>
            </w:tcBorders>
            <w:vAlign w:val="bottom"/>
            <w:hideMark/>
          </w:tcPr>
          <w:p w14:paraId="2E016C38"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Health boards should seek accreditation for all current Surgical Hubs</w:t>
            </w:r>
          </w:p>
        </w:tc>
        <w:tc>
          <w:tcPr>
            <w:tcW w:w="1935" w:type="dxa"/>
            <w:vMerge w:val="restart"/>
            <w:tcBorders>
              <w:top w:val="single" w:sz="4" w:space="0" w:color="auto"/>
              <w:left w:val="single" w:sz="4" w:space="0" w:color="auto"/>
              <w:bottom w:val="single" w:sz="4" w:space="0" w:color="auto"/>
              <w:right w:val="single" w:sz="4" w:space="0" w:color="auto"/>
            </w:tcBorders>
            <w:hideMark/>
          </w:tcPr>
          <w:p w14:paraId="07A16548" w14:textId="77777777" w:rsidR="00927641" w:rsidRPr="00927641" w:rsidRDefault="00927641" w:rsidP="00927641">
            <w:pPr>
              <w:spacing w:after="0" w:line="240" w:lineRule="auto"/>
              <w:jc w:val="center"/>
              <w:rPr>
                <w:rFonts w:ascii="Verdana" w:eastAsia="Times New Roman" w:hAnsi="Verdana" w:cs="Calibri"/>
                <w:i/>
                <w:iCs/>
                <w:color w:val="ED7D31"/>
                <w:sz w:val="20"/>
                <w:szCs w:val="20"/>
                <w:lang w:eastAsia="en-GB"/>
              </w:rPr>
            </w:pPr>
            <w:r w:rsidRPr="00927641">
              <w:rPr>
                <w:rFonts w:ascii="Verdana" w:eastAsia="Times New Roman" w:hAnsi="Verdana" w:cs="Calibri"/>
                <w:i/>
                <w:iCs/>
                <w:color w:val="ED7D31"/>
                <w:sz w:val="20"/>
                <w:szCs w:val="20"/>
                <w:lang w:eastAsia="en-GB"/>
              </w:rPr>
              <w:t>Health Board - WG propose in their response that they lead this</w:t>
            </w:r>
          </w:p>
        </w:tc>
        <w:tc>
          <w:tcPr>
            <w:tcW w:w="1713" w:type="dxa"/>
            <w:vMerge w:val="restart"/>
            <w:tcBorders>
              <w:top w:val="single" w:sz="4" w:space="0" w:color="auto"/>
              <w:left w:val="single" w:sz="4" w:space="0" w:color="auto"/>
              <w:bottom w:val="single" w:sz="4" w:space="0" w:color="auto"/>
              <w:right w:val="single" w:sz="4" w:space="0" w:color="auto"/>
            </w:tcBorders>
            <w:noWrap/>
            <w:hideMark/>
          </w:tcPr>
          <w:p w14:paraId="55B732D4"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6 Months</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025C747"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vMerge w:val="restart"/>
            <w:tcBorders>
              <w:top w:val="single" w:sz="4" w:space="0" w:color="auto"/>
              <w:left w:val="single" w:sz="4" w:space="0" w:color="auto"/>
              <w:bottom w:val="single" w:sz="4" w:space="0" w:color="auto"/>
              <w:right w:val="single" w:sz="4" w:space="0" w:color="auto"/>
            </w:tcBorders>
            <w:hideMark/>
          </w:tcPr>
          <w:p w14:paraId="745AEDF2"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 xml:space="preserve">Clinical Committee received verbal update from national planned care director on 10th Nov outlining planned process for accreditation. SBUHB poised to engage once this is finalised. </w:t>
            </w:r>
          </w:p>
        </w:tc>
      </w:tr>
      <w:tr w:rsidR="00927641" w:rsidRPr="00927641" w14:paraId="3508D354" w14:textId="77777777" w:rsidTr="00365BD1">
        <w:trPr>
          <w:trHeight w:val="1566"/>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17168B91"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56F50581"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vAlign w:val="bottom"/>
            <w:hideMark/>
          </w:tcPr>
          <w:p w14:paraId="10E0F8D0"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 xml:space="preserve">(listed in Annex C) from the National Medical Director, within 6 months using standard GIRFT criteria including maximised theatre productivity (Annex D), and with all hubs to be accredited within 12 months. From June 2025, progress reported monthly to the public part </w:t>
            </w:r>
            <w:r w:rsidRPr="00927641">
              <w:rPr>
                <w:rFonts w:ascii="Verdana" w:eastAsia="Times New Roman" w:hAnsi="Verdana" w:cs="Calibri"/>
                <w:i/>
                <w:iCs/>
                <w:color w:val="000000"/>
                <w:sz w:val="20"/>
                <w:szCs w:val="20"/>
                <w:lang w:eastAsia="en-GB"/>
              </w:rPr>
              <w:lastRenderedPageBreak/>
              <w:t>of health board meetings, and  monthly Performance and Productivity meeting</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21B5F9F6" w14:textId="77777777" w:rsidR="00927641" w:rsidRPr="00927641" w:rsidRDefault="00927641" w:rsidP="00927641">
            <w:pPr>
              <w:spacing w:after="0" w:line="240" w:lineRule="auto"/>
              <w:rPr>
                <w:rFonts w:ascii="Verdana" w:eastAsia="Times New Roman" w:hAnsi="Verdana" w:cs="Calibri"/>
                <w:i/>
                <w:iCs/>
                <w:color w:val="ED7D31"/>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5D432742"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74460775"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single" w:sz="4" w:space="0" w:color="auto"/>
              <w:right w:val="single" w:sz="4" w:space="0" w:color="auto"/>
            </w:tcBorders>
            <w:vAlign w:val="center"/>
            <w:hideMark/>
          </w:tcPr>
          <w:p w14:paraId="3D9916B4"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225918A7" w14:textId="77777777" w:rsidTr="00365BD1">
        <w:trPr>
          <w:trHeight w:val="512"/>
        </w:trPr>
        <w:tc>
          <w:tcPr>
            <w:tcW w:w="2511" w:type="dxa"/>
            <w:vMerge w:val="restart"/>
            <w:tcBorders>
              <w:top w:val="single" w:sz="4" w:space="0" w:color="auto"/>
              <w:left w:val="single" w:sz="4" w:space="0" w:color="808080"/>
              <w:bottom w:val="nil"/>
              <w:right w:val="single" w:sz="4" w:space="0" w:color="808080"/>
            </w:tcBorders>
            <w:noWrap/>
            <w:hideMark/>
          </w:tcPr>
          <w:p w14:paraId="2EA0127C"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Planned Care </w:t>
            </w:r>
          </w:p>
        </w:tc>
        <w:tc>
          <w:tcPr>
            <w:tcW w:w="607" w:type="dxa"/>
            <w:vMerge w:val="restart"/>
            <w:tcBorders>
              <w:top w:val="single" w:sz="4" w:space="0" w:color="auto"/>
              <w:left w:val="single" w:sz="4" w:space="0" w:color="808080"/>
              <w:bottom w:val="nil"/>
              <w:right w:val="single" w:sz="4" w:space="0" w:color="auto"/>
            </w:tcBorders>
            <w:noWrap/>
            <w:hideMark/>
          </w:tcPr>
          <w:p w14:paraId="4DF1F823"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5</w:t>
            </w:r>
          </w:p>
        </w:tc>
        <w:tc>
          <w:tcPr>
            <w:tcW w:w="4956" w:type="dxa"/>
            <w:tcBorders>
              <w:top w:val="single" w:sz="4" w:space="0" w:color="auto"/>
              <w:left w:val="single" w:sz="4" w:space="0" w:color="auto"/>
              <w:bottom w:val="single" w:sz="4" w:space="0" w:color="auto"/>
              <w:right w:val="single" w:sz="4" w:space="0" w:color="auto"/>
            </w:tcBorders>
            <w:vAlign w:val="bottom"/>
            <w:hideMark/>
          </w:tcPr>
          <w:p w14:paraId="56C92F6E"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Establish a national dedicated fund for the use of the independent sector</w:t>
            </w:r>
          </w:p>
        </w:tc>
        <w:tc>
          <w:tcPr>
            <w:tcW w:w="1935" w:type="dxa"/>
            <w:vMerge w:val="restart"/>
            <w:tcBorders>
              <w:top w:val="single" w:sz="4" w:space="0" w:color="auto"/>
              <w:left w:val="single" w:sz="4" w:space="0" w:color="auto"/>
              <w:bottom w:val="single" w:sz="4" w:space="0" w:color="auto"/>
              <w:right w:val="single" w:sz="4" w:space="0" w:color="auto"/>
            </w:tcBorders>
            <w:noWrap/>
            <w:hideMark/>
          </w:tcPr>
          <w:p w14:paraId="7F2D6B32"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Welsh Government</w:t>
            </w:r>
          </w:p>
        </w:tc>
        <w:tc>
          <w:tcPr>
            <w:tcW w:w="1713" w:type="dxa"/>
            <w:vMerge w:val="restart"/>
            <w:tcBorders>
              <w:top w:val="single" w:sz="4" w:space="0" w:color="auto"/>
              <w:left w:val="single" w:sz="4" w:space="0" w:color="auto"/>
              <w:bottom w:val="single" w:sz="4" w:space="0" w:color="auto"/>
              <w:right w:val="single" w:sz="4" w:space="0" w:color="auto"/>
            </w:tcBorders>
            <w:noWrap/>
            <w:hideMark/>
          </w:tcPr>
          <w:p w14:paraId="0C764E02"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6 Months</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319B6B7C"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vMerge w:val="restart"/>
            <w:tcBorders>
              <w:top w:val="single" w:sz="4" w:space="0" w:color="auto"/>
              <w:left w:val="single" w:sz="4" w:space="0" w:color="auto"/>
              <w:bottom w:val="single" w:sz="4" w:space="0" w:color="auto"/>
              <w:right w:val="single" w:sz="4" w:space="0" w:color="auto"/>
            </w:tcBorders>
            <w:hideMark/>
          </w:tcPr>
          <w:p w14:paraId="327735D6"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SBUHB fully engaged in national programme of insourcing to reduce 26 week waits. On a sustainable basis, this requires further demand and capacity work, ideally on a regional basis to ensure there is equity in the provision of independent sector capacity.</w:t>
            </w:r>
          </w:p>
        </w:tc>
      </w:tr>
      <w:tr w:rsidR="00927641" w:rsidRPr="00927641" w14:paraId="71967A00" w14:textId="77777777" w:rsidTr="00365BD1">
        <w:trPr>
          <w:trHeight w:val="2304"/>
        </w:trPr>
        <w:tc>
          <w:tcPr>
            <w:tcW w:w="2511" w:type="dxa"/>
            <w:vMerge/>
            <w:tcBorders>
              <w:top w:val="single" w:sz="4" w:space="0" w:color="808080"/>
              <w:left w:val="single" w:sz="4" w:space="0" w:color="808080"/>
              <w:bottom w:val="single" w:sz="4" w:space="0" w:color="auto"/>
              <w:right w:val="single" w:sz="4" w:space="0" w:color="808080"/>
            </w:tcBorders>
            <w:vAlign w:val="center"/>
            <w:hideMark/>
          </w:tcPr>
          <w:p w14:paraId="4F138433"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808080"/>
              <w:left w:val="single" w:sz="4" w:space="0" w:color="808080"/>
              <w:bottom w:val="single" w:sz="4" w:space="0" w:color="auto"/>
              <w:right w:val="single" w:sz="4" w:space="0" w:color="808080"/>
            </w:tcBorders>
            <w:vAlign w:val="center"/>
            <w:hideMark/>
          </w:tcPr>
          <w:p w14:paraId="3AC387F2"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nil"/>
              <w:bottom w:val="single" w:sz="4" w:space="0" w:color="auto"/>
              <w:right w:val="nil"/>
            </w:tcBorders>
            <w:hideMark/>
          </w:tcPr>
          <w:p w14:paraId="7A432C92"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 xml:space="preserve">For use in longer term sustainability challenges in demand/capacity that cannot be addressed through hb improvement. Nationally negotiated, multi-year contract with independent sector for ophthalmology in first instance, with consideration  to replicating  for orthopaedics or dermatology if positive results. Contracts should then be regionally managed, modelling  success of  Southeast Wales cataract contracting in 2024/25, ensuring equity of access across regional footprints. Longer-term, WG to commission options appraisal on opening up choice of provider to referring clinicians and patients in  specific, highly pressured specialties, and include these on  choice menu. </w:t>
            </w:r>
          </w:p>
        </w:tc>
        <w:tc>
          <w:tcPr>
            <w:tcW w:w="1935" w:type="dxa"/>
            <w:vMerge/>
            <w:tcBorders>
              <w:top w:val="single" w:sz="4" w:space="0" w:color="auto"/>
              <w:left w:val="single" w:sz="4" w:space="0" w:color="808080"/>
              <w:bottom w:val="nil"/>
              <w:right w:val="single" w:sz="4" w:space="0" w:color="808080"/>
            </w:tcBorders>
            <w:vAlign w:val="center"/>
            <w:hideMark/>
          </w:tcPr>
          <w:p w14:paraId="7E11DF30"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808080"/>
              <w:bottom w:val="nil"/>
              <w:right w:val="nil"/>
            </w:tcBorders>
            <w:vAlign w:val="center"/>
            <w:hideMark/>
          </w:tcPr>
          <w:p w14:paraId="0EAC21E9"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nil"/>
              <w:right w:val="single" w:sz="4" w:space="0" w:color="auto"/>
            </w:tcBorders>
            <w:vAlign w:val="center"/>
            <w:hideMark/>
          </w:tcPr>
          <w:p w14:paraId="7C9DA9A7"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nil"/>
              <w:right w:val="single" w:sz="4" w:space="0" w:color="auto"/>
            </w:tcBorders>
            <w:vAlign w:val="center"/>
            <w:hideMark/>
          </w:tcPr>
          <w:p w14:paraId="47826CD8"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02014B35" w14:textId="77777777" w:rsidTr="00365BD1">
        <w:trPr>
          <w:trHeight w:val="512"/>
        </w:trPr>
        <w:tc>
          <w:tcPr>
            <w:tcW w:w="2511" w:type="dxa"/>
            <w:vMerge w:val="restart"/>
            <w:tcBorders>
              <w:top w:val="single" w:sz="4" w:space="0" w:color="auto"/>
              <w:left w:val="single" w:sz="4" w:space="0" w:color="auto"/>
              <w:bottom w:val="single" w:sz="4" w:space="0" w:color="auto"/>
              <w:right w:val="single" w:sz="4" w:space="0" w:color="auto"/>
            </w:tcBorders>
            <w:noWrap/>
            <w:hideMark/>
          </w:tcPr>
          <w:p w14:paraId="34D3428B"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Planned Care </w:t>
            </w: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27ACA1BE"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6</w:t>
            </w:r>
          </w:p>
        </w:tc>
        <w:tc>
          <w:tcPr>
            <w:tcW w:w="4956" w:type="dxa"/>
            <w:tcBorders>
              <w:top w:val="single" w:sz="4" w:space="0" w:color="auto"/>
              <w:left w:val="single" w:sz="4" w:space="0" w:color="auto"/>
              <w:bottom w:val="single" w:sz="4" w:space="0" w:color="auto"/>
              <w:right w:val="nil"/>
            </w:tcBorders>
            <w:vAlign w:val="bottom"/>
            <w:hideMark/>
          </w:tcPr>
          <w:p w14:paraId="24C5C84C"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Welsh Government should create a national plan for endoscopy to address the current backlog of long-waits. </w:t>
            </w:r>
          </w:p>
        </w:tc>
        <w:tc>
          <w:tcPr>
            <w:tcW w:w="1935" w:type="dxa"/>
            <w:vMerge w:val="restart"/>
            <w:tcBorders>
              <w:top w:val="single" w:sz="4" w:space="0" w:color="auto"/>
              <w:left w:val="single" w:sz="4" w:space="0" w:color="auto"/>
              <w:bottom w:val="nil"/>
              <w:right w:val="single" w:sz="4" w:space="0" w:color="auto"/>
            </w:tcBorders>
            <w:shd w:val="clear" w:color="000000" w:fill="FFFFFF"/>
            <w:noWrap/>
            <w:hideMark/>
          </w:tcPr>
          <w:p w14:paraId="52A1D005"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Welsh Government</w:t>
            </w:r>
          </w:p>
        </w:tc>
        <w:tc>
          <w:tcPr>
            <w:tcW w:w="1713" w:type="dxa"/>
            <w:vMerge w:val="restart"/>
            <w:tcBorders>
              <w:top w:val="single" w:sz="4" w:space="0" w:color="auto"/>
              <w:left w:val="single" w:sz="4" w:space="0" w:color="auto"/>
              <w:bottom w:val="nil"/>
              <w:right w:val="single" w:sz="4" w:space="0" w:color="auto"/>
            </w:tcBorders>
            <w:noWrap/>
            <w:hideMark/>
          </w:tcPr>
          <w:p w14:paraId="24B62370"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6 Months</w:t>
            </w:r>
          </w:p>
        </w:tc>
        <w:tc>
          <w:tcPr>
            <w:tcW w:w="1281" w:type="dxa"/>
            <w:vMerge w:val="restart"/>
            <w:tcBorders>
              <w:top w:val="single" w:sz="4" w:space="0" w:color="auto"/>
              <w:left w:val="single" w:sz="4" w:space="0" w:color="auto"/>
              <w:bottom w:val="nil"/>
              <w:right w:val="single" w:sz="4" w:space="0" w:color="auto"/>
            </w:tcBorders>
            <w:shd w:val="clear" w:color="000000" w:fill="92D050"/>
            <w:noWrap/>
            <w:vAlign w:val="bottom"/>
            <w:hideMark/>
          </w:tcPr>
          <w:p w14:paraId="7A7A4E6F"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vMerge w:val="restart"/>
            <w:tcBorders>
              <w:top w:val="single" w:sz="4" w:space="0" w:color="auto"/>
              <w:left w:val="single" w:sz="4" w:space="0" w:color="auto"/>
              <w:bottom w:val="nil"/>
              <w:right w:val="single" w:sz="4" w:space="0" w:color="auto"/>
            </w:tcBorders>
            <w:hideMark/>
          </w:tcPr>
          <w:p w14:paraId="411FF4DB" w14:textId="07336495" w:rsidR="00927641" w:rsidRPr="00927641" w:rsidRDefault="00927641" w:rsidP="00927641">
            <w:pPr>
              <w:spacing w:after="0" w:line="240" w:lineRule="auto"/>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SBUHB fully engaged in WG Phase 4 plan for diagnostics. A plan is in place to deliver the 8-week target by the end of March 2026, using the additional resource made available by the Phase 4 programme.</w:t>
            </w:r>
          </w:p>
        </w:tc>
      </w:tr>
      <w:tr w:rsidR="00927641" w:rsidRPr="00927641" w14:paraId="79B97969" w14:textId="77777777" w:rsidTr="00365BD1">
        <w:trPr>
          <w:trHeight w:val="873"/>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06AED4F9"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7C2D0815"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nil"/>
            </w:tcBorders>
            <w:hideMark/>
          </w:tcPr>
          <w:p w14:paraId="669C043B"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This should include prioritised capital for Betsi Cadwaladr University Health Board to bring it line with other health boards.</w:t>
            </w:r>
          </w:p>
        </w:tc>
        <w:tc>
          <w:tcPr>
            <w:tcW w:w="1935" w:type="dxa"/>
            <w:vMerge/>
            <w:tcBorders>
              <w:top w:val="single" w:sz="4" w:space="0" w:color="auto"/>
              <w:left w:val="single" w:sz="4" w:space="0" w:color="auto"/>
              <w:bottom w:val="nil"/>
              <w:right w:val="single" w:sz="4" w:space="0" w:color="auto"/>
            </w:tcBorders>
            <w:vAlign w:val="center"/>
            <w:hideMark/>
          </w:tcPr>
          <w:p w14:paraId="0A5B2AAC"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nil"/>
              <w:right w:val="single" w:sz="4" w:space="0" w:color="auto"/>
            </w:tcBorders>
            <w:vAlign w:val="center"/>
            <w:hideMark/>
          </w:tcPr>
          <w:p w14:paraId="6680B6CA"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nil"/>
              <w:right w:val="single" w:sz="4" w:space="0" w:color="auto"/>
            </w:tcBorders>
            <w:vAlign w:val="center"/>
            <w:hideMark/>
          </w:tcPr>
          <w:p w14:paraId="72F146F6"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nil"/>
              <w:right w:val="single" w:sz="4" w:space="0" w:color="auto"/>
            </w:tcBorders>
            <w:vAlign w:val="center"/>
            <w:hideMark/>
          </w:tcPr>
          <w:p w14:paraId="2D3C3491"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6F035C40" w14:textId="77777777" w:rsidTr="00365BD1">
        <w:trPr>
          <w:trHeight w:val="1385"/>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5B73B012"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0036975B"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nil"/>
            </w:tcBorders>
            <w:hideMark/>
          </w:tcPr>
          <w:p w14:paraId="4959385A"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 xml:space="preserve">In all other areas the focus should be on appropriate utilisation of existing resources, creating a national utilisation dataset (using GIRFT productivity benchmarks) which is reviewed regularly at the new Performance and Productivity Meeting. </w:t>
            </w:r>
          </w:p>
        </w:tc>
        <w:tc>
          <w:tcPr>
            <w:tcW w:w="1935" w:type="dxa"/>
            <w:vMerge/>
            <w:tcBorders>
              <w:top w:val="single" w:sz="4" w:space="0" w:color="auto"/>
              <w:left w:val="single" w:sz="4" w:space="0" w:color="auto"/>
              <w:bottom w:val="nil"/>
              <w:right w:val="single" w:sz="4" w:space="0" w:color="auto"/>
            </w:tcBorders>
            <w:vAlign w:val="center"/>
            <w:hideMark/>
          </w:tcPr>
          <w:p w14:paraId="7ED3BAAC"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nil"/>
              <w:right w:val="single" w:sz="4" w:space="0" w:color="auto"/>
            </w:tcBorders>
            <w:vAlign w:val="center"/>
            <w:hideMark/>
          </w:tcPr>
          <w:p w14:paraId="1BAD48E1"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nil"/>
              <w:right w:val="single" w:sz="4" w:space="0" w:color="auto"/>
            </w:tcBorders>
            <w:vAlign w:val="center"/>
            <w:hideMark/>
          </w:tcPr>
          <w:p w14:paraId="61D1A4E5"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nil"/>
              <w:right w:val="single" w:sz="4" w:space="0" w:color="auto"/>
            </w:tcBorders>
            <w:vAlign w:val="center"/>
            <w:hideMark/>
          </w:tcPr>
          <w:p w14:paraId="42AFD822"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0FBA31C1" w14:textId="77777777" w:rsidTr="00365BD1">
        <w:trPr>
          <w:trHeight w:val="828"/>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6EF70386"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154F2AB0"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nil"/>
            </w:tcBorders>
            <w:hideMark/>
          </w:tcPr>
          <w:p w14:paraId="192550EC"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HEIW should be commissioned to establish a new programme to expand Non-Medical Endoscopist training to rapidly expand the available workforce.</w:t>
            </w:r>
          </w:p>
        </w:tc>
        <w:tc>
          <w:tcPr>
            <w:tcW w:w="1935" w:type="dxa"/>
            <w:tcBorders>
              <w:top w:val="single" w:sz="4" w:space="0" w:color="auto"/>
              <w:left w:val="single" w:sz="4" w:space="0" w:color="auto"/>
              <w:bottom w:val="single" w:sz="4" w:space="0" w:color="auto"/>
              <w:right w:val="single" w:sz="4" w:space="0" w:color="auto"/>
            </w:tcBorders>
            <w:noWrap/>
            <w:hideMark/>
          </w:tcPr>
          <w:p w14:paraId="479E1CF0"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Other National</w:t>
            </w:r>
          </w:p>
        </w:tc>
        <w:tc>
          <w:tcPr>
            <w:tcW w:w="1713" w:type="dxa"/>
            <w:tcBorders>
              <w:top w:val="single" w:sz="4" w:space="0" w:color="auto"/>
              <w:left w:val="single" w:sz="4" w:space="0" w:color="auto"/>
              <w:bottom w:val="single" w:sz="4" w:space="0" w:color="auto"/>
              <w:right w:val="single" w:sz="4" w:space="0" w:color="auto"/>
            </w:tcBorders>
            <w:noWrap/>
            <w:hideMark/>
          </w:tcPr>
          <w:p w14:paraId="17C90DAA"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3 Months</w:t>
            </w:r>
          </w:p>
        </w:tc>
        <w:tc>
          <w:tcPr>
            <w:tcW w:w="128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71DEA82"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F2F2F2"/>
            <w:noWrap/>
            <w:hideMark/>
          </w:tcPr>
          <w:p w14:paraId="71BA3618" w14:textId="77777777" w:rsidR="00927641" w:rsidRPr="00927641" w:rsidRDefault="00927641" w:rsidP="00927641">
            <w:pPr>
              <w:spacing w:after="0" w:line="240" w:lineRule="auto"/>
              <w:jc w:val="center"/>
              <w:rPr>
                <w:rFonts w:ascii="Times New Roman" w:eastAsia="Times New Roman" w:hAnsi="Times New Roman" w:cs="Times New Roman"/>
                <w:sz w:val="20"/>
                <w:szCs w:val="20"/>
                <w:lang w:eastAsia="en-GB"/>
              </w:rPr>
            </w:pPr>
          </w:p>
        </w:tc>
      </w:tr>
      <w:tr w:rsidR="00927641" w:rsidRPr="00927641" w14:paraId="390FD084" w14:textId="77777777" w:rsidTr="00365BD1">
        <w:trPr>
          <w:trHeight w:val="2831"/>
        </w:trPr>
        <w:tc>
          <w:tcPr>
            <w:tcW w:w="2511" w:type="dxa"/>
            <w:tcBorders>
              <w:top w:val="single" w:sz="4" w:space="0" w:color="auto"/>
              <w:left w:val="single" w:sz="4" w:space="0" w:color="808080"/>
              <w:bottom w:val="single" w:sz="4" w:space="0" w:color="auto"/>
              <w:right w:val="single" w:sz="4" w:space="0" w:color="808080"/>
            </w:tcBorders>
            <w:noWrap/>
            <w:hideMark/>
          </w:tcPr>
          <w:p w14:paraId="0FB223C1"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lastRenderedPageBreak/>
              <w:t xml:space="preserve">Planned Care </w:t>
            </w:r>
          </w:p>
        </w:tc>
        <w:tc>
          <w:tcPr>
            <w:tcW w:w="607" w:type="dxa"/>
            <w:tcBorders>
              <w:top w:val="single" w:sz="4" w:space="0" w:color="auto"/>
              <w:left w:val="single" w:sz="4" w:space="0" w:color="808080"/>
              <w:bottom w:val="single" w:sz="4" w:space="0" w:color="auto"/>
              <w:right w:val="single" w:sz="4" w:space="0" w:color="808080"/>
            </w:tcBorders>
            <w:noWrap/>
            <w:hideMark/>
          </w:tcPr>
          <w:p w14:paraId="401267D3"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7</w:t>
            </w:r>
          </w:p>
        </w:tc>
        <w:tc>
          <w:tcPr>
            <w:tcW w:w="4956" w:type="dxa"/>
            <w:tcBorders>
              <w:top w:val="single" w:sz="4" w:space="0" w:color="auto"/>
              <w:left w:val="nil"/>
              <w:bottom w:val="single" w:sz="4" w:space="0" w:color="auto"/>
              <w:right w:val="nil"/>
            </w:tcBorders>
            <w:hideMark/>
          </w:tcPr>
          <w:p w14:paraId="1D25D2C9"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With the support of the proposed Performance and Productivity Unit regions should develop a plan to create a regional pathology service which is safe, sustainable and fit for the future. The plan should include the full implementation of digital pathology as a key service enabler and address workforce, estate and equipment shortfalls. </w:t>
            </w:r>
          </w:p>
        </w:tc>
        <w:tc>
          <w:tcPr>
            <w:tcW w:w="1935" w:type="dxa"/>
            <w:tcBorders>
              <w:top w:val="nil"/>
              <w:left w:val="single" w:sz="4" w:space="0" w:color="auto"/>
              <w:bottom w:val="single" w:sz="4" w:space="0" w:color="auto"/>
              <w:right w:val="single" w:sz="4" w:space="0" w:color="auto"/>
            </w:tcBorders>
            <w:shd w:val="clear" w:color="000000" w:fill="FFFFFF"/>
            <w:noWrap/>
            <w:hideMark/>
          </w:tcPr>
          <w:p w14:paraId="4F142749"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Regions</w:t>
            </w:r>
          </w:p>
        </w:tc>
        <w:tc>
          <w:tcPr>
            <w:tcW w:w="1713" w:type="dxa"/>
            <w:tcBorders>
              <w:top w:val="nil"/>
              <w:left w:val="nil"/>
              <w:bottom w:val="single" w:sz="4" w:space="0" w:color="auto"/>
              <w:right w:val="nil"/>
            </w:tcBorders>
            <w:noWrap/>
            <w:hideMark/>
          </w:tcPr>
          <w:p w14:paraId="5333F32F"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12 Months</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0B053FD9"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hideMark/>
          </w:tcPr>
          <w:p w14:paraId="636F1F47"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The Regional Cellular Pathology Programme is underway, supported by resource from the Regional Joint Committee PMO.  In September 2025, both Hywel Dda and Swansea Bay Health Boards received a paper outlining the intentions to develop a Regional Cellular Pathology Service. These intentions were approved, and work is progressing at pace to define what that programme will look like. A clear timeline has been established to submit a proposed single site option for a Regional Cellular Pathology Laboratory to Welsh Government Capital team by the end of January 2026.  In addition, a timeline is being developed for the development of a Cellular Pathology Operational Delivery Network for South West Wales.</w:t>
            </w:r>
          </w:p>
        </w:tc>
      </w:tr>
      <w:tr w:rsidR="00927641" w:rsidRPr="00927641" w14:paraId="5EBBE772" w14:textId="77777777" w:rsidTr="00365BD1">
        <w:trPr>
          <w:trHeight w:val="1536"/>
        </w:trPr>
        <w:tc>
          <w:tcPr>
            <w:tcW w:w="2511" w:type="dxa"/>
            <w:vMerge w:val="restart"/>
            <w:tcBorders>
              <w:top w:val="single" w:sz="4" w:space="0" w:color="auto"/>
              <w:left w:val="single" w:sz="4" w:space="0" w:color="auto"/>
              <w:bottom w:val="single" w:sz="4" w:space="0" w:color="auto"/>
              <w:right w:val="single" w:sz="4" w:space="0" w:color="auto"/>
            </w:tcBorders>
            <w:hideMark/>
          </w:tcPr>
          <w:p w14:paraId="2EBF3D1C"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Cancer</w:t>
            </w: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799816E3"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9</w:t>
            </w:r>
          </w:p>
        </w:tc>
        <w:tc>
          <w:tcPr>
            <w:tcW w:w="4956" w:type="dxa"/>
            <w:tcBorders>
              <w:top w:val="single" w:sz="4" w:space="0" w:color="auto"/>
              <w:left w:val="single" w:sz="4" w:space="0" w:color="auto"/>
              <w:bottom w:val="single" w:sz="4" w:space="0" w:color="auto"/>
              <w:right w:val="single" w:sz="4" w:space="0" w:color="auto"/>
            </w:tcBorders>
            <w:vAlign w:val="bottom"/>
            <w:hideMark/>
          </w:tcPr>
          <w:p w14:paraId="5AB2F9C0"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No additional cancer performance plans should be produced for 2025/26 and 2026/27. Instead, there should be an immediate focus on implementing a narrow but nationally mandated set of deliverables drawn from existing policy proposals.</w:t>
            </w:r>
          </w:p>
        </w:tc>
        <w:tc>
          <w:tcPr>
            <w:tcW w:w="1935"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F241B2F"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National and Health Board</w:t>
            </w:r>
          </w:p>
        </w:tc>
        <w:tc>
          <w:tcPr>
            <w:tcW w:w="1713" w:type="dxa"/>
            <w:vMerge w:val="restart"/>
            <w:tcBorders>
              <w:top w:val="single" w:sz="4" w:space="0" w:color="auto"/>
              <w:left w:val="single" w:sz="4" w:space="0" w:color="auto"/>
              <w:bottom w:val="single" w:sz="4" w:space="0" w:color="auto"/>
              <w:right w:val="single" w:sz="4" w:space="0" w:color="auto"/>
            </w:tcBorders>
            <w:noWrap/>
            <w:hideMark/>
          </w:tcPr>
          <w:p w14:paraId="4733AB26"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3 Months</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243998D0"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vMerge w:val="restart"/>
            <w:tcBorders>
              <w:top w:val="single" w:sz="4" w:space="0" w:color="auto"/>
              <w:left w:val="single" w:sz="4" w:space="0" w:color="auto"/>
              <w:bottom w:val="single" w:sz="4" w:space="0" w:color="auto"/>
              <w:right w:val="single" w:sz="4" w:space="0" w:color="auto"/>
            </w:tcBorders>
            <w:hideMark/>
          </w:tcPr>
          <w:p w14:paraId="50A82C64" w14:textId="56784381" w:rsidR="00927641" w:rsidRPr="00927641" w:rsidRDefault="00927641" w:rsidP="00927641">
            <w:pPr>
              <w:spacing w:after="0" w:line="240" w:lineRule="auto"/>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Health Board is focusing on the narrow cancer improvement deliverables proposed by MAG i.e. consistent implementation on symptomatic FIT testing for Lower GI, implementation of national breast-pain only pathway, participation in nationally funded Local Anaesthetic Transperineal (Prostate Biopsy) training in Urology, expansion of teledermatology and adoption of national pathway for Post Menopausal Bleeding.</w:t>
            </w:r>
          </w:p>
        </w:tc>
      </w:tr>
      <w:tr w:rsidR="00927641" w:rsidRPr="00927641" w14:paraId="4880280D" w14:textId="77777777" w:rsidTr="00365BD1">
        <w:trPr>
          <w:trHeight w:val="3329"/>
        </w:trPr>
        <w:tc>
          <w:tcPr>
            <w:tcW w:w="2511" w:type="dxa"/>
            <w:vMerge/>
            <w:tcBorders>
              <w:top w:val="single" w:sz="4" w:space="0" w:color="auto"/>
              <w:left w:val="single" w:sz="4" w:space="0" w:color="808080"/>
              <w:bottom w:val="single" w:sz="4" w:space="0" w:color="auto"/>
              <w:right w:val="single" w:sz="4" w:space="0" w:color="808080"/>
            </w:tcBorders>
            <w:vAlign w:val="center"/>
            <w:hideMark/>
          </w:tcPr>
          <w:p w14:paraId="69AAE890"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808080"/>
              <w:bottom w:val="single" w:sz="4" w:space="0" w:color="auto"/>
              <w:right w:val="single" w:sz="4" w:space="0" w:color="auto"/>
            </w:tcBorders>
            <w:vAlign w:val="center"/>
            <w:hideMark/>
          </w:tcPr>
          <w:p w14:paraId="5CA8C895"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hideMark/>
          </w:tcPr>
          <w:p w14:paraId="5223E806"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NHS Wales should identify single highest-impact pathway change for each of five tumour types driving poor performance: skin, lower GI, breast, gynaecology and urology. These form  basis of much narrower, focused set of national support activities and accountability conversations with hbs, alongside  continued local focus health boards will have on  more unique challenges. For Lower GI, more consistent implementation of symptomatic FIT, with new dataset  across endoscopy to assess whether capacity is appropriately prioritised for FIT positive patients. For gynaecology, consistent post-menopausal bleeding services; for breast the provision of breast-pain services; and for skin more standardised provision of teledermatology in primary care. In all cases, national specifications to base in primary care wherever possible, reducing referrals to secondary care as a whole rather than substituting SCPnon-urgent referrals.</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46891D99"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1541543F"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0649AA50"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single" w:sz="4" w:space="0" w:color="auto"/>
              <w:right w:val="single" w:sz="4" w:space="0" w:color="auto"/>
            </w:tcBorders>
            <w:vAlign w:val="center"/>
            <w:hideMark/>
          </w:tcPr>
          <w:p w14:paraId="53178618"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117EED0D" w14:textId="77777777" w:rsidTr="00365BD1">
        <w:trPr>
          <w:trHeight w:val="1009"/>
        </w:trPr>
        <w:tc>
          <w:tcPr>
            <w:tcW w:w="2511" w:type="dxa"/>
            <w:vMerge w:val="restart"/>
            <w:tcBorders>
              <w:top w:val="single" w:sz="4" w:space="0" w:color="auto"/>
              <w:left w:val="single" w:sz="4" w:space="0" w:color="auto"/>
              <w:bottom w:val="single" w:sz="4" w:space="0" w:color="auto"/>
              <w:right w:val="single" w:sz="4" w:space="0" w:color="auto"/>
            </w:tcBorders>
            <w:hideMark/>
          </w:tcPr>
          <w:p w14:paraId="778D52AF"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Cancer</w:t>
            </w: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03AA0D39"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10</w:t>
            </w:r>
          </w:p>
        </w:tc>
        <w:tc>
          <w:tcPr>
            <w:tcW w:w="4956" w:type="dxa"/>
            <w:tcBorders>
              <w:top w:val="single" w:sz="4" w:space="0" w:color="auto"/>
              <w:left w:val="single" w:sz="4" w:space="0" w:color="auto"/>
              <w:bottom w:val="single" w:sz="4" w:space="0" w:color="auto"/>
              <w:right w:val="single" w:sz="4" w:space="0" w:color="auto"/>
            </w:tcBorders>
            <w:vAlign w:val="bottom"/>
            <w:hideMark/>
          </w:tcPr>
          <w:p w14:paraId="2DC9EABF"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A ring-fenced fund, held centrally, should be created to directly fund the highimpact, nationally prescribed service changes described in Recommendation 9, which are monitored through the health board performance report (see Recommendation 21).</w:t>
            </w:r>
          </w:p>
        </w:tc>
        <w:tc>
          <w:tcPr>
            <w:tcW w:w="1935"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363F6D37"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Welsh Government</w:t>
            </w:r>
          </w:p>
        </w:tc>
        <w:tc>
          <w:tcPr>
            <w:tcW w:w="1713" w:type="dxa"/>
            <w:vMerge w:val="restart"/>
            <w:tcBorders>
              <w:top w:val="single" w:sz="4" w:space="0" w:color="auto"/>
              <w:left w:val="single" w:sz="4" w:space="0" w:color="auto"/>
              <w:bottom w:val="single" w:sz="4" w:space="0" w:color="auto"/>
              <w:right w:val="single" w:sz="4" w:space="0" w:color="auto"/>
            </w:tcBorders>
            <w:noWrap/>
            <w:hideMark/>
          </w:tcPr>
          <w:p w14:paraId="3A4DA9ED"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3 Months</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07CC5DC"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E7E6E6"/>
            <w:noWrap/>
            <w:hideMark/>
          </w:tcPr>
          <w:p w14:paraId="5DBF5DD0" w14:textId="77777777" w:rsidR="00927641" w:rsidRPr="00927641" w:rsidRDefault="00927641" w:rsidP="00927641">
            <w:pPr>
              <w:spacing w:after="0" w:line="240" w:lineRule="auto"/>
              <w:jc w:val="center"/>
              <w:rPr>
                <w:rFonts w:ascii="Times New Roman" w:eastAsia="Times New Roman" w:hAnsi="Times New Roman" w:cs="Times New Roman"/>
                <w:sz w:val="20"/>
                <w:szCs w:val="20"/>
                <w:lang w:eastAsia="en-GB"/>
              </w:rPr>
            </w:pPr>
          </w:p>
        </w:tc>
      </w:tr>
      <w:tr w:rsidR="00927641" w:rsidRPr="00927641" w14:paraId="142B9E84" w14:textId="77777777" w:rsidTr="00365BD1">
        <w:trPr>
          <w:trHeight w:val="1009"/>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4D58C232"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611ED406"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vAlign w:val="bottom"/>
            <w:hideMark/>
          </w:tcPr>
          <w:p w14:paraId="76B8DE8A"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 xml:space="preserve">Could be created from restructuring smaller ring-fenced amounts where limited evidence of impact; or by retaining proportion of new funds in future years. HBs must demonstrate use of these funds for specified initiatives using national data, or funding should be withheld or subject to claw-back </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2D3E57B5"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4BB79318"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5C92DF7A"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E7E6E6"/>
            <w:noWrap/>
            <w:hideMark/>
          </w:tcPr>
          <w:p w14:paraId="09942A68"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p>
        </w:tc>
      </w:tr>
      <w:tr w:rsidR="00927641" w:rsidRPr="00927641" w14:paraId="266824DE" w14:textId="77777777" w:rsidTr="00365BD1">
        <w:trPr>
          <w:trHeight w:val="1265"/>
        </w:trPr>
        <w:tc>
          <w:tcPr>
            <w:tcW w:w="2511" w:type="dxa"/>
            <w:vMerge w:val="restart"/>
            <w:tcBorders>
              <w:top w:val="single" w:sz="4" w:space="0" w:color="auto"/>
              <w:left w:val="single" w:sz="4" w:space="0" w:color="auto"/>
              <w:bottom w:val="single" w:sz="4" w:space="0" w:color="auto"/>
              <w:right w:val="single" w:sz="4" w:space="0" w:color="auto"/>
            </w:tcBorders>
            <w:hideMark/>
          </w:tcPr>
          <w:p w14:paraId="686CF369"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Cancer</w:t>
            </w: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36C2EB98"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11</w:t>
            </w:r>
          </w:p>
        </w:tc>
        <w:tc>
          <w:tcPr>
            <w:tcW w:w="4956" w:type="dxa"/>
            <w:tcBorders>
              <w:top w:val="single" w:sz="4" w:space="0" w:color="auto"/>
              <w:left w:val="single" w:sz="4" w:space="0" w:color="auto"/>
              <w:bottom w:val="single" w:sz="4" w:space="0" w:color="auto"/>
              <w:right w:val="single" w:sz="4" w:space="0" w:color="auto"/>
            </w:tcBorders>
            <w:vAlign w:val="bottom"/>
            <w:hideMark/>
          </w:tcPr>
          <w:p w14:paraId="6ED507FF"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The Welsh Government should establish financial incentives in primary care to improve cancer performance, focusing on in-depth diagnostic work-up and subsequent safety-netting in order to reduce referral volumes and provide more diagnostic information for patient triage in secondary care</w:t>
            </w:r>
          </w:p>
        </w:tc>
        <w:tc>
          <w:tcPr>
            <w:tcW w:w="1935"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7DA0C369"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Welsh Government</w:t>
            </w:r>
          </w:p>
        </w:tc>
        <w:tc>
          <w:tcPr>
            <w:tcW w:w="1713" w:type="dxa"/>
            <w:vMerge w:val="restart"/>
            <w:tcBorders>
              <w:top w:val="single" w:sz="4" w:space="0" w:color="auto"/>
              <w:left w:val="single" w:sz="4" w:space="0" w:color="auto"/>
              <w:bottom w:val="single" w:sz="4" w:space="0" w:color="auto"/>
              <w:right w:val="single" w:sz="4" w:space="0" w:color="auto"/>
            </w:tcBorders>
            <w:noWrap/>
            <w:hideMark/>
          </w:tcPr>
          <w:p w14:paraId="1B758410"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3 Months</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6582977"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E7E6E6"/>
            <w:noWrap/>
            <w:hideMark/>
          </w:tcPr>
          <w:p w14:paraId="7F3B70ED" w14:textId="77777777" w:rsidR="00927641" w:rsidRPr="00927641" w:rsidRDefault="00927641" w:rsidP="00927641">
            <w:pPr>
              <w:spacing w:after="0" w:line="240" w:lineRule="auto"/>
              <w:jc w:val="center"/>
              <w:rPr>
                <w:rFonts w:ascii="Times New Roman" w:eastAsia="Times New Roman" w:hAnsi="Times New Roman" w:cs="Times New Roman"/>
                <w:sz w:val="20"/>
                <w:szCs w:val="20"/>
                <w:lang w:eastAsia="en-GB"/>
              </w:rPr>
            </w:pPr>
          </w:p>
        </w:tc>
      </w:tr>
      <w:tr w:rsidR="00927641" w:rsidRPr="00927641" w14:paraId="28A76DB8" w14:textId="77777777" w:rsidTr="00365BD1">
        <w:trPr>
          <w:trHeight w:val="1521"/>
        </w:trPr>
        <w:tc>
          <w:tcPr>
            <w:tcW w:w="2511" w:type="dxa"/>
            <w:vMerge/>
            <w:tcBorders>
              <w:top w:val="single" w:sz="4" w:space="0" w:color="auto"/>
              <w:left w:val="single" w:sz="4" w:space="0" w:color="808080"/>
              <w:bottom w:val="nil"/>
              <w:right w:val="single" w:sz="4" w:space="0" w:color="auto"/>
            </w:tcBorders>
            <w:vAlign w:val="center"/>
            <w:hideMark/>
          </w:tcPr>
          <w:p w14:paraId="045B1A5D"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360F20BA"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vAlign w:val="bottom"/>
            <w:hideMark/>
          </w:tcPr>
          <w:p w14:paraId="7D674939"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 xml:space="preserve">Given the five tumour types driving the majority of long waits nationally, initial incentives could include increased safety netting for FIT negative patients, the provision of breastpain services, or the development of teledermatology arrangements outside of secondary care. This will require changes in contracts at the cluster and practice level including updating the governance framework indicators by July 2025. </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7E70FEBF"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4FE9ED15"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5C3916AB"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E7E6E6"/>
            <w:noWrap/>
            <w:hideMark/>
          </w:tcPr>
          <w:p w14:paraId="1527885F"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p>
        </w:tc>
      </w:tr>
      <w:tr w:rsidR="00927641" w:rsidRPr="00927641" w14:paraId="0804341D" w14:textId="77777777" w:rsidTr="00365BD1">
        <w:trPr>
          <w:trHeight w:val="1777"/>
        </w:trPr>
        <w:tc>
          <w:tcPr>
            <w:tcW w:w="2511" w:type="dxa"/>
            <w:tcBorders>
              <w:top w:val="single" w:sz="4" w:space="0" w:color="808080"/>
              <w:left w:val="single" w:sz="4" w:space="0" w:color="808080"/>
              <w:bottom w:val="nil"/>
              <w:right w:val="single" w:sz="4" w:space="0" w:color="auto"/>
            </w:tcBorders>
            <w:hideMark/>
          </w:tcPr>
          <w:p w14:paraId="3A28F114"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Cancer</w:t>
            </w:r>
          </w:p>
        </w:tc>
        <w:tc>
          <w:tcPr>
            <w:tcW w:w="607" w:type="dxa"/>
            <w:tcBorders>
              <w:top w:val="single" w:sz="4" w:space="0" w:color="auto"/>
              <w:left w:val="single" w:sz="4" w:space="0" w:color="auto"/>
              <w:bottom w:val="single" w:sz="4" w:space="0" w:color="auto"/>
              <w:right w:val="single" w:sz="4" w:space="0" w:color="auto"/>
            </w:tcBorders>
            <w:noWrap/>
            <w:hideMark/>
          </w:tcPr>
          <w:p w14:paraId="4FB55FCF"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12</w:t>
            </w:r>
          </w:p>
        </w:tc>
        <w:tc>
          <w:tcPr>
            <w:tcW w:w="4956" w:type="dxa"/>
            <w:tcBorders>
              <w:top w:val="single" w:sz="4" w:space="0" w:color="auto"/>
              <w:left w:val="single" w:sz="4" w:space="0" w:color="auto"/>
              <w:bottom w:val="single" w:sz="4" w:space="0" w:color="auto"/>
              <w:right w:val="single" w:sz="4" w:space="0" w:color="auto"/>
            </w:tcBorders>
            <w:hideMark/>
          </w:tcPr>
          <w:p w14:paraId="7C297657"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The Cancer Network and the cancer arm of the Planned Care Recovery Programme should formally merge to create a single team responsible for setting the strategic direction of cancer care in Wales and directing improvement activities to support this, led by a senior clinician and senior managerial lead, reporting to the Managing Director of the proposed Performance and Productivity Unit and the National Medical Director. </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hideMark/>
          </w:tcPr>
          <w:p w14:paraId="5DADE842"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Other National</w:t>
            </w:r>
          </w:p>
        </w:tc>
        <w:tc>
          <w:tcPr>
            <w:tcW w:w="1713" w:type="dxa"/>
            <w:tcBorders>
              <w:top w:val="single" w:sz="4" w:space="0" w:color="auto"/>
              <w:left w:val="single" w:sz="4" w:space="0" w:color="auto"/>
              <w:bottom w:val="single" w:sz="4" w:space="0" w:color="auto"/>
              <w:right w:val="single" w:sz="4" w:space="0" w:color="auto"/>
            </w:tcBorders>
            <w:noWrap/>
            <w:hideMark/>
          </w:tcPr>
          <w:p w14:paraId="73B4012B"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3 Months</w:t>
            </w:r>
          </w:p>
        </w:tc>
        <w:tc>
          <w:tcPr>
            <w:tcW w:w="1281" w:type="dxa"/>
            <w:tcBorders>
              <w:top w:val="single" w:sz="4" w:space="0" w:color="auto"/>
              <w:left w:val="single" w:sz="4" w:space="0" w:color="auto"/>
              <w:bottom w:val="single" w:sz="4" w:space="0" w:color="auto"/>
              <w:right w:val="single" w:sz="4" w:space="0" w:color="auto"/>
            </w:tcBorders>
            <w:shd w:val="clear" w:color="000000" w:fill="92D050"/>
            <w:noWrap/>
            <w:hideMark/>
          </w:tcPr>
          <w:p w14:paraId="5B9DBC9D"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Complete</w:t>
            </w:r>
          </w:p>
        </w:tc>
        <w:tc>
          <w:tcPr>
            <w:tcW w:w="7693" w:type="dxa"/>
            <w:tcBorders>
              <w:top w:val="single" w:sz="4" w:space="0" w:color="auto"/>
              <w:left w:val="single" w:sz="4" w:space="0" w:color="auto"/>
              <w:bottom w:val="single" w:sz="4" w:space="0" w:color="auto"/>
              <w:right w:val="single" w:sz="4" w:space="0" w:color="auto"/>
            </w:tcBorders>
            <w:shd w:val="clear" w:color="000000" w:fill="92D050"/>
            <w:noWrap/>
            <w:hideMark/>
          </w:tcPr>
          <w:p w14:paraId="4D59C5C0"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r>
      <w:tr w:rsidR="00927641" w:rsidRPr="00927641" w14:paraId="2ED28C4B" w14:textId="77777777" w:rsidTr="00365BD1">
        <w:trPr>
          <w:trHeight w:val="1521"/>
        </w:trPr>
        <w:tc>
          <w:tcPr>
            <w:tcW w:w="2511" w:type="dxa"/>
            <w:vMerge w:val="restart"/>
            <w:tcBorders>
              <w:top w:val="single" w:sz="4" w:space="0" w:color="auto"/>
              <w:left w:val="single" w:sz="4" w:space="0" w:color="auto"/>
              <w:bottom w:val="single" w:sz="4" w:space="0" w:color="auto"/>
              <w:right w:val="single" w:sz="4" w:space="0" w:color="auto"/>
            </w:tcBorders>
            <w:hideMark/>
          </w:tcPr>
          <w:p w14:paraId="244FFC73"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Cancer</w:t>
            </w: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2B949F4C"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13</w:t>
            </w:r>
          </w:p>
        </w:tc>
        <w:tc>
          <w:tcPr>
            <w:tcW w:w="4956" w:type="dxa"/>
            <w:tcBorders>
              <w:top w:val="single" w:sz="4" w:space="0" w:color="auto"/>
              <w:left w:val="single" w:sz="4" w:space="0" w:color="auto"/>
              <w:bottom w:val="single" w:sz="4" w:space="0" w:color="auto"/>
              <w:right w:val="single" w:sz="4" w:space="0" w:color="auto"/>
            </w:tcBorders>
            <w:hideMark/>
          </w:tcPr>
          <w:p w14:paraId="7FAFE013"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Digital Health and Care Wales (DHCW) should develop a plan to begin collecting and publishing more granular tumour-level performance data from the beginning of the 2026/27 financial year at the latest. DHCW should also produce an options appraisal for the production of a linked dataset containing cancer and diagnostics waiting times data,</w:t>
            </w:r>
          </w:p>
        </w:tc>
        <w:tc>
          <w:tcPr>
            <w:tcW w:w="1935"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19344552"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Other National</w:t>
            </w:r>
          </w:p>
        </w:tc>
        <w:tc>
          <w:tcPr>
            <w:tcW w:w="1713" w:type="dxa"/>
            <w:vMerge w:val="restart"/>
            <w:tcBorders>
              <w:top w:val="single" w:sz="4" w:space="0" w:color="auto"/>
              <w:left w:val="single" w:sz="4" w:space="0" w:color="auto"/>
              <w:bottom w:val="single" w:sz="4" w:space="0" w:color="auto"/>
              <w:right w:val="single" w:sz="4" w:space="0" w:color="auto"/>
            </w:tcBorders>
            <w:noWrap/>
            <w:hideMark/>
          </w:tcPr>
          <w:p w14:paraId="05541D8E"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12 Months</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6FE7DFF"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nil"/>
              <w:right w:val="single" w:sz="4" w:space="0" w:color="auto"/>
            </w:tcBorders>
            <w:shd w:val="clear" w:color="000000" w:fill="E7E6E6"/>
            <w:noWrap/>
            <w:hideMark/>
          </w:tcPr>
          <w:p w14:paraId="6C3455F5" w14:textId="77777777" w:rsidR="00927641" w:rsidRPr="00927641" w:rsidRDefault="00927641" w:rsidP="00927641">
            <w:pPr>
              <w:spacing w:after="0" w:line="240" w:lineRule="auto"/>
              <w:jc w:val="center"/>
              <w:rPr>
                <w:rFonts w:ascii="Times New Roman" w:eastAsia="Times New Roman" w:hAnsi="Times New Roman" w:cs="Times New Roman"/>
                <w:sz w:val="20"/>
                <w:szCs w:val="20"/>
                <w:lang w:eastAsia="en-GB"/>
              </w:rPr>
            </w:pPr>
          </w:p>
        </w:tc>
      </w:tr>
      <w:tr w:rsidR="00927641" w:rsidRPr="00927641" w14:paraId="44A37BE7" w14:textId="77777777" w:rsidTr="00365BD1">
        <w:trPr>
          <w:trHeight w:val="512"/>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5E5CEF7D"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2E5C6AE0"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vAlign w:val="bottom"/>
            <w:hideMark/>
          </w:tcPr>
          <w:p w14:paraId="2A7CCC66"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producing pathway-level insights into the key diagnostic drivers of long-waits at health board and at national level.</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10BA214D"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4F9C3BF2"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37B49CDD"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tcBorders>
              <w:top w:val="nil"/>
              <w:left w:val="single" w:sz="4" w:space="0" w:color="auto"/>
              <w:bottom w:val="single" w:sz="4" w:space="0" w:color="auto"/>
              <w:right w:val="single" w:sz="4" w:space="0" w:color="auto"/>
            </w:tcBorders>
            <w:shd w:val="clear" w:color="000000" w:fill="E7E6E6"/>
            <w:noWrap/>
            <w:hideMark/>
          </w:tcPr>
          <w:p w14:paraId="26F29DFB"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p>
        </w:tc>
      </w:tr>
      <w:tr w:rsidR="00927641" w:rsidRPr="00927641" w14:paraId="2C3DE779" w14:textId="77777777" w:rsidTr="00365BD1">
        <w:trPr>
          <w:trHeight w:val="3012"/>
        </w:trPr>
        <w:tc>
          <w:tcPr>
            <w:tcW w:w="2511" w:type="dxa"/>
            <w:vMerge w:val="restart"/>
            <w:tcBorders>
              <w:top w:val="single" w:sz="4" w:space="0" w:color="auto"/>
              <w:left w:val="single" w:sz="4" w:space="0" w:color="auto"/>
              <w:bottom w:val="single" w:sz="4" w:space="0" w:color="auto"/>
              <w:right w:val="single" w:sz="4" w:space="0" w:color="auto"/>
            </w:tcBorders>
            <w:hideMark/>
          </w:tcPr>
          <w:p w14:paraId="4ED51EF7"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lastRenderedPageBreak/>
              <w:t>Urgent &amp; Emergency Care</w:t>
            </w:r>
          </w:p>
        </w:tc>
        <w:tc>
          <w:tcPr>
            <w:tcW w:w="607" w:type="dxa"/>
            <w:tcBorders>
              <w:top w:val="single" w:sz="4" w:space="0" w:color="auto"/>
              <w:left w:val="single" w:sz="4" w:space="0" w:color="auto"/>
              <w:bottom w:val="single" w:sz="4" w:space="0" w:color="auto"/>
              <w:right w:val="single" w:sz="4" w:space="0" w:color="auto"/>
            </w:tcBorders>
            <w:noWrap/>
            <w:hideMark/>
          </w:tcPr>
          <w:p w14:paraId="6111BF99"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14</w:t>
            </w:r>
          </w:p>
        </w:tc>
        <w:tc>
          <w:tcPr>
            <w:tcW w:w="4956" w:type="dxa"/>
            <w:tcBorders>
              <w:top w:val="single" w:sz="4" w:space="0" w:color="auto"/>
              <w:left w:val="single" w:sz="4" w:space="0" w:color="auto"/>
              <w:bottom w:val="single" w:sz="4" w:space="0" w:color="auto"/>
              <w:right w:val="single" w:sz="4" w:space="0" w:color="auto"/>
            </w:tcBorders>
            <w:hideMark/>
          </w:tcPr>
          <w:p w14:paraId="00F03092"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Health boards should make improvement in processes, partnerships and investment in specific community pathways to reduce delayed pathways of care. </w:t>
            </w:r>
          </w:p>
        </w:tc>
        <w:tc>
          <w:tcPr>
            <w:tcW w:w="1935" w:type="dxa"/>
            <w:tcBorders>
              <w:top w:val="single" w:sz="4" w:space="0" w:color="auto"/>
              <w:left w:val="single" w:sz="4" w:space="0" w:color="auto"/>
              <w:bottom w:val="single" w:sz="4" w:space="0" w:color="auto"/>
              <w:right w:val="single" w:sz="4" w:space="0" w:color="auto"/>
            </w:tcBorders>
            <w:noWrap/>
            <w:hideMark/>
          </w:tcPr>
          <w:p w14:paraId="1983F84E"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Health Board</w:t>
            </w:r>
          </w:p>
        </w:tc>
        <w:tc>
          <w:tcPr>
            <w:tcW w:w="1713" w:type="dxa"/>
            <w:tcBorders>
              <w:top w:val="single" w:sz="4" w:space="0" w:color="808080"/>
              <w:left w:val="single" w:sz="4" w:space="0" w:color="808080"/>
              <w:bottom w:val="single" w:sz="4" w:space="0" w:color="auto"/>
              <w:right w:val="nil"/>
            </w:tcBorders>
            <w:noWrap/>
            <w:hideMark/>
          </w:tcPr>
          <w:p w14:paraId="76D982B4"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6 Months</w:t>
            </w:r>
          </w:p>
        </w:tc>
        <w:tc>
          <w:tcPr>
            <w:tcW w:w="1281"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11782BD7"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hideMark/>
          </w:tcPr>
          <w:p w14:paraId="4A369D50" w14:textId="69DA81AE" w:rsidR="00927641" w:rsidRPr="00927641" w:rsidRDefault="00927641" w:rsidP="00927641">
            <w:pPr>
              <w:spacing w:after="0" w:line="240" w:lineRule="auto"/>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A review of community services is currently underway to assess existing capacity and align it with current and projected demand. This analysis will inform decisions on how finite resources can be reallocated to improve patient flow and reduce delays across care pathways. We are working closely with Local Authority partners to examine the discharge process, identify bottlenecks, and understand where delays typically occur. The ultimate goal is to optimise resource deployment, enhance discharge profiles, and ensure a more efficient, responsive system that supports timely transitions of care. A full demand and capacity piece of work is required for discharge pathways.  This is planned to be taken place with the Clinical Lead for Urgent and Emergency Care.</w:t>
            </w:r>
          </w:p>
        </w:tc>
      </w:tr>
      <w:tr w:rsidR="00927641" w:rsidRPr="00927641" w14:paraId="62D52648" w14:textId="77777777" w:rsidTr="00365BD1">
        <w:trPr>
          <w:trHeight w:val="753"/>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5DE5C587"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52D7AB33"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a)</w:t>
            </w:r>
          </w:p>
        </w:tc>
        <w:tc>
          <w:tcPr>
            <w:tcW w:w="4956" w:type="dxa"/>
            <w:tcBorders>
              <w:top w:val="single" w:sz="4" w:space="0" w:color="auto"/>
              <w:left w:val="single" w:sz="4" w:space="0" w:color="auto"/>
              <w:bottom w:val="single" w:sz="4" w:space="0" w:color="auto"/>
              <w:right w:val="single" w:sz="4" w:space="0" w:color="auto"/>
            </w:tcBorders>
            <w:vAlign w:val="bottom"/>
            <w:hideMark/>
          </w:tcPr>
          <w:p w14:paraId="36CFB798"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Hospitals must ensure that all admitted patients are placed on D2RA pathways in line with the national Hospital Discharge Guidance, and delays by pathways to be published within 3 months.</w:t>
            </w:r>
          </w:p>
        </w:tc>
        <w:tc>
          <w:tcPr>
            <w:tcW w:w="1935" w:type="dxa"/>
            <w:vMerge w:val="restart"/>
            <w:tcBorders>
              <w:top w:val="single" w:sz="4" w:space="0" w:color="auto"/>
              <w:left w:val="single" w:sz="4" w:space="0" w:color="auto"/>
              <w:bottom w:val="single" w:sz="4" w:space="0" w:color="auto"/>
              <w:right w:val="single" w:sz="4" w:space="0" w:color="auto"/>
            </w:tcBorders>
            <w:noWrap/>
            <w:hideMark/>
          </w:tcPr>
          <w:p w14:paraId="59C3038E"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Other National</w:t>
            </w:r>
          </w:p>
        </w:tc>
        <w:tc>
          <w:tcPr>
            <w:tcW w:w="1713" w:type="dxa"/>
            <w:vMerge w:val="restart"/>
            <w:tcBorders>
              <w:top w:val="single" w:sz="4" w:space="0" w:color="auto"/>
              <w:left w:val="single" w:sz="4" w:space="0" w:color="auto"/>
              <w:bottom w:val="single" w:sz="4" w:space="0" w:color="auto"/>
              <w:right w:val="single" w:sz="4" w:space="0" w:color="auto"/>
            </w:tcBorders>
            <w:noWrap/>
            <w:hideMark/>
          </w:tcPr>
          <w:p w14:paraId="296C476A"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3 Months</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9FC6568"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F2F2F2"/>
            <w:noWrap/>
            <w:hideMark/>
          </w:tcPr>
          <w:p w14:paraId="22CB0D97" w14:textId="77777777" w:rsidR="00927641" w:rsidRPr="00927641" w:rsidRDefault="00927641" w:rsidP="00927641">
            <w:pPr>
              <w:spacing w:after="0" w:line="240" w:lineRule="auto"/>
              <w:jc w:val="center"/>
              <w:rPr>
                <w:rFonts w:ascii="Times New Roman" w:eastAsia="Times New Roman" w:hAnsi="Times New Roman" w:cs="Times New Roman"/>
                <w:sz w:val="20"/>
                <w:szCs w:val="20"/>
                <w:lang w:eastAsia="en-GB"/>
              </w:rPr>
            </w:pPr>
          </w:p>
        </w:tc>
      </w:tr>
      <w:tr w:rsidR="00927641" w:rsidRPr="00927641" w14:paraId="65F23372" w14:textId="77777777" w:rsidTr="00365BD1">
        <w:trPr>
          <w:trHeight w:val="753"/>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262A7C7D"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46F68334"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vAlign w:val="bottom"/>
            <w:hideMark/>
          </w:tcPr>
          <w:p w14:paraId="7A1439C7" w14:textId="7EADCCE5"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The Performance and Productivity Unit should then use pathways of care delays for patients requiring no onward care (pathway 0) as a proxy for where hospital processes must be improved to reduce delays.</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74F989F7"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242EC08B"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309D590F"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F2F2F2"/>
            <w:noWrap/>
            <w:hideMark/>
          </w:tcPr>
          <w:p w14:paraId="1F6E4FA5"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p>
        </w:tc>
      </w:tr>
      <w:tr w:rsidR="00927641" w:rsidRPr="00927641" w14:paraId="4056C092" w14:textId="77777777" w:rsidTr="00365BD1">
        <w:trPr>
          <w:trHeight w:val="662"/>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17AC99B2"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5391101D"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b)</w:t>
            </w:r>
          </w:p>
        </w:tc>
        <w:tc>
          <w:tcPr>
            <w:tcW w:w="4956" w:type="dxa"/>
            <w:tcBorders>
              <w:top w:val="single" w:sz="4" w:space="0" w:color="auto"/>
              <w:left w:val="single" w:sz="4" w:space="0" w:color="auto"/>
              <w:bottom w:val="single" w:sz="4" w:space="0" w:color="auto"/>
              <w:right w:val="single" w:sz="4" w:space="0" w:color="auto"/>
            </w:tcBorders>
            <w:hideMark/>
          </w:tcPr>
          <w:p w14:paraId="7F240930"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Welsh Government to run audit of use of trusted assessors across 7 health boards and 22 local authorities in May 2025, repeat in October 2025.</w:t>
            </w:r>
          </w:p>
        </w:tc>
        <w:tc>
          <w:tcPr>
            <w:tcW w:w="1935" w:type="dxa"/>
            <w:vMerge w:val="restart"/>
            <w:tcBorders>
              <w:top w:val="single" w:sz="4" w:space="0" w:color="auto"/>
              <w:left w:val="single" w:sz="4" w:space="0" w:color="auto"/>
              <w:bottom w:val="single" w:sz="4" w:space="0" w:color="auto"/>
              <w:right w:val="single" w:sz="4" w:space="0" w:color="auto"/>
            </w:tcBorders>
            <w:noWrap/>
            <w:hideMark/>
          </w:tcPr>
          <w:p w14:paraId="248182C8"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Welsh Government</w:t>
            </w:r>
          </w:p>
        </w:tc>
        <w:tc>
          <w:tcPr>
            <w:tcW w:w="1713" w:type="dxa"/>
            <w:vMerge w:val="restart"/>
            <w:tcBorders>
              <w:top w:val="single" w:sz="4" w:space="0" w:color="auto"/>
              <w:left w:val="single" w:sz="4" w:space="0" w:color="auto"/>
              <w:bottom w:val="single" w:sz="4" w:space="0" w:color="auto"/>
              <w:right w:val="single" w:sz="4" w:space="0" w:color="auto"/>
            </w:tcBorders>
            <w:hideMark/>
          </w:tcPr>
          <w:p w14:paraId="1782EE60"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May and October 2025</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4FFA9CD"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F2F2F2"/>
            <w:noWrap/>
            <w:hideMark/>
          </w:tcPr>
          <w:p w14:paraId="2F21D78B" w14:textId="77777777" w:rsidR="00927641" w:rsidRPr="00927641" w:rsidRDefault="00927641" w:rsidP="00927641">
            <w:pPr>
              <w:spacing w:after="0" w:line="240" w:lineRule="auto"/>
              <w:jc w:val="center"/>
              <w:rPr>
                <w:rFonts w:ascii="Times New Roman" w:eastAsia="Times New Roman" w:hAnsi="Times New Roman" w:cs="Times New Roman"/>
                <w:sz w:val="20"/>
                <w:szCs w:val="20"/>
                <w:lang w:eastAsia="en-GB"/>
              </w:rPr>
            </w:pPr>
          </w:p>
        </w:tc>
      </w:tr>
      <w:tr w:rsidR="00927641" w:rsidRPr="00927641" w14:paraId="481E9850" w14:textId="77777777" w:rsidTr="00365BD1">
        <w:trPr>
          <w:trHeight w:val="753"/>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5B26690B"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6B98BA30"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vAlign w:val="bottom"/>
            <w:hideMark/>
          </w:tcPr>
          <w:p w14:paraId="5D2BB28E"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Publish in November with justification from health board and/or local authority where not been achieved alongside realistic timetable for implementation</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706DD9CF"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4149CD70"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475B299D"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F2F2F2"/>
            <w:noWrap/>
            <w:hideMark/>
          </w:tcPr>
          <w:p w14:paraId="0F584368"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p>
        </w:tc>
      </w:tr>
      <w:tr w:rsidR="00927641" w:rsidRPr="00927641" w14:paraId="3092D175" w14:textId="77777777" w:rsidTr="00365BD1">
        <w:trPr>
          <w:trHeight w:val="1009"/>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58C6235B"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44474249"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c)</w:t>
            </w:r>
          </w:p>
        </w:tc>
        <w:tc>
          <w:tcPr>
            <w:tcW w:w="4956" w:type="dxa"/>
            <w:tcBorders>
              <w:top w:val="single" w:sz="4" w:space="0" w:color="auto"/>
              <w:left w:val="single" w:sz="4" w:space="0" w:color="auto"/>
              <w:bottom w:val="single" w:sz="4" w:space="0" w:color="auto"/>
              <w:right w:val="single" w:sz="4" w:space="0" w:color="auto"/>
            </w:tcBorders>
            <w:vAlign w:val="bottom"/>
            <w:hideMark/>
          </w:tcPr>
          <w:p w14:paraId="7CC6B764"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A rapid study  within 3 months, by Welsh Government working with health boards, to identify which patient groups/pathways consistently experience longest pathway of care delays, especially when associated with long time spent in ED.</w:t>
            </w:r>
          </w:p>
        </w:tc>
        <w:tc>
          <w:tcPr>
            <w:tcW w:w="1935" w:type="dxa"/>
            <w:vMerge w:val="restart"/>
            <w:tcBorders>
              <w:top w:val="single" w:sz="4" w:space="0" w:color="auto"/>
              <w:left w:val="single" w:sz="4" w:space="0" w:color="auto"/>
              <w:bottom w:val="single" w:sz="4" w:space="0" w:color="auto"/>
              <w:right w:val="single" w:sz="4" w:space="0" w:color="auto"/>
            </w:tcBorders>
            <w:noWrap/>
            <w:hideMark/>
          </w:tcPr>
          <w:p w14:paraId="6E768577"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Welsh Government</w:t>
            </w:r>
          </w:p>
        </w:tc>
        <w:tc>
          <w:tcPr>
            <w:tcW w:w="1713" w:type="dxa"/>
            <w:vMerge w:val="restart"/>
            <w:tcBorders>
              <w:top w:val="single" w:sz="4" w:space="0" w:color="auto"/>
              <w:left w:val="single" w:sz="4" w:space="0" w:color="auto"/>
              <w:bottom w:val="single" w:sz="4" w:space="0" w:color="auto"/>
              <w:right w:val="single" w:sz="4" w:space="0" w:color="auto"/>
            </w:tcBorders>
            <w:noWrap/>
            <w:hideMark/>
          </w:tcPr>
          <w:p w14:paraId="53EB1619"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3 Months</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CBB9E43"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F2F2F2"/>
            <w:noWrap/>
            <w:hideMark/>
          </w:tcPr>
          <w:p w14:paraId="44B360BB" w14:textId="77777777" w:rsidR="00927641" w:rsidRPr="00927641" w:rsidRDefault="00927641" w:rsidP="00927641">
            <w:pPr>
              <w:spacing w:after="0" w:line="240" w:lineRule="auto"/>
              <w:jc w:val="center"/>
              <w:rPr>
                <w:rFonts w:ascii="Times New Roman" w:eastAsia="Times New Roman" w:hAnsi="Times New Roman" w:cs="Times New Roman"/>
                <w:sz w:val="20"/>
                <w:szCs w:val="20"/>
                <w:lang w:eastAsia="en-GB"/>
              </w:rPr>
            </w:pPr>
          </w:p>
        </w:tc>
      </w:tr>
      <w:tr w:rsidR="00927641" w:rsidRPr="00927641" w14:paraId="67A1281B" w14:textId="77777777" w:rsidTr="00365BD1">
        <w:trPr>
          <w:trHeight w:val="647"/>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0B7A4216"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6C45EB87"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hideMark/>
          </w:tcPr>
          <w:p w14:paraId="51699A52"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This should be used to target investment in linked community services for winter and future budgets.</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5B52146E"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76E6953A"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06F7C70A"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F2F2F2"/>
            <w:noWrap/>
            <w:hideMark/>
          </w:tcPr>
          <w:p w14:paraId="6A9B6C93"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p>
        </w:tc>
      </w:tr>
      <w:tr w:rsidR="00927641" w:rsidRPr="00927641" w14:paraId="0436A11C" w14:textId="77777777" w:rsidTr="00365BD1">
        <w:trPr>
          <w:trHeight w:val="3449"/>
        </w:trPr>
        <w:tc>
          <w:tcPr>
            <w:tcW w:w="2511" w:type="dxa"/>
            <w:vMerge w:val="restart"/>
            <w:tcBorders>
              <w:top w:val="single" w:sz="4" w:space="0" w:color="auto"/>
              <w:left w:val="single" w:sz="4" w:space="0" w:color="auto"/>
              <w:bottom w:val="single" w:sz="4" w:space="0" w:color="auto"/>
              <w:right w:val="single" w:sz="4" w:space="0" w:color="auto"/>
            </w:tcBorders>
            <w:hideMark/>
          </w:tcPr>
          <w:p w14:paraId="2C8C7272"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lastRenderedPageBreak/>
              <w:t>Urgent &amp; Emergency Care</w:t>
            </w: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230F42B4"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15</w:t>
            </w:r>
          </w:p>
        </w:tc>
        <w:tc>
          <w:tcPr>
            <w:tcW w:w="4956" w:type="dxa"/>
            <w:tcBorders>
              <w:top w:val="single" w:sz="4" w:space="0" w:color="auto"/>
              <w:left w:val="single" w:sz="4" w:space="0" w:color="auto"/>
              <w:bottom w:val="single" w:sz="4" w:space="0" w:color="auto"/>
              <w:right w:val="single" w:sz="4" w:space="0" w:color="auto"/>
            </w:tcBorders>
            <w:vAlign w:val="bottom"/>
            <w:hideMark/>
          </w:tcPr>
          <w:p w14:paraId="1B7EAB37"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Health Boards should ensure that no ambulance handover should exceed 45 minutes, with a focus on achieving the </w:t>
            </w:r>
            <w:proofErr w:type="gramStart"/>
            <w:r w:rsidRPr="00927641">
              <w:rPr>
                <w:rFonts w:ascii="Verdana" w:eastAsia="Times New Roman" w:hAnsi="Verdana" w:cs="Calibri"/>
                <w:b/>
                <w:bCs/>
                <w:color w:val="000000"/>
                <w:sz w:val="20"/>
                <w:szCs w:val="20"/>
                <w:lang w:eastAsia="en-GB"/>
              </w:rPr>
              <w:t>15 minute</w:t>
            </w:r>
            <w:proofErr w:type="gramEnd"/>
            <w:r w:rsidRPr="00927641">
              <w:rPr>
                <w:rFonts w:ascii="Verdana" w:eastAsia="Times New Roman" w:hAnsi="Verdana" w:cs="Calibri"/>
                <w:b/>
                <w:bCs/>
                <w:color w:val="000000"/>
                <w:sz w:val="20"/>
                <w:szCs w:val="20"/>
                <w:lang w:eastAsia="en-GB"/>
              </w:rPr>
              <w:t xml:space="preserve"> handover target wherever possible</w:t>
            </w:r>
          </w:p>
        </w:tc>
        <w:tc>
          <w:tcPr>
            <w:tcW w:w="1935" w:type="dxa"/>
            <w:vMerge w:val="restart"/>
            <w:tcBorders>
              <w:top w:val="single" w:sz="4" w:space="0" w:color="auto"/>
              <w:left w:val="single" w:sz="4" w:space="0" w:color="auto"/>
              <w:bottom w:val="single" w:sz="4" w:space="0" w:color="auto"/>
              <w:right w:val="single" w:sz="4" w:space="0" w:color="auto"/>
            </w:tcBorders>
            <w:noWrap/>
            <w:hideMark/>
          </w:tcPr>
          <w:p w14:paraId="657B1CD1"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Health Board</w:t>
            </w:r>
          </w:p>
        </w:tc>
        <w:tc>
          <w:tcPr>
            <w:tcW w:w="1713" w:type="dxa"/>
            <w:vMerge w:val="restart"/>
            <w:tcBorders>
              <w:top w:val="single" w:sz="4" w:space="0" w:color="auto"/>
              <w:left w:val="single" w:sz="4" w:space="0" w:color="auto"/>
              <w:bottom w:val="single" w:sz="4" w:space="0" w:color="auto"/>
              <w:right w:val="single" w:sz="4" w:space="0" w:color="auto"/>
            </w:tcBorders>
            <w:noWrap/>
            <w:hideMark/>
          </w:tcPr>
          <w:p w14:paraId="3F0D74D6"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6 Months</w:t>
            </w:r>
          </w:p>
        </w:tc>
        <w:tc>
          <w:tcPr>
            <w:tcW w:w="1281" w:type="dxa"/>
            <w:vMerge w:val="restart"/>
            <w:tcBorders>
              <w:top w:val="single" w:sz="4" w:space="0" w:color="auto"/>
              <w:left w:val="single" w:sz="4" w:space="0" w:color="auto"/>
              <w:bottom w:val="nil"/>
              <w:right w:val="single" w:sz="4" w:space="0" w:color="auto"/>
            </w:tcBorders>
            <w:shd w:val="clear" w:color="000000" w:fill="FFC000"/>
            <w:noWrap/>
            <w:vAlign w:val="bottom"/>
            <w:hideMark/>
          </w:tcPr>
          <w:p w14:paraId="024819B3"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vMerge w:val="restart"/>
            <w:tcBorders>
              <w:top w:val="single" w:sz="4" w:space="0" w:color="auto"/>
              <w:left w:val="single" w:sz="4" w:space="0" w:color="auto"/>
              <w:bottom w:val="nil"/>
              <w:right w:val="single" w:sz="4" w:space="0" w:color="auto"/>
            </w:tcBorders>
            <w:hideMark/>
          </w:tcPr>
          <w:p w14:paraId="230EA758"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Significant progress was achieved in meeting handover targets between June and September 2025. However, performance has been more challenging in subsequent months due to three key factors: (1) an increase in the Clinically Optimised Patient (COP) position, (2) increased demand at the front door, and (3) greater acuity of patients presenting at the front door. These pressures have contributed to a decline in handover performance compared to the earlier period. To address this, work is underway to mitigate the COP position and improve patient flow throughout the system, thereby optimising hospital capacity. This will support timely handovers in line with the 15-minute standard at the front door.</w:t>
            </w:r>
          </w:p>
        </w:tc>
      </w:tr>
      <w:tr w:rsidR="00927641" w:rsidRPr="00927641" w14:paraId="26574D0B" w14:textId="77777777" w:rsidTr="00365BD1">
        <w:trPr>
          <w:trHeight w:val="903"/>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3ECF53E3"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32D20574"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hideMark/>
          </w:tcPr>
          <w:p w14:paraId="3E2812C0"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 xml:space="preserve">Where the </w:t>
            </w:r>
            <w:proofErr w:type="gramStart"/>
            <w:r w:rsidRPr="00927641">
              <w:rPr>
                <w:rFonts w:ascii="Verdana" w:eastAsia="Times New Roman" w:hAnsi="Verdana" w:cs="Calibri"/>
                <w:i/>
                <w:iCs/>
                <w:color w:val="000000"/>
                <w:sz w:val="20"/>
                <w:szCs w:val="20"/>
                <w:lang w:eastAsia="en-GB"/>
              </w:rPr>
              <w:t>15 minute</w:t>
            </w:r>
            <w:proofErr w:type="gramEnd"/>
            <w:r w:rsidRPr="00927641">
              <w:rPr>
                <w:rFonts w:ascii="Verdana" w:eastAsia="Times New Roman" w:hAnsi="Verdana" w:cs="Calibri"/>
                <w:i/>
                <w:iCs/>
                <w:color w:val="000000"/>
                <w:sz w:val="20"/>
                <w:szCs w:val="20"/>
                <w:lang w:eastAsia="en-GB"/>
              </w:rPr>
              <w:t xml:space="preserve"> handover time target is not possible, an absolute maximum handover time of 45 minutes introduced by October 2025. </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226420E6"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764EE687"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nil"/>
              <w:right w:val="single" w:sz="4" w:space="0" w:color="auto"/>
            </w:tcBorders>
            <w:vAlign w:val="center"/>
            <w:hideMark/>
          </w:tcPr>
          <w:p w14:paraId="4BEEB41D"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nil"/>
              <w:right w:val="single" w:sz="4" w:space="0" w:color="auto"/>
            </w:tcBorders>
            <w:vAlign w:val="center"/>
            <w:hideMark/>
          </w:tcPr>
          <w:p w14:paraId="1F80AC1B"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371AE93C" w14:textId="77777777" w:rsidTr="00365BD1">
        <w:trPr>
          <w:trHeight w:val="1024"/>
        </w:trPr>
        <w:tc>
          <w:tcPr>
            <w:tcW w:w="2511" w:type="dxa"/>
            <w:vMerge w:val="restart"/>
            <w:tcBorders>
              <w:top w:val="single" w:sz="4" w:space="0" w:color="auto"/>
              <w:left w:val="single" w:sz="4" w:space="0" w:color="auto"/>
              <w:bottom w:val="single" w:sz="4" w:space="0" w:color="auto"/>
              <w:right w:val="single" w:sz="4" w:space="0" w:color="auto"/>
            </w:tcBorders>
            <w:hideMark/>
          </w:tcPr>
          <w:p w14:paraId="7E33728A"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Urgent &amp; Emergency Care</w:t>
            </w: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16BE0648"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16</w:t>
            </w:r>
          </w:p>
        </w:tc>
        <w:tc>
          <w:tcPr>
            <w:tcW w:w="4956" w:type="dxa"/>
            <w:tcBorders>
              <w:top w:val="single" w:sz="4" w:space="0" w:color="auto"/>
              <w:left w:val="single" w:sz="4" w:space="0" w:color="auto"/>
              <w:bottom w:val="single" w:sz="4" w:space="0" w:color="auto"/>
              <w:right w:val="single" w:sz="4" w:space="0" w:color="auto"/>
            </w:tcBorders>
            <w:hideMark/>
          </w:tcPr>
          <w:p w14:paraId="1303AC3C"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Progress against the Six Goals for Urgent &amp; Emergency Care Programme should be reported publicly, using the health board performance reports (see Recommendation 21). Timescale - within 3 months.</w:t>
            </w:r>
          </w:p>
        </w:tc>
        <w:tc>
          <w:tcPr>
            <w:tcW w:w="1935" w:type="dxa"/>
            <w:vMerge w:val="restart"/>
            <w:tcBorders>
              <w:top w:val="single" w:sz="4" w:space="0" w:color="auto"/>
              <w:left w:val="single" w:sz="4" w:space="0" w:color="auto"/>
              <w:bottom w:val="single" w:sz="4" w:space="0" w:color="auto"/>
              <w:right w:val="single" w:sz="4" w:space="0" w:color="auto"/>
            </w:tcBorders>
            <w:hideMark/>
          </w:tcPr>
          <w:p w14:paraId="0EF3367E"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Health Board; however note WG response - national work to be completed first</w:t>
            </w:r>
          </w:p>
        </w:tc>
        <w:tc>
          <w:tcPr>
            <w:tcW w:w="1713" w:type="dxa"/>
            <w:vMerge w:val="restart"/>
            <w:tcBorders>
              <w:top w:val="single" w:sz="4" w:space="0" w:color="auto"/>
              <w:left w:val="single" w:sz="4" w:space="0" w:color="auto"/>
              <w:bottom w:val="single" w:sz="4" w:space="0" w:color="auto"/>
              <w:right w:val="single" w:sz="4" w:space="0" w:color="auto"/>
            </w:tcBorders>
            <w:noWrap/>
            <w:hideMark/>
          </w:tcPr>
          <w:p w14:paraId="237E3832"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3 Months</w:t>
            </w:r>
          </w:p>
        </w:tc>
        <w:tc>
          <w:tcPr>
            <w:tcW w:w="1281" w:type="dxa"/>
            <w:vMerge w:val="restart"/>
            <w:tcBorders>
              <w:top w:val="single" w:sz="4" w:space="0" w:color="auto"/>
              <w:left w:val="single" w:sz="4" w:space="0" w:color="auto"/>
              <w:bottom w:val="nil"/>
              <w:right w:val="single" w:sz="4" w:space="0" w:color="auto"/>
            </w:tcBorders>
            <w:noWrap/>
            <w:vAlign w:val="bottom"/>
            <w:hideMark/>
          </w:tcPr>
          <w:p w14:paraId="3C3EA763"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TBC</w:t>
            </w:r>
          </w:p>
        </w:tc>
        <w:tc>
          <w:tcPr>
            <w:tcW w:w="7693" w:type="dxa"/>
            <w:vMerge w:val="restart"/>
            <w:tcBorders>
              <w:top w:val="single" w:sz="4" w:space="0" w:color="auto"/>
              <w:left w:val="single" w:sz="4" w:space="0" w:color="auto"/>
              <w:bottom w:val="nil"/>
              <w:right w:val="single" w:sz="4" w:space="0" w:color="auto"/>
            </w:tcBorders>
            <w:hideMark/>
          </w:tcPr>
          <w:p w14:paraId="4AA856E8"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SBUHB carries out significant monitoring of Urgent and Emergency Care activity/ data via appropriate dashboards aligned to the NHS Wales Performance Framework, Targeted Intervention status and broader 6 Goals measures/ metrics</w:t>
            </w:r>
          </w:p>
        </w:tc>
      </w:tr>
      <w:tr w:rsidR="00927641" w:rsidRPr="00927641" w14:paraId="1D37DC6F" w14:textId="77777777" w:rsidTr="00365BD1">
        <w:trPr>
          <w:trHeight w:val="843"/>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1E726C4E"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26B1A715"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hideMark/>
          </w:tcPr>
          <w:p w14:paraId="086393B2"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 xml:space="preserve">Health boards should ensure that performance reports are aligned with the 6 Goals metrics before winter 2025/26 and made public from June. The report should include both validated and unvalidated </w:t>
            </w:r>
            <w:proofErr w:type="gramStart"/>
            <w:r w:rsidRPr="00927641">
              <w:rPr>
                <w:rFonts w:ascii="Verdana" w:eastAsia="Times New Roman" w:hAnsi="Verdana" w:cs="Calibri"/>
                <w:i/>
                <w:iCs/>
                <w:color w:val="000000"/>
                <w:sz w:val="20"/>
                <w:szCs w:val="20"/>
                <w:lang w:eastAsia="en-GB"/>
              </w:rPr>
              <w:t>four hour</w:t>
            </w:r>
            <w:proofErr w:type="gramEnd"/>
            <w:r w:rsidRPr="00927641">
              <w:rPr>
                <w:rFonts w:ascii="Verdana" w:eastAsia="Times New Roman" w:hAnsi="Verdana" w:cs="Calibri"/>
                <w:i/>
                <w:iCs/>
                <w:color w:val="000000"/>
                <w:sz w:val="20"/>
                <w:szCs w:val="20"/>
                <w:lang w:eastAsia="en-GB"/>
              </w:rPr>
              <w:t xml:space="preserve"> performance data. The clinical group reviewing performance standards should ensure that performance metrics cover the full UEC pathway.</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6F25B694"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14DA3E55"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nil"/>
              <w:right w:val="single" w:sz="4" w:space="0" w:color="auto"/>
            </w:tcBorders>
            <w:vAlign w:val="center"/>
            <w:hideMark/>
          </w:tcPr>
          <w:p w14:paraId="13961262"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vMerge/>
            <w:tcBorders>
              <w:top w:val="single" w:sz="4" w:space="0" w:color="auto"/>
              <w:left w:val="single" w:sz="4" w:space="0" w:color="auto"/>
              <w:bottom w:val="nil"/>
              <w:right w:val="single" w:sz="4" w:space="0" w:color="auto"/>
            </w:tcBorders>
            <w:vAlign w:val="center"/>
            <w:hideMark/>
          </w:tcPr>
          <w:p w14:paraId="7F4BE25C"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r>
      <w:tr w:rsidR="00927641" w:rsidRPr="00927641" w14:paraId="13FBB2AA" w14:textId="77777777" w:rsidTr="00365BD1">
        <w:trPr>
          <w:trHeight w:val="1009"/>
        </w:trPr>
        <w:tc>
          <w:tcPr>
            <w:tcW w:w="2511" w:type="dxa"/>
            <w:vMerge w:val="restart"/>
            <w:tcBorders>
              <w:top w:val="single" w:sz="4" w:space="0" w:color="auto"/>
              <w:left w:val="single" w:sz="4" w:space="0" w:color="auto"/>
              <w:bottom w:val="single" w:sz="4" w:space="0" w:color="auto"/>
              <w:right w:val="single" w:sz="4" w:space="0" w:color="auto"/>
            </w:tcBorders>
            <w:hideMark/>
          </w:tcPr>
          <w:p w14:paraId="03104F4B"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Urgent &amp; Emergency Care</w:t>
            </w:r>
          </w:p>
        </w:tc>
        <w:tc>
          <w:tcPr>
            <w:tcW w:w="607" w:type="dxa"/>
            <w:vMerge w:val="restart"/>
            <w:tcBorders>
              <w:top w:val="single" w:sz="4" w:space="0" w:color="auto"/>
              <w:left w:val="single" w:sz="4" w:space="0" w:color="auto"/>
              <w:bottom w:val="single" w:sz="4" w:space="0" w:color="auto"/>
              <w:right w:val="single" w:sz="4" w:space="0" w:color="auto"/>
            </w:tcBorders>
            <w:hideMark/>
          </w:tcPr>
          <w:p w14:paraId="23BE8FDE"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17</w:t>
            </w:r>
          </w:p>
        </w:tc>
        <w:tc>
          <w:tcPr>
            <w:tcW w:w="4956" w:type="dxa"/>
            <w:tcBorders>
              <w:top w:val="single" w:sz="4" w:space="0" w:color="auto"/>
              <w:left w:val="single" w:sz="4" w:space="0" w:color="auto"/>
              <w:bottom w:val="single" w:sz="4" w:space="0" w:color="auto"/>
              <w:right w:val="single" w:sz="4" w:space="0" w:color="auto"/>
            </w:tcBorders>
            <w:hideMark/>
          </w:tcPr>
          <w:p w14:paraId="60A20427"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A consistent framework for escalation levels within the Urgent &amp; Emergency care system should be introduced by October 2025, using the OPEL framework in England, adapted for the Welsh service where needed.</w:t>
            </w:r>
          </w:p>
        </w:tc>
        <w:tc>
          <w:tcPr>
            <w:tcW w:w="1935"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4286281B"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Welsh Government</w:t>
            </w:r>
          </w:p>
        </w:tc>
        <w:tc>
          <w:tcPr>
            <w:tcW w:w="1713"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2FBD68C7"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 xml:space="preserve">Not Specified </w:t>
            </w:r>
          </w:p>
        </w:tc>
        <w:tc>
          <w:tcPr>
            <w:tcW w:w="1281" w:type="dxa"/>
            <w:vMerge w:val="restart"/>
            <w:tcBorders>
              <w:top w:val="single" w:sz="4" w:space="0" w:color="auto"/>
              <w:left w:val="single" w:sz="4" w:space="0" w:color="auto"/>
              <w:bottom w:val="nil"/>
              <w:right w:val="single" w:sz="4" w:space="0" w:color="auto"/>
            </w:tcBorders>
            <w:shd w:val="clear" w:color="000000" w:fill="E7E6E6"/>
            <w:noWrap/>
            <w:vAlign w:val="bottom"/>
            <w:hideMark/>
          </w:tcPr>
          <w:p w14:paraId="10697363"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nil"/>
              <w:right w:val="single" w:sz="4" w:space="0" w:color="auto"/>
            </w:tcBorders>
            <w:shd w:val="clear" w:color="000000" w:fill="E7E6E6"/>
            <w:noWrap/>
            <w:hideMark/>
          </w:tcPr>
          <w:p w14:paraId="387C4F51" w14:textId="77777777" w:rsidR="00927641" w:rsidRPr="00927641" w:rsidRDefault="00927641" w:rsidP="00927641">
            <w:pPr>
              <w:spacing w:after="0" w:line="240" w:lineRule="auto"/>
              <w:jc w:val="center"/>
              <w:rPr>
                <w:rFonts w:ascii="Times New Roman" w:eastAsia="Times New Roman" w:hAnsi="Times New Roman" w:cs="Times New Roman"/>
                <w:sz w:val="20"/>
                <w:szCs w:val="20"/>
                <w:lang w:eastAsia="en-GB"/>
              </w:rPr>
            </w:pPr>
          </w:p>
        </w:tc>
      </w:tr>
      <w:tr w:rsidR="00927641" w:rsidRPr="00927641" w14:paraId="6B4EB8B8" w14:textId="77777777" w:rsidTr="00365BD1">
        <w:trPr>
          <w:trHeight w:val="512"/>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3A01EE3D"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771D62C3"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hideMark/>
          </w:tcPr>
          <w:p w14:paraId="3D62D36B"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This recommendation should be enabled by the development of a “Once for Wales” digital support tool</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13557E06"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51D070F7"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nil"/>
              <w:right w:val="single" w:sz="4" w:space="0" w:color="auto"/>
            </w:tcBorders>
            <w:vAlign w:val="center"/>
            <w:hideMark/>
          </w:tcPr>
          <w:p w14:paraId="448A83D4"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tcBorders>
              <w:top w:val="nil"/>
              <w:left w:val="single" w:sz="4" w:space="0" w:color="auto"/>
              <w:bottom w:val="single" w:sz="4" w:space="0" w:color="auto"/>
              <w:right w:val="single" w:sz="4" w:space="0" w:color="auto"/>
            </w:tcBorders>
            <w:shd w:val="clear" w:color="000000" w:fill="E7E6E6"/>
            <w:noWrap/>
            <w:hideMark/>
          </w:tcPr>
          <w:p w14:paraId="10F03C87"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p>
        </w:tc>
      </w:tr>
      <w:tr w:rsidR="00927641" w:rsidRPr="00927641" w14:paraId="789F3F3A" w14:textId="77777777" w:rsidTr="00365BD1">
        <w:trPr>
          <w:trHeight w:val="1265"/>
        </w:trPr>
        <w:tc>
          <w:tcPr>
            <w:tcW w:w="2511" w:type="dxa"/>
            <w:vMerge w:val="restart"/>
            <w:tcBorders>
              <w:top w:val="single" w:sz="4" w:space="0" w:color="auto"/>
              <w:left w:val="single" w:sz="4" w:space="0" w:color="auto"/>
              <w:bottom w:val="single" w:sz="4" w:space="0" w:color="auto"/>
              <w:right w:val="single" w:sz="4" w:space="0" w:color="auto"/>
            </w:tcBorders>
            <w:hideMark/>
          </w:tcPr>
          <w:p w14:paraId="46115518"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Operating model and Accountability frameworks </w:t>
            </w: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21FA4313"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18</w:t>
            </w:r>
          </w:p>
        </w:tc>
        <w:tc>
          <w:tcPr>
            <w:tcW w:w="4956" w:type="dxa"/>
            <w:tcBorders>
              <w:top w:val="single" w:sz="4" w:space="0" w:color="auto"/>
              <w:left w:val="single" w:sz="4" w:space="0" w:color="auto"/>
              <w:bottom w:val="single" w:sz="4" w:space="0" w:color="auto"/>
              <w:right w:val="single" w:sz="4" w:space="0" w:color="auto"/>
            </w:tcBorders>
            <w:vAlign w:val="bottom"/>
            <w:hideMark/>
          </w:tcPr>
          <w:p w14:paraId="18EC0313"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Welsh Government should consolidate all holding to account and escalation meetings with health boards to single individual monthly performance and productivity meeting; focus on delivery against key areas of performance and productivity, and recommendations of this report.</w:t>
            </w:r>
          </w:p>
        </w:tc>
        <w:tc>
          <w:tcPr>
            <w:tcW w:w="1935"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313EBB35"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Welsh Government</w:t>
            </w:r>
          </w:p>
        </w:tc>
        <w:tc>
          <w:tcPr>
            <w:tcW w:w="1713"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4EA0A8C9"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 xml:space="preserve">Not Specified </w:t>
            </w:r>
          </w:p>
        </w:tc>
        <w:tc>
          <w:tcPr>
            <w:tcW w:w="1281" w:type="dxa"/>
            <w:vMerge w:val="restart"/>
            <w:tcBorders>
              <w:top w:val="single" w:sz="4" w:space="0" w:color="auto"/>
              <w:left w:val="single" w:sz="4" w:space="0" w:color="auto"/>
              <w:bottom w:val="nil"/>
              <w:right w:val="single" w:sz="4" w:space="0" w:color="auto"/>
            </w:tcBorders>
            <w:shd w:val="clear" w:color="000000" w:fill="92D050"/>
            <w:noWrap/>
            <w:hideMark/>
          </w:tcPr>
          <w:p w14:paraId="0477FA45"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Complete</w:t>
            </w:r>
          </w:p>
        </w:tc>
        <w:tc>
          <w:tcPr>
            <w:tcW w:w="7693" w:type="dxa"/>
            <w:tcBorders>
              <w:top w:val="single" w:sz="4" w:space="0" w:color="auto"/>
              <w:left w:val="single" w:sz="4" w:space="0" w:color="auto"/>
              <w:bottom w:val="nil"/>
              <w:right w:val="single" w:sz="4" w:space="0" w:color="auto"/>
            </w:tcBorders>
            <w:shd w:val="clear" w:color="000000" w:fill="92D050"/>
            <w:noWrap/>
            <w:hideMark/>
          </w:tcPr>
          <w:p w14:paraId="09C8D4FA"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r>
      <w:tr w:rsidR="00927641" w:rsidRPr="00927641" w14:paraId="74E78F44" w14:textId="77777777" w:rsidTr="00365BD1">
        <w:trPr>
          <w:trHeight w:val="1009"/>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10498E0F"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70DB7DD5"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vAlign w:val="bottom"/>
            <w:hideMark/>
          </w:tcPr>
          <w:p w14:paraId="2F7750E9"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The CEO of NHS Wales should chair Performance and Productivity meeting; attended by the CEO of  health board, and at a minimum the medical director, nursing director, finance director and those responsible for operational performance.</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0F67D04A"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1CAE71F7"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nil"/>
              <w:right w:val="single" w:sz="4" w:space="0" w:color="auto"/>
            </w:tcBorders>
            <w:vAlign w:val="center"/>
            <w:hideMark/>
          </w:tcPr>
          <w:p w14:paraId="6B56C45B"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tcBorders>
              <w:top w:val="nil"/>
              <w:left w:val="single" w:sz="4" w:space="0" w:color="auto"/>
              <w:bottom w:val="nil"/>
              <w:right w:val="single" w:sz="4" w:space="0" w:color="auto"/>
            </w:tcBorders>
            <w:shd w:val="clear" w:color="000000" w:fill="92D050"/>
            <w:noWrap/>
            <w:hideMark/>
          </w:tcPr>
          <w:p w14:paraId="7AB7B6AA"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p>
        </w:tc>
      </w:tr>
      <w:tr w:rsidR="00927641" w:rsidRPr="00927641" w14:paraId="7EE17591" w14:textId="77777777" w:rsidTr="00365BD1">
        <w:trPr>
          <w:trHeight w:val="2018"/>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7270191D"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51805FA6"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vAlign w:val="bottom"/>
            <w:hideMark/>
          </w:tcPr>
          <w:p w14:paraId="44E255B8"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Outputs of meetings shared with Cabinet Secretary and Chair of health board / trust, with items escalated as appropriate, allowing Chief Executive to focus on operational performance and Chair to focus on board governance, culture and managing the strategic relationship with the elected leadership of the local authorities and other key stakeholders. It would  alleviate duplication / parallel oversight machinery in place between Cabinet Secretary/health board/trust Chair and the NHS Wales/health board/trust CEOs</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39FF5BB2"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146D8C11"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nil"/>
              <w:right w:val="single" w:sz="4" w:space="0" w:color="auto"/>
            </w:tcBorders>
            <w:vAlign w:val="center"/>
            <w:hideMark/>
          </w:tcPr>
          <w:p w14:paraId="49A317D4"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tcBorders>
              <w:top w:val="nil"/>
              <w:left w:val="single" w:sz="4" w:space="0" w:color="auto"/>
              <w:bottom w:val="nil"/>
              <w:right w:val="single" w:sz="4" w:space="0" w:color="auto"/>
            </w:tcBorders>
            <w:shd w:val="clear" w:color="000000" w:fill="92D050"/>
            <w:noWrap/>
            <w:hideMark/>
          </w:tcPr>
          <w:p w14:paraId="10D60DF0"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p>
        </w:tc>
      </w:tr>
      <w:tr w:rsidR="00927641" w:rsidRPr="00927641" w14:paraId="5BCB2C2C" w14:textId="77777777" w:rsidTr="00365BD1">
        <w:trPr>
          <w:trHeight w:val="1265"/>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2A684386"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7CF32B4A"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vAlign w:val="bottom"/>
            <w:hideMark/>
          </w:tcPr>
          <w:p w14:paraId="17D0BE41"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Monthly performance meetings should replace all existing monthly escalation and performance meetings (inc. JET, IQPD, oversight and escalation, and system NHS Performance Board meetings). The Oversight and Escalation framework should be enacted through these performance meetings.</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3E1F8D91"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5B86D83A"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nil"/>
              <w:right w:val="single" w:sz="4" w:space="0" w:color="auto"/>
            </w:tcBorders>
            <w:vAlign w:val="center"/>
            <w:hideMark/>
          </w:tcPr>
          <w:p w14:paraId="5F222021"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tcBorders>
              <w:top w:val="nil"/>
              <w:left w:val="single" w:sz="4" w:space="0" w:color="auto"/>
              <w:bottom w:val="nil"/>
              <w:right w:val="single" w:sz="4" w:space="0" w:color="auto"/>
            </w:tcBorders>
            <w:shd w:val="clear" w:color="000000" w:fill="92D050"/>
            <w:noWrap/>
            <w:hideMark/>
          </w:tcPr>
          <w:p w14:paraId="3B3783E1"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p>
        </w:tc>
      </w:tr>
      <w:tr w:rsidR="00927641" w:rsidRPr="00927641" w14:paraId="2BEB3FCD" w14:textId="77777777" w:rsidTr="00365BD1">
        <w:trPr>
          <w:trHeight w:val="753"/>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1C6A813B"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3CEC87D4"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vAlign w:val="bottom"/>
            <w:hideMark/>
          </w:tcPr>
          <w:p w14:paraId="5923B039"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Reduction in meetings should allow more time to focus on immediate performance and productivity. In parallel WG should consider strengthening incentive and sanctions associated with delivery and non-delivery.</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492C5D3D"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4601C188"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4C6A461D"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tcBorders>
              <w:top w:val="nil"/>
              <w:left w:val="single" w:sz="4" w:space="0" w:color="auto"/>
              <w:bottom w:val="single" w:sz="4" w:space="0" w:color="auto"/>
              <w:right w:val="single" w:sz="4" w:space="0" w:color="auto"/>
            </w:tcBorders>
            <w:shd w:val="clear" w:color="000000" w:fill="92D050"/>
            <w:noWrap/>
            <w:hideMark/>
          </w:tcPr>
          <w:p w14:paraId="241099DC"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p>
        </w:tc>
      </w:tr>
      <w:tr w:rsidR="00927641" w:rsidRPr="00927641" w14:paraId="4E496919" w14:textId="77777777" w:rsidTr="00365BD1">
        <w:trPr>
          <w:trHeight w:val="1009"/>
        </w:trPr>
        <w:tc>
          <w:tcPr>
            <w:tcW w:w="2511" w:type="dxa"/>
            <w:vMerge w:val="restart"/>
            <w:tcBorders>
              <w:top w:val="single" w:sz="4" w:space="0" w:color="auto"/>
              <w:left w:val="single" w:sz="4" w:space="0" w:color="auto"/>
              <w:bottom w:val="single" w:sz="4" w:space="0" w:color="auto"/>
              <w:right w:val="single" w:sz="4" w:space="0" w:color="auto"/>
            </w:tcBorders>
            <w:hideMark/>
          </w:tcPr>
          <w:p w14:paraId="7AFB5BC2"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Operating model and Accountability frameworks </w:t>
            </w: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17FC1BD6"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19</w:t>
            </w:r>
          </w:p>
        </w:tc>
        <w:tc>
          <w:tcPr>
            <w:tcW w:w="4956" w:type="dxa"/>
            <w:tcBorders>
              <w:top w:val="single" w:sz="4" w:space="0" w:color="auto"/>
              <w:left w:val="single" w:sz="4" w:space="0" w:color="auto"/>
              <w:bottom w:val="single" w:sz="4" w:space="0" w:color="auto"/>
              <w:right w:val="single" w:sz="4" w:space="0" w:color="auto"/>
            </w:tcBorders>
            <w:vAlign w:val="bottom"/>
            <w:hideMark/>
          </w:tcPr>
          <w:p w14:paraId="3DC4AC0C"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A managing director should be appointed to directly manage and oversee the NHS Executive which will be renamed the Performance and Productivity Unit (PPU). Timescale – appointed within 3 months.</w:t>
            </w:r>
          </w:p>
        </w:tc>
        <w:tc>
          <w:tcPr>
            <w:tcW w:w="1935" w:type="dxa"/>
            <w:vMerge w:val="restart"/>
            <w:tcBorders>
              <w:top w:val="single" w:sz="4" w:space="0" w:color="auto"/>
              <w:left w:val="single" w:sz="4" w:space="0" w:color="auto"/>
              <w:bottom w:val="single" w:sz="4" w:space="0" w:color="auto"/>
              <w:right w:val="single" w:sz="4" w:space="0" w:color="auto"/>
            </w:tcBorders>
            <w:noWrap/>
            <w:hideMark/>
          </w:tcPr>
          <w:p w14:paraId="3D0910E4"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Welsh Government</w:t>
            </w:r>
          </w:p>
        </w:tc>
        <w:tc>
          <w:tcPr>
            <w:tcW w:w="1713" w:type="dxa"/>
            <w:vMerge w:val="restart"/>
            <w:tcBorders>
              <w:top w:val="single" w:sz="4" w:space="0" w:color="auto"/>
              <w:left w:val="single" w:sz="4" w:space="0" w:color="auto"/>
              <w:bottom w:val="single" w:sz="4" w:space="0" w:color="auto"/>
              <w:right w:val="single" w:sz="4" w:space="0" w:color="auto"/>
            </w:tcBorders>
            <w:noWrap/>
            <w:hideMark/>
          </w:tcPr>
          <w:p w14:paraId="1FD9CE13"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3 Months</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1C3812D"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E7E6E6"/>
            <w:noWrap/>
            <w:hideMark/>
          </w:tcPr>
          <w:p w14:paraId="443F5FC2" w14:textId="77777777" w:rsidR="00927641" w:rsidRPr="00927641" w:rsidRDefault="00927641" w:rsidP="00927641">
            <w:pPr>
              <w:spacing w:after="0" w:line="240" w:lineRule="auto"/>
              <w:jc w:val="center"/>
              <w:rPr>
                <w:rFonts w:ascii="Times New Roman" w:eastAsia="Times New Roman" w:hAnsi="Times New Roman" w:cs="Times New Roman"/>
                <w:sz w:val="20"/>
                <w:szCs w:val="20"/>
                <w:lang w:eastAsia="en-GB"/>
              </w:rPr>
            </w:pPr>
          </w:p>
        </w:tc>
      </w:tr>
      <w:tr w:rsidR="00927641" w:rsidRPr="00927641" w14:paraId="08633F73" w14:textId="77777777" w:rsidTr="00365BD1">
        <w:trPr>
          <w:trHeight w:val="2530"/>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7151C9D5"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69B8E3D7"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vAlign w:val="bottom"/>
            <w:hideMark/>
          </w:tcPr>
          <w:p w14:paraId="7509ABDC"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 xml:space="preserve">The Managing Director (MD) should be of sufficient seniority to support the CEO of NHS Wales in holding their NHS colleagues to account. MD should be accountable to CEO NHS Wales and be member of the WG Executive Director Team (EDT). MD should have direct line management accountability for budget and resources of  NHS Executive. This should be renamed the Performance and Productivity Unit (PPU). MD should ensure that resources are transparently aligned to  single goal of improving the productivity and performance and  review options for how this resource is deployed, including out-posting to </w:t>
            </w:r>
            <w:r w:rsidRPr="00927641">
              <w:rPr>
                <w:rFonts w:ascii="Verdana" w:eastAsia="Times New Roman" w:hAnsi="Verdana" w:cs="Calibri"/>
                <w:i/>
                <w:iCs/>
                <w:color w:val="000000"/>
                <w:sz w:val="20"/>
                <w:szCs w:val="20"/>
                <w:lang w:eastAsia="en-GB"/>
              </w:rPr>
              <w:lastRenderedPageBreak/>
              <w:t>health boards and regions to support improvement interventions</w:t>
            </w:r>
          </w:p>
        </w:tc>
        <w:tc>
          <w:tcPr>
            <w:tcW w:w="1935" w:type="dxa"/>
            <w:vMerge/>
            <w:tcBorders>
              <w:top w:val="single" w:sz="4" w:space="0" w:color="auto"/>
              <w:left w:val="single" w:sz="4" w:space="0" w:color="auto"/>
              <w:bottom w:val="single" w:sz="4" w:space="0" w:color="auto"/>
              <w:right w:val="single" w:sz="4" w:space="0" w:color="auto"/>
            </w:tcBorders>
            <w:vAlign w:val="center"/>
            <w:hideMark/>
          </w:tcPr>
          <w:p w14:paraId="0F130153"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67267DEE"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4AB9F6D1"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E7E6E6"/>
            <w:noWrap/>
            <w:hideMark/>
          </w:tcPr>
          <w:p w14:paraId="5B3E8438"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p>
        </w:tc>
      </w:tr>
      <w:tr w:rsidR="00927641" w:rsidRPr="00927641" w14:paraId="6256DE32" w14:textId="77777777" w:rsidTr="00365BD1">
        <w:trPr>
          <w:trHeight w:val="1265"/>
        </w:trPr>
        <w:tc>
          <w:tcPr>
            <w:tcW w:w="2511" w:type="dxa"/>
            <w:vMerge w:val="restart"/>
            <w:tcBorders>
              <w:top w:val="single" w:sz="4" w:space="0" w:color="auto"/>
              <w:left w:val="single" w:sz="4" w:space="0" w:color="auto"/>
              <w:bottom w:val="single" w:sz="4" w:space="0" w:color="auto"/>
              <w:right w:val="single" w:sz="4" w:space="0" w:color="auto"/>
            </w:tcBorders>
            <w:hideMark/>
          </w:tcPr>
          <w:p w14:paraId="6285CFDB"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Operating model and Accountability frameworks </w:t>
            </w:r>
          </w:p>
        </w:tc>
        <w:tc>
          <w:tcPr>
            <w:tcW w:w="607" w:type="dxa"/>
            <w:vMerge w:val="restart"/>
            <w:tcBorders>
              <w:top w:val="single" w:sz="4" w:space="0" w:color="auto"/>
              <w:left w:val="single" w:sz="4" w:space="0" w:color="auto"/>
              <w:bottom w:val="single" w:sz="4" w:space="0" w:color="auto"/>
              <w:right w:val="single" w:sz="4" w:space="0" w:color="auto"/>
            </w:tcBorders>
            <w:noWrap/>
            <w:hideMark/>
          </w:tcPr>
          <w:p w14:paraId="4283DD6C"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20</w:t>
            </w:r>
          </w:p>
        </w:tc>
        <w:tc>
          <w:tcPr>
            <w:tcW w:w="4956" w:type="dxa"/>
            <w:tcBorders>
              <w:top w:val="single" w:sz="4" w:space="0" w:color="auto"/>
              <w:left w:val="single" w:sz="4" w:space="0" w:color="auto"/>
              <w:bottom w:val="single" w:sz="4" w:space="0" w:color="auto"/>
              <w:right w:val="single" w:sz="4" w:space="0" w:color="auto"/>
            </w:tcBorders>
            <w:vAlign w:val="bottom"/>
            <w:hideMark/>
          </w:tcPr>
          <w:p w14:paraId="57D26268"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Medical leadership should be strengthened under the leadership of a new post of Medical Director of NHS Wales; separate from and equal in status to the existing Chief Medical Officer post. This is essential to driving and delivering the performance and productivity agenda.</w:t>
            </w:r>
          </w:p>
        </w:tc>
        <w:tc>
          <w:tcPr>
            <w:tcW w:w="1935" w:type="dxa"/>
            <w:vMerge w:val="restart"/>
            <w:tcBorders>
              <w:top w:val="single" w:sz="4" w:space="0" w:color="auto"/>
              <w:left w:val="single" w:sz="4" w:space="0" w:color="auto"/>
              <w:bottom w:val="nil"/>
              <w:right w:val="single" w:sz="4" w:space="0" w:color="auto"/>
            </w:tcBorders>
            <w:noWrap/>
            <w:hideMark/>
          </w:tcPr>
          <w:p w14:paraId="3D161862"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Welsh Government</w:t>
            </w:r>
          </w:p>
        </w:tc>
        <w:tc>
          <w:tcPr>
            <w:tcW w:w="1713" w:type="dxa"/>
            <w:vMerge w:val="restart"/>
            <w:tcBorders>
              <w:top w:val="single" w:sz="4" w:space="0" w:color="auto"/>
              <w:left w:val="single" w:sz="4" w:space="0" w:color="auto"/>
              <w:bottom w:val="single" w:sz="4" w:space="0" w:color="auto"/>
              <w:right w:val="single" w:sz="4" w:space="0" w:color="auto"/>
            </w:tcBorders>
            <w:noWrap/>
            <w:hideMark/>
          </w:tcPr>
          <w:p w14:paraId="13B230F6"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3 Months</w:t>
            </w:r>
          </w:p>
        </w:tc>
        <w:tc>
          <w:tcPr>
            <w:tcW w:w="1281" w:type="dxa"/>
            <w:vMerge w:val="restart"/>
            <w:tcBorders>
              <w:top w:val="single" w:sz="4" w:space="0" w:color="auto"/>
              <w:left w:val="single" w:sz="4" w:space="0" w:color="auto"/>
              <w:bottom w:val="nil"/>
              <w:right w:val="single" w:sz="4" w:space="0" w:color="auto"/>
            </w:tcBorders>
            <w:shd w:val="clear" w:color="000000" w:fill="92D050"/>
            <w:noWrap/>
            <w:hideMark/>
          </w:tcPr>
          <w:p w14:paraId="360CFA2D"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Complete</w:t>
            </w:r>
          </w:p>
        </w:tc>
        <w:tc>
          <w:tcPr>
            <w:tcW w:w="7693" w:type="dxa"/>
            <w:tcBorders>
              <w:top w:val="single" w:sz="4" w:space="0" w:color="auto"/>
              <w:left w:val="single" w:sz="4" w:space="0" w:color="auto"/>
              <w:bottom w:val="nil"/>
              <w:right w:val="single" w:sz="4" w:space="0" w:color="auto"/>
            </w:tcBorders>
            <w:shd w:val="clear" w:color="000000" w:fill="92D050"/>
            <w:noWrap/>
            <w:hideMark/>
          </w:tcPr>
          <w:p w14:paraId="2AE65BA7"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r>
      <w:tr w:rsidR="00927641" w:rsidRPr="00927641" w14:paraId="2DCC9141" w14:textId="77777777" w:rsidTr="00365BD1">
        <w:trPr>
          <w:trHeight w:val="512"/>
        </w:trPr>
        <w:tc>
          <w:tcPr>
            <w:tcW w:w="2511" w:type="dxa"/>
            <w:vMerge/>
            <w:tcBorders>
              <w:top w:val="single" w:sz="4" w:space="0" w:color="auto"/>
              <w:left w:val="single" w:sz="4" w:space="0" w:color="auto"/>
              <w:bottom w:val="single" w:sz="4" w:space="0" w:color="auto"/>
              <w:right w:val="single" w:sz="4" w:space="0" w:color="auto"/>
            </w:tcBorders>
            <w:vAlign w:val="center"/>
            <w:hideMark/>
          </w:tcPr>
          <w:p w14:paraId="39971DC6"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755E0733"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p>
        </w:tc>
        <w:tc>
          <w:tcPr>
            <w:tcW w:w="4956" w:type="dxa"/>
            <w:tcBorders>
              <w:top w:val="single" w:sz="4" w:space="0" w:color="auto"/>
              <w:left w:val="single" w:sz="4" w:space="0" w:color="auto"/>
              <w:bottom w:val="single" w:sz="4" w:space="0" w:color="auto"/>
              <w:right w:val="single" w:sz="4" w:space="0" w:color="auto"/>
            </w:tcBorders>
            <w:vAlign w:val="bottom"/>
            <w:hideMark/>
          </w:tcPr>
          <w:p w14:paraId="33471A4D"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r w:rsidRPr="00927641">
              <w:rPr>
                <w:rFonts w:ascii="Verdana" w:eastAsia="Times New Roman" w:hAnsi="Verdana" w:cs="Calibri"/>
                <w:i/>
                <w:iCs/>
                <w:color w:val="000000"/>
                <w:sz w:val="20"/>
                <w:szCs w:val="20"/>
                <w:lang w:eastAsia="en-GB"/>
              </w:rPr>
              <w:t>(The Medical Director’s proposed responsibilities are listed in detail in the report)</w:t>
            </w:r>
          </w:p>
        </w:tc>
        <w:tc>
          <w:tcPr>
            <w:tcW w:w="1935" w:type="dxa"/>
            <w:vMerge/>
            <w:tcBorders>
              <w:top w:val="single" w:sz="4" w:space="0" w:color="auto"/>
              <w:left w:val="single" w:sz="4" w:space="0" w:color="auto"/>
              <w:bottom w:val="nil"/>
              <w:right w:val="single" w:sz="4" w:space="0" w:color="auto"/>
            </w:tcBorders>
            <w:vAlign w:val="center"/>
            <w:hideMark/>
          </w:tcPr>
          <w:p w14:paraId="49C8CFAB"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37D3A8D7"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1281" w:type="dxa"/>
            <w:vMerge/>
            <w:tcBorders>
              <w:top w:val="single" w:sz="4" w:space="0" w:color="auto"/>
              <w:left w:val="single" w:sz="4" w:space="0" w:color="auto"/>
              <w:bottom w:val="nil"/>
              <w:right w:val="single" w:sz="4" w:space="0" w:color="auto"/>
            </w:tcBorders>
            <w:vAlign w:val="center"/>
            <w:hideMark/>
          </w:tcPr>
          <w:p w14:paraId="4E011227"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p>
        </w:tc>
        <w:tc>
          <w:tcPr>
            <w:tcW w:w="7693" w:type="dxa"/>
            <w:tcBorders>
              <w:top w:val="nil"/>
              <w:left w:val="single" w:sz="4" w:space="0" w:color="auto"/>
              <w:bottom w:val="single" w:sz="4" w:space="0" w:color="auto"/>
              <w:right w:val="single" w:sz="4" w:space="0" w:color="auto"/>
            </w:tcBorders>
            <w:shd w:val="clear" w:color="000000" w:fill="92D050"/>
            <w:noWrap/>
            <w:hideMark/>
          </w:tcPr>
          <w:p w14:paraId="1A22380A" w14:textId="77777777" w:rsidR="00927641" w:rsidRPr="00927641" w:rsidRDefault="00927641" w:rsidP="00927641">
            <w:pPr>
              <w:spacing w:after="0" w:line="240" w:lineRule="auto"/>
              <w:rPr>
                <w:rFonts w:ascii="Verdana" w:eastAsia="Times New Roman" w:hAnsi="Verdana" w:cs="Calibri"/>
                <w:i/>
                <w:iCs/>
                <w:color w:val="000000"/>
                <w:sz w:val="20"/>
                <w:szCs w:val="20"/>
                <w:lang w:eastAsia="en-GB"/>
              </w:rPr>
            </w:pPr>
          </w:p>
        </w:tc>
      </w:tr>
      <w:tr w:rsidR="00927641" w:rsidRPr="00927641" w14:paraId="6E84F767" w14:textId="77777777" w:rsidTr="00365BD1">
        <w:trPr>
          <w:trHeight w:val="1265"/>
        </w:trPr>
        <w:tc>
          <w:tcPr>
            <w:tcW w:w="2511" w:type="dxa"/>
            <w:tcBorders>
              <w:top w:val="single" w:sz="4" w:space="0" w:color="auto"/>
              <w:left w:val="single" w:sz="4" w:space="0" w:color="auto"/>
              <w:bottom w:val="single" w:sz="4" w:space="0" w:color="auto"/>
              <w:right w:val="single" w:sz="4" w:space="0" w:color="auto"/>
            </w:tcBorders>
            <w:hideMark/>
          </w:tcPr>
          <w:p w14:paraId="1BED383E"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Operating model and Accountability frameworks </w:t>
            </w:r>
          </w:p>
        </w:tc>
        <w:tc>
          <w:tcPr>
            <w:tcW w:w="607" w:type="dxa"/>
            <w:tcBorders>
              <w:top w:val="single" w:sz="4" w:space="0" w:color="auto"/>
              <w:left w:val="single" w:sz="4" w:space="0" w:color="auto"/>
              <w:bottom w:val="single" w:sz="4" w:space="0" w:color="auto"/>
              <w:right w:val="single" w:sz="4" w:space="0" w:color="auto"/>
            </w:tcBorders>
            <w:noWrap/>
            <w:hideMark/>
          </w:tcPr>
          <w:p w14:paraId="76935CE4"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21</w:t>
            </w:r>
          </w:p>
        </w:tc>
        <w:tc>
          <w:tcPr>
            <w:tcW w:w="4956" w:type="dxa"/>
            <w:tcBorders>
              <w:top w:val="single" w:sz="4" w:space="0" w:color="auto"/>
              <w:left w:val="single" w:sz="4" w:space="0" w:color="auto"/>
              <w:bottom w:val="single" w:sz="4" w:space="0" w:color="auto"/>
              <w:right w:val="single" w:sz="4" w:space="0" w:color="auto"/>
            </w:tcBorders>
            <w:hideMark/>
          </w:tcPr>
          <w:p w14:paraId="0E5F83C7"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Health boards should commission the NHS Welsh Confederation to develop a standardised health board performance dashboard. The dashboard should be used in the public part of board meetings and to support the P&amp;P meetings. </w:t>
            </w:r>
          </w:p>
        </w:tc>
        <w:tc>
          <w:tcPr>
            <w:tcW w:w="1935" w:type="dxa"/>
            <w:tcBorders>
              <w:top w:val="single" w:sz="4" w:space="0" w:color="auto"/>
              <w:left w:val="single" w:sz="4" w:space="0" w:color="auto"/>
              <w:bottom w:val="single" w:sz="4" w:space="0" w:color="auto"/>
              <w:right w:val="single" w:sz="4" w:space="0" w:color="auto"/>
            </w:tcBorders>
            <w:hideMark/>
          </w:tcPr>
          <w:p w14:paraId="014F20F8"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Health Board - WG propose in their response that they lead part of this and then will require Health Boards to transact output</w:t>
            </w:r>
          </w:p>
        </w:tc>
        <w:tc>
          <w:tcPr>
            <w:tcW w:w="1713" w:type="dxa"/>
            <w:tcBorders>
              <w:top w:val="single" w:sz="4" w:space="0" w:color="auto"/>
              <w:left w:val="single" w:sz="4" w:space="0" w:color="auto"/>
              <w:bottom w:val="single" w:sz="4" w:space="0" w:color="auto"/>
              <w:right w:val="single" w:sz="4" w:space="0" w:color="auto"/>
            </w:tcBorders>
            <w:noWrap/>
            <w:hideMark/>
          </w:tcPr>
          <w:p w14:paraId="53B07BFF"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3 Months</w:t>
            </w:r>
          </w:p>
        </w:tc>
        <w:tc>
          <w:tcPr>
            <w:tcW w:w="128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491BE6E"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noWrap/>
            <w:hideMark/>
          </w:tcPr>
          <w:p w14:paraId="56434A44" w14:textId="77777777" w:rsidR="00927641" w:rsidRPr="00927641" w:rsidRDefault="00927641" w:rsidP="00927641">
            <w:pPr>
              <w:spacing w:after="0" w:line="240" w:lineRule="auto"/>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Action currently with Welsh Government.</w:t>
            </w:r>
          </w:p>
        </w:tc>
      </w:tr>
      <w:tr w:rsidR="00927641" w:rsidRPr="00927641" w14:paraId="38A4FB97" w14:textId="77777777" w:rsidTr="00365BD1">
        <w:trPr>
          <w:trHeight w:val="753"/>
        </w:trPr>
        <w:tc>
          <w:tcPr>
            <w:tcW w:w="2511" w:type="dxa"/>
            <w:tcBorders>
              <w:top w:val="single" w:sz="4" w:space="0" w:color="auto"/>
              <w:left w:val="single" w:sz="4" w:space="0" w:color="auto"/>
              <w:bottom w:val="single" w:sz="4" w:space="0" w:color="auto"/>
              <w:right w:val="single" w:sz="4" w:space="0" w:color="auto"/>
            </w:tcBorders>
            <w:hideMark/>
          </w:tcPr>
          <w:p w14:paraId="7E142F6A"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Measuring productivity</w:t>
            </w:r>
          </w:p>
        </w:tc>
        <w:tc>
          <w:tcPr>
            <w:tcW w:w="607" w:type="dxa"/>
            <w:tcBorders>
              <w:top w:val="single" w:sz="4" w:space="0" w:color="auto"/>
              <w:left w:val="single" w:sz="4" w:space="0" w:color="auto"/>
              <w:bottom w:val="single" w:sz="4" w:space="0" w:color="auto"/>
              <w:right w:val="single" w:sz="4" w:space="0" w:color="auto"/>
            </w:tcBorders>
            <w:noWrap/>
            <w:hideMark/>
          </w:tcPr>
          <w:p w14:paraId="676BDF3B"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22</w:t>
            </w:r>
          </w:p>
        </w:tc>
        <w:tc>
          <w:tcPr>
            <w:tcW w:w="4956" w:type="dxa"/>
            <w:tcBorders>
              <w:top w:val="single" w:sz="4" w:space="0" w:color="auto"/>
              <w:left w:val="single" w:sz="4" w:space="0" w:color="auto"/>
              <w:bottom w:val="single" w:sz="4" w:space="0" w:color="auto"/>
              <w:right w:val="single" w:sz="4" w:space="0" w:color="auto"/>
            </w:tcBorders>
            <w:hideMark/>
          </w:tcPr>
          <w:p w14:paraId="305FBFAA"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A total factor productivity model and workforce productivity model should be developed for NHS Wales and implemented in advance of the next budget. </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hideMark/>
          </w:tcPr>
          <w:p w14:paraId="64489F71"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Welsh Government</w:t>
            </w:r>
          </w:p>
        </w:tc>
        <w:tc>
          <w:tcPr>
            <w:tcW w:w="1713" w:type="dxa"/>
            <w:tcBorders>
              <w:top w:val="single" w:sz="4" w:space="0" w:color="auto"/>
              <w:left w:val="single" w:sz="4" w:space="0" w:color="auto"/>
              <w:bottom w:val="single" w:sz="4" w:space="0" w:color="auto"/>
              <w:right w:val="single" w:sz="4" w:space="0" w:color="auto"/>
            </w:tcBorders>
            <w:noWrap/>
            <w:hideMark/>
          </w:tcPr>
          <w:p w14:paraId="5119A537"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12 Months</w:t>
            </w:r>
          </w:p>
        </w:tc>
        <w:tc>
          <w:tcPr>
            <w:tcW w:w="1281"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FE40FC9"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E7E6E6"/>
            <w:noWrap/>
            <w:hideMark/>
          </w:tcPr>
          <w:p w14:paraId="4B3E85EF" w14:textId="77777777" w:rsidR="00927641" w:rsidRPr="00927641" w:rsidRDefault="00927641" w:rsidP="00927641">
            <w:pPr>
              <w:spacing w:after="0" w:line="240" w:lineRule="auto"/>
              <w:jc w:val="center"/>
              <w:rPr>
                <w:rFonts w:ascii="Times New Roman" w:eastAsia="Times New Roman" w:hAnsi="Times New Roman" w:cs="Times New Roman"/>
                <w:sz w:val="20"/>
                <w:szCs w:val="20"/>
                <w:lang w:eastAsia="en-GB"/>
              </w:rPr>
            </w:pPr>
          </w:p>
        </w:tc>
      </w:tr>
      <w:tr w:rsidR="00927641" w:rsidRPr="00927641" w14:paraId="2C27FE6F" w14:textId="77777777" w:rsidTr="00365BD1">
        <w:trPr>
          <w:trHeight w:val="753"/>
        </w:trPr>
        <w:tc>
          <w:tcPr>
            <w:tcW w:w="2511" w:type="dxa"/>
            <w:tcBorders>
              <w:top w:val="single" w:sz="4" w:space="0" w:color="auto"/>
              <w:left w:val="single" w:sz="4" w:space="0" w:color="auto"/>
              <w:bottom w:val="single" w:sz="4" w:space="0" w:color="auto"/>
              <w:right w:val="single" w:sz="4" w:space="0" w:color="auto"/>
            </w:tcBorders>
            <w:hideMark/>
          </w:tcPr>
          <w:p w14:paraId="2C549A8F"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Measuring productivity</w:t>
            </w:r>
          </w:p>
        </w:tc>
        <w:tc>
          <w:tcPr>
            <w:tcW w:w="607" w:type="dxa"/>
            <w:tcBorders>
              <w:top w:val="single" w:sz="4" w:space="0" w:color="auto"/>
              <w:left w:val="single" w:sz="4" w:space="0" w:color="auto"/>
              <w:bottom w:val="single" w:sz="4" w:space="0" w:color="auto"/>
              <w:right w:val="single" w:sz="4" w:space="0" w:color="auto"/>
            </w:tcBorders>
            <w:noWrap/>
            <w:hideMark/>
          </w:tcPr>
          <w:p w14:paraId="44BA3D76"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24</w:t>
            </w:r>
          </w:p>
        </w:tc>
        <w:tc>
          <w:tcPr>
            <w:tcW w:w="4956" w:type="dxa"/>
            <w:tcBorders>
              <w:top w:val="single" w:sz="4" w:space="0" w:color="auto"/>
              <w:left w:val="single" w:sz="4" w:space="0" w:color="auto"/>
              <w:bottom w:val="single" w:sz="4" w:space="0" w:color="auto"/>
              <w:right w:val="single" w:sz="4" w:space="0" w:color="auto"/>
            </w:tcBorders>
            <w:hideMark/>
          </w:tcPr>
          <w:p w14:paraId="37D4A5B8"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HEIW should work with the PPU to ensure that leadership programmes are in place to support the “threes at the top” of clinical services in health boards and trusts. </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hideMark/>
          </w:tcPr>
          <w:p w14:paraId="73E6531D"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Other National</w:t>
            </w:r>
          </w:p>
        </w:tc>
        <w:tc>
          <w:tcPr>
            <w:tcW w:w="1713" w:type="dxa"/>
            <w:tcBorders>
              <w:top w:val="single" w:sz="4" w:space="0" w:color="auto"/>
              <w:left w:val="single" w:sz="4" w:space="0" w:color="auto"/>
              <w:bottom w:val="single" w:sz="4" w:space="0" w:color="auto"/>
              <w:right w:val="single" w:sz="4" w:space="0" w:color="auto"/>
            </w:tcBorders>
            <w:noWrap/>
            <w:hideMark/>
          </w:tcPr>
          <w:p w14:paraId="660F867B"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6 Months</w:t>
            </w:r>
          </w:p>
        </w:tc>
        <w:tc>
          <w:tcPr>
            <w:tcW w:w="1281"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CA6FBC4"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E7E6E6"/>
            <w:noWrap/>
            <w:hideMark/>
          </w:tcPr>
          <w:p w14:paraId="2D157B4D" w14:textId="77777777" w:rsidR="00927641" w:rsidRPr="00927641" w:rsidRDefault="00927641" w:rsidP="00927641">
            <w:pPr>
              <w:spacing w:after="0" w:line="240" w:lineRule="auto"/>
              <w:jc w:val="center"/>
              <w:rPr>
                <w:rFonts w:ascii="Times New Roman" w:eastAsia="Times New Roman" w:hAnsi="Times New Roman" w:cs="Times New Roman"/>
                <w:sz w:val="20"/>
                <w:szCs w:val="20"/>
                <w:lang w:eastAsia="en-GB"/>
              </w:rPr>
            </w:pPr>
          </w:p>
        </w:tc>
      </w:tr>
      <w:tr w:rsidR="00927641" w:rsidRPr="00927641" w14:paraId="5AB9F03A" w14:textId="77777777" w:rsidTr="00365BD1">
        <w:trPr>
          <w:trHeight w:val="1521"/>
        </w:trPr>
        <w:tc>
          <w:tcPr>
            <w:tcW w:w="2511" w:type="dxa"/>
            <w:tcBorders>
              <w:top w:val="single" w:sz="4" w:space="0" w:color="auto"/>
              <w:left w:val="single" w:sz="4" w:space="0" w:color="auto"/>
              <w:bottom w:val="single" w:sz="4" w:space="0" w:color="auto"/>
              <w:right w:val="single" w:sz="4" w:space="0" w:color="auto"/>
            </w:tcBorders>
            <w:noWrap/>
            <w:hideMark/>
          </w:tcPr>
          <w:p w14:paraId="1558AA6A"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Digital and data</w:t>
            </w:r>
          </w:p>
        </w:tc>
        <w:tc>
          <w:tcPr>
            <w:tcW w:w="607" w:type="dxa"/>
            <w:tcBorders>
              <w:top w:val="single" w:sz="4" w:space="0" w:color="auto"/>
              <w:left w:val="single" w:sz="4" w:space="0" w:color="auto"/>
              <w:bottom w:val="single" w:sz="4" w:space="0" w:color="auto"/>
              <w:right w:val="single" w:sz="4" w:space="0" w:color="auto"/>
            </w:tcBorders>
            <w:noWrap/>
            <w:hideMark/>
          </w:tcPr>
          <w:p w14:paraId="058E5FEE"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25</w:t>
            </w:r>
          </w:p>
        </w:tc>
        <w:tc>
          <w:tcPr>
            <w:tcW w:w="4956" w:type="dxa"/>
            <w:tcBorders>
              <w:top w:val="single" w:sz="4" w:space="0" w:color="auto"/>
              <w:left w:val="single" w:sz="4" w:space="0" w:color="auto"/>
              <w:bottom w:val="single" w:sz="4" w:space="0" w:color="auto"/>
              <w:right w:val="single" w:sz="4" w:space="0" w:color="auto"/>
            </w:tcBorders>
            <w:hideMark/>
          </w:tcPr>
          <w:p w14:paraId="4202E283"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NHS Wales should commission from DHCW a comprehensive roadmap for Missions 2 and 3 of its Organisational Strategy over 24-month period, published in 6 months. No health board or trust should move forward with any EMR or App development until roadmap established. Full consideration should be given to aligning the NHS Wales App with the NHS England App. </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hideMark/>
          </w:tcPr>
          <w:p w14:paraId="03B88626"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Other National</w:t>
            </w:r>
          </w:p>
        </w:tc>
        <w:tc>
          <w:tcPr>
            <w:tcW w:w="1713" w:type="dxa"/>
            <w:tcBorders>
              <w:top w:val="single" w:sz="4" w:space="0" w:color="auto"/>
              <w:left w:val="single" w:sz="4" w:space="0" w:color="auto"/>
              <w:bottom w:val="single" w:sz="4" w:space="0" w:color="auto"/>
              <w:right w:val="single" w:sz="4" w:space="0" w:color="auto"/>
            </w:tcBorders>
            <w:noWrap/>
            <w:hideMark/>
          </w:tcPr>
          <w:p w14:paraId="58FF0904"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6 Months</w:t>
            </w:r>
          </w:p>
        </w:tc>
        <w:tc>
          <w:tcPr>
            <w:tcW w:w="1281"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4B09B48C"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E7E6E6"/>
            <w:noWrap/>
            <w:hideMark/>
          </w:tcPr>
          <w:p w14:paraId="4E602D62" w14:textId="77777777" w:rsidR="00927641" w:rsidRPr="00927641" w:rsidRDefault="00927641" w:rsidP="00927641">
            <w:pPr>
              <w:spacing w:after="0" w:line="240" w:lineRule="auto"/>
              <w:jc w:val="center"/>
              <w:rPr>
                <w:rFonts w:ascii="Times New Roman" w:eastAsia="Times New Roman" w:hAnsi="Times New Roman" w:cs="Times New Roman"/>
                <w:sz w:val="20"/>
                <w:szCs w:val="20"/>
                <w:lang w:eastAsia="en-GB"/>
              </w:rPr>
            </w:pPr>
          </w:p>
        </w:tc>
      </w:tr>
      <w:tr w:rsidR="00927641" w:rsidRPr="00927641" w14:paraId="3F0FBBC1" w14:textId="77777777" w:rsidTr="00365BD1">
        <w:trPr>
          <w:trHeight w:val="1009"/>
        </w:trPr>
        <w:tc>
          <w:tcPr>
            <w:tcW w:w="2511" w:type="dxa"/>
            <w:tcBorders>
              <w:top w:val="single" w:sz="4" w:space="0" w:color="auto"/>
              <w:left w:val="single" w:sz="4" w:space="0" w:color="auto"/>
              <w:bottom w:val="single" w:sz="4" w:space="0" w:color="auto"/>
              <w:right w:val="single" w:sz="4" w:space="0" w:color="auto"/>
            </w:tcBorders>
            <w:noWrap/>
            <w:hideMark/>
          </w:tcPr>
          <w:p w14:paraId="2A41C2EE"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lastRenderedPageBreak/>
              <w:t>Digital and data</w:t>
            </w:r>
          </w:p>
        </w:tc>
        <w:tc>
          <w:tcPr>
            <w:tcW w:w="607" w:type="dxa"/>
            <w:tcBorders>
              <w:top w:val="single" w:sz="4" w:space="0" w:color="auto"/>
              <w:left w:val="single" w:sz="4" w:space="0" w:color="auto"/>
              <w:bottom w:val="single" w:sz="4" w:space="0" w:color="auto"/>
              <w:right w:val="single" w:sz="4" w:space="0" w:color="auto"/>
            </w:tcBorders>
            <w:noWrap/>
            <w:hideMark/>
          </w:tcPr>
          <w:p w14:paraId="37DFE07B" w14:textId="77777777" w:rsidR="00927641" w:rsidRPr="00927641" w:rsidRDefault="00927641" w:rsidP="00927641">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26</w:t>
            </w:r>
          </w:p>
        </w:tc>
        <w:tc>
          <w:tcPr>
            <w:tcW w:w="4956" w:type="dxa"/>
            <w:tcBorders>
              <w:top w:val="single" w:sz="4" w:space="0" w:color="auto"/>
              <w:left w:val="single" w:sz="4" w:space="0" w:color="auto"/>
              <w:bottom w:val="single" w:sz="4" w:space="0" w:color="auto"/>
              <w:right w:val="single" w:sz="4" w:space="0" w:color="auto"/>
            </w:tcBorders>
            <w:hideMark/>
          </w:tcPr>
          <w:p w14:paraId="22B3951E" w14:textId="77777777" w:rsidR="00927641" w:rsidRPr="00927641" w:rsidRDefault="00927641" w:rsidP="00927641">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The Cabinet Secretary should work with Ministerial colleagues to address Wales’ data sharing policy and associated framework position with a view to accelerating the incorporation of datasets into the National Data Resource. </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hideMark/>
          </w:tcPr>
          <w:p w14:paraId="5E6C6FD8"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Welsh Government</w:t>
            </w:r>
          </w:p>
        </w:tc>
        <w:tc>
          <w:tcPr>
            <w:tcW w:w="1713" w:type="dxa"/>
            <w:tcBorders>
              <w:top w:val="single" w:sz="4" w:space="0" w:color="auto"/>
              <w:left w:val="single" w:sz="4" w:space="0" w:color="auto"/>
              <w:bottom w:val="single" w:sz="4" w:space="0" w:color="auto"/>
              <w:right w:val="single" w:sz="4" w:space="0" w:color="auto"/>
            </w:tcBorders>
            <w:noWrap/>
            <w:hideMark/>
          </w:tcPr>
          <w:p w14:paraId="010BAA68"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12 Months</w:t>
            </w:r>
          </w:p>
        </w:tc>
        <w:tc>
          <w:tcPr>
            <w:tcW w:w="1281"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79511B4" w14:textId="77777777" w:rsidR="00927641" w:rsidRPr="00927641" w:rsidRDefault="00927641" w:rsidP="00927641">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shd w:val="clear" w:color="000000" w:fill="E7E6E6"/>
            <w:noWrap/>
            <w:hideMark/>
          </w:tcPr>
          <w:p w14:paraId="6CD4E986" w14:textId="77777777" w:rsidR="00927641" w:rsidRPr="00927641" w:rsidRDefault="00927641" w:rsidP="00927641">
            <w:pPr>
              <w:spacing w:after="0" w:line="240" w:lineRule="auto"/>
              <w:rPr>
                <w:rFonts w:ascii="Times New Roman" w:eastAsia="Times New Roman" w:hAnsi="Times New Roman" w:cs="Times New Roman"/>
                <w:sz w:val="20"/>
                <w:szCs w:val="20"/>
                <w:lang w:eastAsia="en-GB"/>
              </w:rPr>
            </w:pPr>
          </w:p>
        </w:tc>
      </w:tr>
      <w:tr w:rsidR="002C1E3E" w:rsidRPr="00927641" w14:paraId="28B03665" w14:textId="77777777" w:rsidTr="00365BD1">
        <w:trPr>
          <w:trHeight w:val="1882"/>
        </w:trPr>
        <w:tc>
          <w:tcPr>
            <w:tcW w:w="2511" w:type="dxa"/>
            <w:tcBorders>
              <w:top w:val="single" w:sz="4" w:space="0" w:color="auto"/>
              <w:left w:val="single" w:sz="4" w:space="0" w:color="auto"/>
              <w:bottom w:val="single" w:sz="4" w:space="0" w:color="auto"/>
              <w:right w:val="single" w:sz="4" w:space="0" w:color="auto"/>
            </w:tcBorders>
            <w:hideMark/>
          </w:tcPr>
          <w:p w14:paraId="59A2C18A" w14:textId="77777777" w:rsidR="002C1E3E" w:rsidRPr="00927641" w:rsidRDefault="002C1E3E" w:rsidP="002C1E3E">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Measuring productivity</w:t>
            </w:r>
          </w:p>
        </w:tc>
        <w:tc>
          <w:tcPr>
            <w:tcW w:w="607" w:type="dxa"/>
            <w:tcBorders>
              <w:top w:val="single" w:sz="4" w:space="0" w:color="auto"/>
              <w:left w:val="single" w:sz="4" w:space="0" w:color="auto"/>
              <w:bottom w:val="single" w:sz="4" w:space="0" w:color="auto"/>
              <w:right w:val="single" w:sz="4" w:space="0" w:color="auto"/>
            </w:tcBorders>
            <w:noWrap/>
            <w:hideMark/>
          </w:tcPr>
          <w:p w14:paraId="53E7B096" w14:textId="77777777" w:rsidR="002C1E3E" w:rsidRPr="00927641" w:rsidRDefault="002C1E3E" w:rsidP="002C1E3E">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23</w:t>
            </w:r>
          </w:p>
        </w:tc>
        <w:tc>
          <w:tcPr>
            <w:tcW w:w="4956" w:type="dxa"/>
            <w:tcBorders>
              <w:top w:val="single" w:sz="4" w:space="0" w:color="auto"/>
              <w:left w:val="single" w:sz="4" w:space="0" w:color="auto"/>
              <w:bottom w:val="single" w:sz="4" w:space="0" w:color="auto"/>
              <w:right w:val="single" w:sz="4" w:space="0" w:color="auto"/>
            </w:tcBorders>
            <w:hideMark/>
          </w:tcPr>
          <w:p w14:paraId="7A6E4215" w14:textId="77777777" w:rsidR="002C1E3E" w:rsidRPr="00927641" w:rsidRDefault="002C1E3E" w:rsidP="002C1E3E">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From the June health board meeting cycle of the 2025/26 annual year going forward workforce head count, full time equivalent staffing and productivity data should be reported to the monthly public meeting of each Health Board. This should include data on both directly employed and the GMS and other independent contractor workforce. </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hideMark/>
          </w:tcPr>
          <w:p w14:paraId="72EA066E" w14:textId="77777777" w:rsidR="002C1E3E" w:rsidRPr="00927641" w:rsidRDefault="002C1E3E" w:rsidP="002C1E3E">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Health Board</w:t>
            </w:r>
          </w:p>
        </w:tc>
        <w:tc>
          <w:tcPr>
            <w:tcW w:w="1713" w:type="dxa"/>
            <w:tcBorders>
              <w:top w:val="single" w:sz="4" w:space="0" w:color="auto"/>
              <w:left w:val="single" w:sz="4" w:space="0" w:color="auto"/>
              <w:bottom w:val="single" w:sz="4" w:space="0" w:color="auto"/>
              <w:right w:val="single" w:sz="4" w:space="0" w:color="auto"/>
            </w:tcBorders>
            <w:hideMark/>
          </w:tcPr>
          <w:p w14:paraId="17058BE5" w14:textId="77777777" w:rsidR="002C1E3E" w:rsidRPr="00927641" w:rsidRDefault="002C1E3E" w:rsidP="002C1E3E">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 xml:space="preserve">3 Months </w:t>
            </w:r>
          </w:p>
        </w:tc>
        <w:tc>
          <w:tcPr>
            <w:tcW w:w="1281"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AD49340" w14:textId="77777777" w:rsidR="002C1E3E" w:rsidRPr="00927641" w:rsidRDefault="002C1E3E" w:rsidP="002C1E3E">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hideMark/>
          </w:tcPr>
          <w:p w14:paraId="5821EDE4" w14:textId="20F3F14D" w:rsidR="002C1E3E" w:rsidRPr="00927641" w:rsidRDefault="002C1E3E" w:rsidP="002C1E3E">
            <w:pPr>
              <w:spacing w:after="0" w:line="240" w:lineRule="auto"/>
              <w:rPr>
                <w:rFonts w:ascii="Verdana" w:eastAsia="Times New Roman" w:hAnsi="Verdana" w:cs="Calibri"/>
                <w:color w:val="000000"/>
                <w:sz w:val="20"/>
                <w:szCs w:val="20"/>
                <w:lang w:eastAsia="en-GB"/>
              </w:rPr>
            </w:pPr>
            <w:r w:rsidRPr="003B1923">
              <w:rPr>
                <w:rFonts w:ascii="Verdana" w:eastAsia="Times New Roman" w:hAnsi="Verdana" w:cs="Calibri"/>
                <w:color w:val="000000"/>
                <w:sz w:val="20"/>
                <w:szCs w:val="20"/>
                <w:lang w:eastAsia="en-GB"/>
              </w:rPr>
              <w:t>The Workforce and Organisational Development Committee receives information on a bi-monthly basis on vacancies, turnover, PADR and statutory and mandatory training rates plus sickness absence rates.  There are plans to include headcount and wholetime equivalents from December 2025. This information is reported through to Board. This data does not include GMS and independent contractor workforce at this stage. Welsh Government are developing the workforce productivity metrics and we'll incorporate in to our reporting once defined.</w:t>
            </w:r>
          </w:p>
        </w:tc>
      </w:tr>
      <w:tr w:rsidR="002C1E3E" w:rsidRPr="00927641" w14:paraId="1B96ED45" w14:textId="77777777" w:rsidTr="00365BD1">
        <w:trPr>
          <w:trHeight w:val="4383"/>
        </w:trPr>
        <w:tc>
          <w:tcPr>
            <w:tcW w:w="2511" w:type="dxa"/>
            <w:tcBorders>
              <w:top w:val="single" w:sz="4" w:space="0" w:color="auto"/>
              <w:left w:val="single" w:sz="4" w:space="0" w:color="auto"/>
              <w:bottom w:val="single" w:sz="4" w:space="0" w:color="auto"/>
              <w:right w:val="single" w:sz="4" w:space="0" w:color="auto"/>
            </w:tcBorders>
            <w:hideMark/>
          </w:tcPr>
          <w:p w14:paraId="0B23901E" w14:textId="77777777" w:rsidR="002C1E3E" w:rsidRPr="00927641" w:rsidRDefault="002C1E3E" w:rsidP="002C1E3E">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The regions and capital as levers for change</w:t>
            </w:r>
          </w:p>
        </w:tc>
        <w:tc>
          <w:tcPr>
            <w:tcW w:w="607" w:type="dxa"/>
            <w:tcBorders>
              <w:top w:val="single" w:sz="4" w:space="0" w:color="auto"/>
              <w:left w:val="single" w:sz="4" w:space="0" w:color="auto"/>
              <w:bottom w:val="single" w:sz="4" w:space="0" w:color="auto"/>
              <w:right w:val="single" w:sz="4" w:space="0" w:color="auto"/>
            </w:tcBorders>
            <w:noWrap/>
            <w:hideMark/>
          </w:tcPr>
          <w:p w14:paraId="6E5C970D" w14:textId="77777777" w:rsidR="002C1E3E" w:rsidRPr="00927641" w:rsidRDefault="002C1E3E" w:rsidP="002C1E3E">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27</w:t>
            </w:r>
          </w:p>
        </w:tc>
        <w:tc>
          <w:tcPr>
            <w:tcW w:w="4956" w:type="dxa"/>
            <w:tcBorders>
              <w:top w:val="single" w:sz="4" w:space="0" w:color="auto"/>
              <w:left w:val="single" w:sz="4" w:space="0" w:color="auto"/>
              <w:bottom w:val="single" w:sz="4" w:space="0" w:color="auto"/>
              <w:right w:val="single" w:sz="4" w:space="0" w:color="auto"/>
            </w:tcBorders>
            <w:hideMark/>
          </w:tcPr>
          <w:p w14:paraId="711BCADA" w14:textId="77777777" w:rsidR="002C1E3E" w:rsidRPr="00927641" w:rsidRDefault="002C1E3E" w:rsidP="002C1E3E">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 xml:space="preserve">In addition to pathology and endoscopy (see Recommendations 6 and 7), health boards within each region should work together to identify two priority fragile services to be addressed in 2025/26 and thereafter a further two on an annual basis. To facilitate this work, resources and support should be provided by the PPU as required. </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hideMark/>
          </w:tcPr>
          <w:p w14:paraId="5241F439" w14:textId="77777777" w:rsidR="002C1E3E" w:rsidRPr="00927641" w:rsidRDefault="002C1E3E" w:rsidP="002C1E3E">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Regions</w:t>
            </w:r>
          </w:p>
        </w:tc>
        <w:tc>
          <w:tcPr>
            <w:tcW w:w="1713" w:type="dxa"/>
            <w:tcBorders>
              <w:top w:val="single" w:sz="4" w:space="0" w:color="auto"/>
              <w:left w:val="single" w:sz="4" w:space="0" w:color="auto"/>
              <w:bottom w:val="single" w:sz="4" w:space="0" w:color="auto"/>
              <w:right w:val="single" w:sz="4" w:space="0" w:color="auto"/>
            </w:tcBorders>
            <w:noWrap/>
            <w:hideMark/>
          </w:tcPr>
          <w:p w14:paraId="4742FF41" w14:textId="77777777" w:rsidR="002C1E3E" w:rsidRPr="00927641" w:rsidRDefault="002C1E3E" w:rsidP="002C1E3E">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12 Months</w:t>
            </w:r>
          </w:p>
        </w:tc>
        <w:tc>
          <w:tcPr>
            <w:tcW w:w="128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0474491" w14:textId="77777777" w:rsidR="002C1E3E" w:rsidRPr="00927641" w:rsidRDefault="002C1E3E" w:rsidP="002C1E3E">
            <w:pPr>
              <w:spacing w:after="0" w:line="240" w:lineRule="auto"/>
              <w:jc w:val="center"/>
              <w:rPr>
                <w:rFonts w:ascii="Verdana" w:eastAsia="Times New Roman" w:hAnsi="Verdana" w:cs="Calibri"/>
                <w:color w:val="000000"/>
                <w:sz w:val="20"/>
                <w:szCs w:val="20"/>
                <w:lang w:eastAsia="en-GB"/>
              </w:rPr>
            </w:pPr>
          </w:p>
        </w:tc>
        <w:tc>
          <w:tcPr>
            <w:tcW w:w="7693" w:type="dxa"/>
            <w:tcBorders>
              <w:top w:val="single" w:sz="4" w:space="0" w:color="auto"/>
              <w:left w:val="single" w:sz="4" w:space="0" w:color="auto"/>
              <w:bottom w:val="single" w:sz="4" w:space="0" w:color="auto"/>
              <w:right w:val="single" w:sz="4" w:space="0" w:color="auto"/>
            </w:tcBorders>
            <w:hideMark/>
          </w:tcPr>
          <w:p w14:paraId="791E545A" w14:textId="74845647" w:rsidR="002C1E3E" w:rsidRPr="00927641" w:rsidRDefault="002C1E3E" w:rsidP="002C1E3E">
            <w:pPr>
              <w:spacing w:after="0" w:line="240" w:lineRule="auto"/>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During 2025/25 is the South West Wales region is focusing on:</w:t>
            </w:r>
            <w:r w:rsidRPr="00927641">
              <w:rPr>
                <w:rFonts w:ascii="Verdana" w:eastAsia="Times New Roman" w:hAnsi="Verdana" w:cs="Calibri"/>
                <w:color w:val="000000"/>
                <w:sz w:val="20"/>
                <w:szCs w:val="20"/>
                <w:lang w:eastAsia="en-GB"/>
              </w:rPr>
              <w:br/>
              <w:t>- Orthopaedics</w:t>
            </w:r>
            <w:r w:rsidRPr="00927641">
              <w:rPr>
                <w:rFonts w:ascii="Verdana" w:eastAsia="Times New Roman" w:hAnsi="Verdana" w:cs="Calibri"/>
                <w:color w:val="000000"/>
                <w:sz w:val="20"/>
                <w:szCs w:val="20"/>
                <w:lang w:eastAsia="en-GB"/>
              </w:rPr>
              <w:br/>
              <w:t>- Eye Care</w:t>
            </w:r>
            <w:r w:rsidRPr="00927641">
              <w:rPr>
                <w:rFonts w:ascii="Verdana" w:eastAsia="Times New Roman" w:hAnsi="Verdana" w:cs="Calibri"/>
                <w:color w:val="000000"/>
                <w:sz w:val="20"/>
                <w:szCs w:val="20"/>
                <w:lang w:eastAsia="en-GB"/>
              </w:rPr>
              <w:br/>
              <w:t>- Pathology</w:t>
            </w:r>
            <w:r w:rsidRPr="00927641">
              <w:rPr>
                <w:rFonts w:ascii="Verdana" w:eastAsia="Times New Roman" w:hAnsi="Verdana" w:cs="Calibri"/>
                <w:color w:val="000000"/>
                <w:sz w:val="20"/>
                <w:szCs w:val="20"/>
                <w:lang w:eastAsia="en-GB"/>
              </w:rPr>
              <w:br/>
              <w:t>- UEC</w:t>
            </w:r>
            <w:r w:rsidRPr="00927641">
              <w:rPr>
                <w:rFonts w:ascii="Verdana" w:eastAsia="Times New Roman" w:hAnsi="Verdana" w:cs="Calibri"/>
                <w:color w:val="000000"/>
                <w:sz w:val="20"/>
                <w:szCs w:val="20"/>
                <w:lang w:eastAsia="en-GB"/>
              </w:rPr>
              <w:br/>
              <w:t>- Cancer</w:t>
            </w:r>
            <w:r w:rsidRPr="00927641">
              <w:rPr>
                <w:rFonts w:ascii="Verdana" w:eastAsia="Times New Roman" w:hAnsi="Verdana" w:cs="Calibri"/>
                <w:color w:val="000000"/>
                <w:sz w:val="20"/>
                <w:szCs w:val="20"/>
                <w:lang w:eastAsia="en-GB"/>
              </w:rPr>
              <w:br/>
              <w:t>- Stroke</w:t>
            </w:r>
            <w:r w:rsidRPr="00927641">
              <w:rPr>
                <w:rFonts w:ascii="Verdana" w:eastAsia="Times New Roman" w:hAnsi="Verdana" w:cs="Calibri"/>
                <w:color w:val="000000"/>
                <w:sz w:val="20"/>
                <w:szCs w:val="20"/>
                <w:lang w:eastAsia="en-GB"/>
              </w:rPr>
              <w:br/>
              <w:t>- Vascular</w:t>
            </w:r>
            <w:r w:rsidRPr="00927641">
              <w:rPr>
                <w:rFonts w:ascii="Verdana" w:eastAsia="Times New Roman" w:hAnsi="Verdana" w:cs="Calibri"/>
                <w:color w:val="000000"/>
                <w:sz w:val="20"/>
                <w:szCs w:val="20"/>
                <w:lang w:eastAsia="en-GB"/>
              </w:rPr>
              <w:br/>
              <w:t>- Non NWJCC specialised services commissioning</w:t>
            </w:r>
            <w:r w:rsidRPr="00927641">
              <w:rPr>
                <w:rFonts w:ascii="Verdana" w:eastAsia="Times New Roman" w:hAnsi="Verdana" w:cs="Calibri"/>
                <w:color w:val="000000"/>
                <w:sz w:val="20"/>
                <w:szCs w:val="20"/>
                <w:lang w:eastAsia="en-GB"/>
              </w:rPr>
              <w:br/>
              <w:t>- General Surgery</w:t>
            </w:r>
            <w:r w:rsidRPr="00927641">
              <w:rPr>
                <w:rFonts w:ascii="Verdana" w:eastAsia="Times New Roman" w:hAnsi="Verdana" w:cs="Calibri"/>
                <w:color w:val="000000"/>
                <w:sz w:val="20"/>
                <w:szCs w:val="20"/>
                <w:lang w:eastAsia="en-GB"/>
              </w:rPr>
              <w:br/>
            </w:r>
            <w:r w:rsidRPr="00927641">
              <w:rPr>
                <w:rFonts w:ascii="Verdana" w:eastAsia="Times New Roman" w:hAnsi="Verdana" w:cs="Calibri"/>
                <w:color w:val="000000"/>
                <w:sz w:val="20"/>
                <w:szCs w:val="20"/>
                <w:lang w:eastAsia="en-GB"/>
              </w:rPr>
              <w:br/>
              <w:t>These programmes will continue to develop and deliver in to 2026/27.  Other fragile services may be added to the extensive regional programme as a result of the Clinical Services Planning, and service reviews.</w:t>
            </w:r>
            <w:r w:rsidRPr="00927641">
              <w:rPr>
                <w:rFonts w:ascii="Verdana" w:eastAsia="Times New Roman" w:hAnsi="Verdana" w:cs="Calibri"/>
                <w:color w:val="000000"/>
                <w:sz w:val="20"/>
                <w:szCs w:val="20"/>
                <w:lang w:eastAsia="en-GB"/>
              </w:rPr>
              <w:br/>
              <w:t>The SWW region is exploring opportunities for accessing resources and support from NHS Performance and Improvement.</w:t>
            </w:r>
          </w:p>
        </w:tc>
      </w:tr>
      <w:tr w:rsidR="002C1E3E" w:rsidRPr="00927641" w14:paraId="3D4F835F" w14:textId="77777777" w:rsidTr="00365BD1">
        <w:trPr>
          <w:trHeight w:val="1009"/>
        </w:trPr>
        <w:tc>
          <w:tcPr>
            <w:tcW w:w="2511" w:type="dxa"/>
            <w:tcBorders>
              <w:top w:val="single" w:sz="4" w:space="0" w:color="auto"/>
              <w:left w:val="single" w:sz="4" w:space="0" w:color="auto"/>
              <w:bottom w:val="single" w:sz="4" w:space="0" w:color="auto"/>
              <w:right w:val="single" w:sz="4" w:space="0" w:color="auto"/>
            </w:tcBorders>
            <w:hideMark/>
          </w:tcPr>
          <w:p w14:paraId="08192B30" w14:textId="77777777" w:rsidR="002C1E3E" w:rsidRPr="00927641" w:rsidRDefault="002C1E3E" w:rsidP="002C1E3E">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The regions and capital as levers for change</w:t>
            </w:r>
          </w:p>
        </w:tc>
        <w:tc>
          <w:tcPr>
            <w:tcW w:w="607" w:type="dxa"/>
            <w:tcBorders>
              <w:top w:val="single" w:sz="4" w:space="0" w:color="auto"/>
              <w:left w:val="single" w:sz="4" w:space="0" w:color="auto"/>
              <w:bottom w:val="single" w:sz="4" w:space="0" w:color="auto"/>
              <w:right w:val="single" w:sz="4" w:space="0" w:color="auto"/>
            </w:tcBorders>
            <w:noWrap/>
            <w:hideMark/>
          </w:tcPr>
          <w:p w14:paraId="489A8FFA" w14:textId="77777777" w:rsidR="002C1E3E" w:rsidRPr="00927641" w:rsidRDefault="002C1E3E" w:rsidP="002C1E3E">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28</w:t>
            </w:r>
          </w:p>
        </w:tc>
        <w:tc>
          <w:tcPr>
            <w:tcW w:w="4956" w:type="dxa"/>
            <w:tcBorders>
              <w:top w:val="single" w:sz="4" w:space="0" w:color="auto"/>
              <w:left w:val="single" w:sz="4" w:space="0" w:color="auto"/>
              <w:bottom w:val="single" w:sz="4" w:space="0" w:color="auto"/>
              <w:right w:val="single" w:sz="4" w:space="0" w:color="auto"/>
            </w:tcBorders>
            <w:hideMark/>
          </w:tcPr>
          <w:p w14:paraId="6C9244DB" w14:textId="77777777" w:rsidR="002C1E3E" w:rsidRPr="00927641" w:rsidRDefault="002C1E3E" w:rsidP="002C1E3E">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It is recommended that the health budget capital allocation is uplifted on an ongoing annual basis and is aligned to the annual planning and prioritisation process. Timescale – within 12 months.</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hideMark/>
          </w:tcPr>
          <w:p w14:paraId="426879FF" w14:textId="77777777" w:rsidR="002C1E3E" w:rsidRPr="00927641" w:rsidRDefault="002C1E3E" w:rsidP="002C1E3E">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Welsh Government</w:t>
            </w:r>
          </w:p>
        </w:tc>
        <w:tc>
          <w:tcPr>
            <w:tcW w:w="1713" w:type="dxa"/>
            <w:tcBorders>
              <w:top w:val="single" w:sz="4" w:space="0" w:color="auto"/>
              <w:left w:val="single" w:sz="4" w:space="0" w:color="auto"/>
              <w:bottom w:val="single" w:sz="4" w:space="0" w:color="auto"/>
              <w:right w:val="single" w:sz="4" w:space="0" w:color="auto"/>
            </w:tcBorders>
            <w:noWrap/>
            <w:hideMark/>
          </w:tcPr>
          <w:p w14:paraId="3D1D0FF7" w14:textId="77777777" w:rsidR="002C1E3E" w:rsidRPr="00927641" w:rsidRDefault="002C1E3E" w:rsidP="002C1E3E">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12 Months</w:t>
            </w:r>
          </w:p>
        </w:tc>
        <w:tc>
          <w:tcPr>
            <w:tcW w:w="1281" w:type="dxa"/>
            <w:tcBorders>
              <w:top w:val="single" w:sz="4" w:space="0" w:color="auto"/>
              <w:left w:val="single" w:sz="4" w:space="0" w:color="auto"/>
              <w:bottom w:val="single" w:sz="4" w:space="0" w:color="auto"/>
              <w:right w:val="single" w:sz="4" w:space="0" w:color="auto"/>
            </w:tcBorders>
            <w:shd w:val="clear" w:color="000000" w:fill="92D050"/>
            <w:noWrap/>
            <w:hideMark/>
          </w:tcPr>
          <w:p w14:paraId="1EFA58E4" w14:textId="77777777" w:rsidR="002C1E3E" w:rsidRPr="00927641" w:rsidRDefault="002C1E3E" w:rsidP="002C1E3E">
            <w:pPr>
              <w:spacing w:after="0" w:line="240" w:lineRule="auto"/>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Complete</w:t>
            </w:r>
          </w:p>
        </w:tc>
        <w:tc>
          <w:tcPr>
            <w:tcW w:w="7693" w:type="dxa"/>
            <w:tcBorders>
              <w:top w:val="single" w:sz="4" w:space="0" w:color="auto"/>
              <w:left w:val="single" w:sz="4" w:space="0" w:color="auto"/>
              <w:bottom w:val="single" w:sz="4" w:space="0" w:color="auto"/>
              <w:right w:val="single" w:sz="4" w:space="0" w:color="auto"/>
            </w:tcBorders>
            <w:shd w:val="clear" w:color="000000" w:fill="92D050"/>
            <w:noWrap/>
            <w:hideMark/>
          </w:tcPr>
          <w:p w14:paraId="0530D45C" w14:textId="77777777" w:rsidR="002C1E3E" w:rsidRPr="00927641" w:rsidRDefault="002C1E3E" w:rsidP="002C1E3E">
            <w:pPr>
              <w:spacing w:after="0" w:line="240" w:lineRule="auto"/>
              <w:rPr>
                <w:rFonts w:ascii="Verdana" w:eastAsia="Times New Roman" w:hAnsi="Verdana" w:cs="Calibri"/>
                <w:color w:val="000000"/>
                <w:sz w:val="20"/>
                <w:szCs w:val="20"/>
                <w:lang w:eastAsia="en-GB"/>
              </w:rPr>
            </w:pPr>
          </w:p>
        </w:tc>
      </w:tr>
      <w:tr w:rsidR="002C1E3E" w:rsidRPr="00927641" w14:paraId="5FBC8466" w14:textId="77777777" w:rsidTr="00365BD1">
        <w:trPr>
          <w:trHeight w:val="1310"/>
        </w:trPr>
        <w:tc>
          <w:tcPr>
            <w:tcW w:w="2511" w:type="dxa"/>
            <w:tcBorders>
              <w:top w:val="single" w:sz="4" w:space="0" w:color="auto"/>
              <w:left w:val="single" w:sz="4" w:space="0" w:color="auto"/>
              <w:bottom w:val="single" w:sz="4" w:space="0" w:color="auto"/>
              <w:right w:val="single" w:sz="4" w:space="0" w:color="auto"/>
            </w:tcBorders>
            <w:hideMark/>
          </w:tcPr>
          <w:p w14:paraId="2E6FA4F6" w14:textId="77777777" w:rsidR="002C1E3E" w:rsidRPr="00927641" w:rsidRDefault="002C1E3E" w:rsidP="002C1E3E">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The regions and capital as levers for change</w:t>
            </w:r>
          </w:p>
        </w:tc>
        <w:tc>
          <w:tcPr>
            <w:tcW w:w="607" w:type="dxa"/>
            <w:tcBorders>
              <w:top w:val="single" w:sz="4" w:space="0" w:color="auto"/>
              <w:left w:val="single" w:sz="4" w:space="0" w:color="auto"/>
              <w:bottom w:val="single" w:sz="4" w:space="0" w:color="auto"/>
              <w:right w:val="single" w:sz="4" w:space="0" w:color="auto"/>
            </w:tcBorders>
            <w:noWrap/>
            <w:hideMark/>
          </w:tcPr>
          <w:p w14:paraId="0C1835DB" w14:textId="77777777" w:rsidR="002C1E3E" w:rsidRPr="00927641" w:rsidRDefault="002C1E3E" w:rsidP="002C1E3E">
            <w:pPr>
              <w:spacing w:after="0" w:line="240" w:lineRule="auto"/>
              <w:jc w:val="center"/>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29</w:t>
            </w:r>
          </w:p>
        </w:tc>
        <w:tc>
          <w:tcPr>
            <w:tcW w:w="4956" w:type="dxa"/>
            <w:tcBorders>
              <w:top w:val="single" w:sz="4" w:space="0" w:color="auto"/>
              <w:left w:val="single" w:sz="4" w:space="0" w:color="auto"/>
              <w:bottom w:val="single" w:sz="4" w:space="0" w:color="auto"/>
              <w:right w:val="single" w:sz="4" w:space="0" w:color="auto"/>
            </w:tcBorders>
            <w:hideMark/>
          </w:tcPr>
          <w:p w14:paraId="17D6C6C9" w14:textId="77777777" w:rsidR="002C1E3E" w:rsidRPr="00927641" w:rsidRDefault="002C1E3E" w:rsidP="002C1E3E">
            <w:pPr>
              <w:spacing w:after="0" w:line="240" w:lineRule="auto"/>
              <w:rPr>
                <w:rFonts w:ascii="Verdana" w:eastAsia="Times New Roman" w:hAnsi="Verdana" w:cs="Calibri"/>
                <w:b/>
                <w:bCs/>
                <w:color w:val="000000"/>
                <w:sz w:val="20"/>
                <w:szCs w:val="20"/>
                <w:lang w:eastAsia="en-GB"/>
              </w:rPr>
            </w:pPr>
            <w:r w:rsidRPr="00927641">
              <w:rPr>
                <w:rFonts w:ascii="Verdana" w:eastAsia="Times New Roman" w:hAnsi="Verdana" w:cs="Calibri"/>
                <w:b/>
                <w:bCs/>
                <w:color w:val="000000"/>
                <w:sz w:val="20"/>
                <w:szCs w:val="20"/>
                <w:lang w:eastAsia="en-GB"/>
              </w:rPr>
              <w:t>Reliance on routine capital will not fully meet the capital requirements of service modernisation and transformation across NHS Wales. Welsh Government should conduct a review of preferred options for generating non-exchequer capital for the Cabinet Secretary to consider ahead of 2026/27 capital round. Timescale – within 9 months.</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hideMark/>
          </w:tcPr>
          <w:p w14:paraId="2594D7A6" w14:textId="77777777" w:rsidR="002C1E3E" w:rsidRPr="00927641" w:rsidRDefault="002C1E3E" w:rsidP="002C1E3E">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Welsh Government</w:t>
            </w:r>
          </w:p>
        </w:tc>
        <w:tc>
          <w:tcPr>
            <w:tcW w:w="1713" w:type="dxa"/>
            <w:tcBorders>
              <w:top w:val="single" w:sz="4" w:space="0" w:color="auto"/>
              <w:left w:val="single" w:sz="4" w:space="0" w:color="auto"/>
              <w:bottom w:val="single" w:sz="4" w:space="0" w:color="auto"/>
              <w:right w:val="single" w:sz="4" w:space="0" w:color="auto"/>
            </w:tcBorders>
            <w:noWrap/>
            <w:hideMark/>
          </w:tcPr>
          <w:p w14:paraId="5A21D1D8" w14:textId="77777777" w:rsidR="002C1E3E" w:rsidRPr="00927641" w:rsidRDefault="002C1E3E" w:rsidP="002C1E3E">
            <w:pPr>
              <w:spacing w:after="0" w:line="240" w:lineRule="auto"/>
              <w:jc w:val="center"/>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9 Months</w:t>
            </w:r>
          </w:p>
        </w:tc>
        <w:tc>
          <w:tcPr>
            <w:tcW w:w="1281" w:type="dxa"/>
            <w:tcBorders>
              <w:top w:val="single" w:sz="4" w:space="0" w:color="auto"/>
              <w:left w:val="single" w:sz="4" w:space="0" w:color="auto"/>
              <w:bottom w:val="single" w:sz="4" w:space="0" w:color="auto"/>
              <w:right w:val="single" w:sz="4" w:space="0" w:color="auto"/>
            </w:tcBorders>
            <w:shd w:val="clear" w:color="000000" w:fill="92D050"/>
            <w:noWrap/>
            <w:hideMark/>
          </w:tcPr>
          <w:p w14:paraId="5E7C43CD" w14:textId="77777777" w:rsidR="002C1E3E" w:rsidRPr="00927641" w:rsidRDefault="002C1E3E" w:rsidP="002C1E3E">
            <w:pPr>
              <w:spacing w:after="0" w:line="240" w:lineRule="auto"/>
              <w:rPr>
                <w:rFonts w:ascii="Verdana" w:eastAsia="Times New Roman" w:hAnsi="Verdana" w:cs="Calibri"/>
                <w:color w:val="000000"/>
                <w:sz w:val="20"/>
                <w:szCs w:val="20"/>
                <w:lang w:eastAsia="en-GB"/>
              </w:rPr>
            </w:pPr>
            <w:r w:rsidRPr="00927641">
              <w:rPr>
                <w:rFonts w:ascii="Verdana" w:eastAsia="Times New Roman" w:hAnsi="Verdana" w:cs="Calibri"/>
                <w:color w:val="000000"/>
                <w:sz w:val="20"/>
                <w:szCs w:val="20"/>
                <w:lang w:eastAsia="en-GB"/>
              </w:rPr>
              <w:t>Complete</w:t>
            </w:r>
          </w:p>
        </w:tc>
        <w:tc>
          <w:tcPr>
            <w:tcW w:w="7693" w:type="dxa"/>
            <w:tcBorders>
              <w:top w:val="single" w:sz="4" w:space="0" w:color="auto"/>
              <w:left w:val="single" w:sz="4" w:space="0" w:color="auto"/>
              <w:bottom w:val="single" w:sz="4" w:space="0" w:color="auto"/>
              <w:right w:val="single" w:sz="4" w:space="0" w:color="auto"/>
            </w:tcBorders>
            <w:shd w:val="clear" w:color="000000" w:fill="92D050"/>
            <w:noWrap/>
            <w:hideMark/>
          </w:tcPr>
          <w:p w14:paraId="604204BC" w14:textId="77777777" w:rsidR="002C1E3E" w:rsidRPr="00927641" w:rsidRDefault="002C1E3E" w:rsidP="002C1E3E">
            <w:pPr>
              <w:spacing w:after="0" w:line="240" w:lineRule="auto"/>
              <w:rPr>
                <w:rFonts w:ascii="Verdana" w:eastAsia="Times New Roman" w:hAnsi="Verdana" w:cs="Calibri"/>
                <w:color w:val="000000"/>
                <w:sz w:val="20"/>
                <w:szCs w:val="20"/>
                <w:lang w:eastAsia="en-GB"/>
              </w:rPr>
            </w:pPr>
          </w:p>
        </w:tc>
      </w:tr>
    </w:tbl>
    <w:p w14:paraId="2BCF7F66" w14:textId="77777777" w:rsidR="00927641" w:rsidRDefault="00927641"/>
    <w:sectPr w:rsidR="00927641" w:rsidSect="00365BD1">
      <w:headerReference w:type="default" r:id="rId9"/>
      <w:pgSz w:w="23811" w:h="16838" w:orient="landscape" w:code="8"/>
      <w:pgMar w:top="213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EF510" w14:textId="77777777" w:rsidR="00116EDC" w:rsidRDefault="00116EDC" w:rsidP="00927641">
      <w:pPr>
        <w:spacing w:after="0" w:line="240" w:lineRule="auto"/>
      </w:pPr>
      <w:r>
        <w:separator/>
      </w:r>
    </w:p>
  </w:endnote>
  <w:endnote w:type="continuationSeparator" w:id="0">
    <w:p w14:paraId="5CA1A325" w14:textId="77777777" w:rsidR="00116EDC" w:rsidRDefault="00116EDC" w:rsidP="00927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C31C4" w14:textId="77777777" w:rsidR="00116EDC" w:rsidRDefault="00116EDC" w:rsidP="00927641">
      <w:pPr>
        <w:spacing w:after="0" w:line="240" w:lineRule="auto"/>
      </w:pPr>
      <w:r>
        <w:separator/>
      </w:r>
    </w:p>
  </w:footnote>
  <w:footnote w:type="continuationSeparator" w:id="0">
    <w:p w14:paraId="779C4C76" w14:textId="77777777" w:rsidR="00116EDC" w:rsidRDefault="00116EDC" w:rsidP="00927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6264" w14:textId="1F36BE34" w:rsidR="00365BD1" w:rsidRPr="00365BD1" w:rsidRDefault="00365BD1">
    <w:pPr>
      <w:pStyle w:val="Header"/>
      <w:rPr>
        <w:sz w:val="40"/>
        <w:szCs w:val="40"/>
      </w:rPr>
    </w:pPr>
    <w:r w:rsidRPr="00365BD1">
      <w:rPr>
        <w:rFonts w:ascii="Verdana" w:eastAsia="Times New Roman" w:hAnsi="Verdana" w:cs="Calibri"/>
        <w:b/>
        <w:bCs/>
        <w:color w:val="000000"/>
        <w:sz w:val="40"/>
        <w:szCs w:val="40"/>
        <w:lang w:eastAsia="en-GB"/>
      </w:rPr>
      <w:t>Swansea Bay University Health Board: Update of progress against Ministerial Advisory Group Recommendations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41"/>
    <w:rsid w:val="00116EDC"/>
    <w:rsid w:val="002C1E3E"/>
    <w:rsid w:val="00365BD1"/>
    <w:rsid w:val="007D1A7F"/>
    <w:rsid w:val="00927641"/>
    <w:rsid w:val="00A013D3"/>
    <w:rsid w:val="00A82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D2552"/>
  <w15:chartTrackingRefBased/>
  <w15:docId w15:val="{FC00EA9F-09AF-4859-BB29-A8686CA8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6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641"/>
  </w:style>
  <w:style w:type="paragraph" w:styleId="Footer">
    <w:name w:val="footer"/>
    <w:basedOn w:val="Normal"/>
    <w:link w:val="FooterChar"/>
    <w:uiPriority w:val="99"/>
    <w:unhideWhenUsed/>
    <w:rsid w:val="009276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163717">
      <w:bodyDiv w:val="1"/>
      <w:marLeft w:val="0"/>
      <w:marRight w:val="0"/>
      <w:marTop w:val="0"/>
      <w:marBottom w:val="0"/>
      <w:divBdr>
        <w:top w:val="none" w:sz="0" w:space="0" w:color="auto"/>
        <w:left w:val="none" w:sz="0" w:space="0" w:color="auto"/>
        <w:bottom w:val="none" w:sz="0" w:space="0" w:color="auto"/>
        <w:right w:val="none" w:sz="0" w:space="0" w:color="auto"/>
      </w:divBdr>
    </w:div>
    <w:div w:id="830145885">
      <w:bodyDiv w:val="1"/>
      <w:marLeft w:val="0"/>
      <w:marRight w:val="0"/>
      <w:marTop w:val="0"/>
      <w:marBottom w:val="0"/>
      <w:divBdr>
        <w:top w:val="none" w:sz="0" w:space="0" w:color="auto"/>
        <w:left w:val="none" w:sz="0" w:space="0" w:color="auto"/>
        <w:bottom w:val="none" w:sz="0" w:space="0" w:color="auto"/>
        <w:right w:val="none" w:sz="0" w:space="0" w:color="auto"/>
      </w:divBdr>
    </w:div>
    <w:div w:id="2063360063">
      <w:bodyDiv w:val="1"/>
      <w:marLeft w:val="0"/>
      <w:marRight w:val="0"/>
      <w:marTop w:val="0"/>
      <w:marBottom w:val="0"/>
      <w:divBdr>
        <w:top w:val="none" w:sz="0" w:space="0" w:color="auto"/>
        <w:left w:val="none" w:sz="0" w:space="0" w:color="auto"/>
        <w:bottom w:val="none" w:sz="0" w:space="0" w:color="auto"/>
        <w:right w:val="none" w:sz="0" w:space="0" w:color="auto"/>
      </w:divBdr>
    </w:div>
    <w:div w:id="210025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B3080A3F-BF06-452C-A9B7-76EAD786B17B}">
  <ds:schemaRefs>
    <ds:schemaRef ds:uri="http://schemas.microsoft.com/sharepoint/v3/contenttype/forms"/>
  </ds:schemaRefs>
</ds:datastoreItem>
</file>

<file path=customXml/itemProps2.xml><?xml version="1.0" encoding="utf-8"?>
<ds:datastoreItem xmlns:ds="http://schemas.openxmlformats.org/officeDocument/2006/customXml" ds:itemID="{0AFCF735-1EB3-4A82-B3F3-BF70C1465EA4}"/>
</file>

<file path=customXml/itemProps3.xml><?xml version="1.0" encoding="utf-8"?>
<ds:datastoreItem xmlns:ds="http://schemas.openxmlformats.org/officeDocument/2006/customXml" ds:itemID="{08F9C1DD-F9AB-4788-8647-21DE36673C59}">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3604</Words>
  <Characters>20544</Characters>
  <Application>Microsoft Office Word</Application>
  <DocSecurity>0</DocSecurity>
  <Lines>171</Lines>
  <Paragraphs>48</Paragraphs>
  <ScaleCrop>false</ScaleCrop>
  <Company/>
  <LinksUpToDate>false</LinksUpToDate>
  <CharactersWithSpaces>24100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Ashleigh OCallaghan (Swansea Bay UHB - Corporate)</dc:creator>
  <cp:keywords/>
  <dc:description/>
  <cp:lastModifiedBy>Ashleigh OCallaghan (Swansea Bay UHB - Corporate)</cp:lastModifiedBy>
  <cp:revision>4</cp:revision>
  <dcterms:created xsi:type="dcterms:W3CDTF">2025-11-14T12:50:00Z</dcterms:created>
  <dcterms:modified xsi:type="dcterms:W3CDTF">2025-11-14T12:53:00Z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5" name="docLang">
    <vt:lpwstr>en</vt:lpwstr>
  </property>
</Properties>
</file>