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39EFE5" w14:textId="33373AD5" w:rsidR="002E5A26" w:rsidRPr="002E5A26" w:rsidRDefault="002E5A26">
      <w:pPr>
        <w:rPr>
          <w:b/>
          <w:bCs/>
        </w:rPr>
      </w:pPr>
      <w:r w:rsidRPr="002E5A26">
        <w:rPr>
          <w:b/>
          <w:bCs/>
        </w:rPr>
        <w:t>RISK MANAGEMENT &amp; ASSURANCE (SBU-2324-01)</w:t>
      </w:r>
    </w:p>
    <w:tbl>
      <w:tblPr>
        <w:tblStyle w:val="TableGrid"/>
        <w:tblW w:w="0" w:type="auto"/>
        <w:tblLook w:val="04A0" w:firstRow="1" w:lastRow="0" w:firstColumn="1" w:lastColumn="0" w:noHBand="0" w:noVBand="1"/>
      </w:tblPr>
      <w:tblGrid>
        <w:gridCol w:w="557"/>
        <w:gridCol w:w="5459"/>
        <w:gridCol w:w="2513"/>
        <w:gridCol w:w="1071"/>
        <w:gridCol w:w="1246"/>
        <w:gridCol w:w="2266"/>
        <w:gridCol w:w="2276"/>
      </w:tblGrid>
      <w:tr w:rsidR="00FC0459" w14:paraId="2B8FE1F4" w14:textId="77777777" w:rsidTr="00FC0459">
        <w:trPr>
          <w:tblHeader/>
        </w:trPr>
        <w:tc>
          <w:tcPr>
            <w:tcW w:w="557" w:type="dxa"/>
            <w:shd w:val="clear" w:color="auto" w:fill="002060"/>
          </w:tcPr>
          <w:p w14:paraId="5578D5B1" w14:textId="02011B9D" w:rsidR="00FC0459" w:rsidRPr="002E5A26" w:rsidRDefault="00FC0459" w:rsidP="002E5A26">
            <w:pPr>
              <w:rPr>
                <w:b/>
                <w:bCs/>
              </w:rPr>
            </w:pPr>
            <w:r w:rsidRPr="002E5A26">
              <w:rPr>
                <w:b/>
                <w:bCs/>
              </w:rPr>
              <w:t>REF</w:t>
            </w:r>
          </w:p>
        </w:tc>
        <w:tc>
          <w:tcPr>
            <w:tcW w:w="5534" w:type="dxa"/>
            <w:shd w:val="clear" w:color="auto" w:fill="002060"/>
          </w:tcPr>
          <w:p w14:paraId="17AABF0B" w14:textId="6BBE4425" w:rsidR="00FC0459" w:rsidRPr="002E5A26" w:rsidRDefault="00FC0459" w:rsidP="002E5A26">
            <w:pPr>
              <w:rPr>
                <w:b/>
                <w:bCs/>
              </w:rPr>
            </w:pPr>
            <w:r>
              <w:rPr>
                <w:b/>
                <w:bCs/>
              </w:rPr>
              <w:t>FINDINGS</w:t>
            </w:r>
          </w:p>
        </w:tc>
        <w:tc>
          <w:tcPr>
            <w:tcW w:w="2522" w:type="dxa"/>
            <w:shd w:val="clear" w:color="auto" w:fill="002060"/>
          </w:tcPr>
          <w:p w14:paraId="0C6FD760" w14:textId="25A26C0B" w:rsidR="00FC0459" w:rsidRPr="002E5A26" w:rsidRDefault="00FC0459" w:rsidP="002E5A26">
            <w:pPr>
              <w:rPr>
                <w:b/>
                <w:bCs/>
              </w:rPr>
            </w:pPr>
            <w:r>
              <w:rPr>
                <w:b/>
                <w:bCs/>
              </w:rPr>
              <w:t>RECOMMENDATION</w:t>
            </w:r>
          </w:p>
        </w:tc>
        <w:tc>
          <w:tcPr>
            <w:tcW w:w="1071" w:type="dxa"/>
            <w:shd w:val="clear" w:color="auto" w:fill="002060"/>
          </w:tcPr>
          <w:p w14:paraId="39A63134" w14:textId="1DAD7910" w:rsidR="00FC0459" w:rsidRPr="002E5A26" w:rsidRDefault="00FC0459" w:rsidP="002E5A26">
            <w:pPr>
              <w:jc w:val="center"/>
              <w:rPr>
                <w:b/>
                <w:bCs/>
              </w:rPr>
            </w:pPr>
            <w:r>
              <w:rPr>
                <w:b/>
                <w:bCs/>
              </w:rPr>
              <w:t>PRIORITY</w:t>
            </w:r>
          </w:p>
        </w:tc>
        <w:tc>
          <w:tcPr>
            <w:tcW w:w="1138" w:type="dxa"/>
            <w:shd w:val="clear" w:color="auto" w:fill="002060"/>
          </w:tcPr>
          <w:p w14:paraId="22869B7B" w14:textId="5D0513CB" w:rsidR="00FC0459" w:rsidRDefault="00FC0459" w:rsidP="00FC0459">
            <w:pPr>
              <w:jc w:val="center"/>
              <w:rPr>
                <w:b/>
                <w:bCs/>
              </w:rPr>
            </w:pPr>
            <w:r>
              <w:rPr>
                <w:b/>
                <w:bCs/>
              </w:rPr>
              <w:t>ORIGINAL DUE DATE</w:t>
            </w:r>
          </w:p>
        </w:tc>
        <w:tc>
          <w:tcPr>
            <w:tcW w:w="2278" w:type="dxa"/>
            <w:shd w:val="clear" w:color="auto" w:fill="002060"/>
          </w:tcPr>
          <w:p w14:paraId="37BA5BA0" w14:textId="72D2F825" w:rsidR="00FC0459" w:rsidRPr="002E5A26" w:rsidRDefault="00FC0459" w:rsidP="002E5A26">
            <w:pPr>
              <w:rPr>
                <w:b/>
                <w:bCs/>
              </w:rPr>
            </w:pPr>
            <w:r>
              <w:rPr>
                <w:b/>
                <w:bCs/>
              </w:rPr>
              <w:t>MANAGEMENT RESPONSE</w:t>
            </w:r>
          </w:p>
        </w:tc>
        <w:tc>
          <w:tcPr>
            <w:tcW w:w="2288" w:type="dxa"/>
            <w:shd w:val="clear" w:color="auto" w:fill="002060"/>
          </w:tcPr>
          <w:p w14:paraId="0359EAC3" w14:textId="691F8BCE" w:rsidR="00FC0459" w:rsidRPr="002E5A26" w:rsidRDefault="00FC0459" w:rsidP="002E5A26">
            <w:pPr>
              <w:rPr>
                <w:b/>
                <w:bCs/>
              </w:rPr>
            </w:pPr>
            <w:r>
              <w:rPr>
                <w:b/>
                <w:bCs/>
              </w:rPr>
              <w:t>UPDATE</w:t>
            </w:r>
          </w:p>
        </w:tc>
      </w:tr>
      <w:tr w:rsidR="00FC0459" w14:paraId="17AF44BE" w14:textId="77777777" w:rsidTr="00FC0459">
        <w:tc>
          <w:tcPr>
            <w:tcW w:w="557" w:type="dxa"/>
          </w:tcPr>
          <w:p w14:paraId="49DC2070" w14:textId="70ED94F4" w:rsidR="00FC0459" w:rsidRDefault="00FC0459" w:rsidP="00FC0459">
            <w:r>
              <w:rPr>
                <w:rFonts w:ascii="Aptos Narrow" w:hAnsi="Aptos Narrow"/>
                <w:b/>
                <w:bCs/>
                <w:color w:val="000000"/>
              </w:rPr>
              <w:t>2.1</w:t>
            </w:r>
          </w:p>
        </w:tc>
        <w:tc>
          <w:tcPr>
            <w:tcW w:w="5534" w:type="dxa"/>
          </w:tcPr>
          <w:p w14:paraId="1CD53784" w14:textId="65783C6A" w:rsidR="00FC0459" w:rsidRDefault="00FC0459" w:rsidP="00FC0459">
            <w:r>
              <w:rPr>
                <w:rFonts w:ascii="Aptos Narrow" w:hAnsi="Aptos Narrow"/>
                <w:b/>
                <w:bCs/>
              </w:rPr>
              <w:t>Risk Assessment and Approval:</w:t>
            </w:r>
            <w:r>
              <w:rPr>
                <w:rFonts w:ascii="Aptos Narrow" w:hAnsi="Aptos Narrow"/>
              </w:rPr>
              <w:t xml:space="preserve"> It was not always clear from reviewing the Datix system who was involved in assessing and approving the risk, and the rationale for risk inclusion was not always evident. </w:t>
            </w:r>
            <w:r>
              <w:rPr>
                <w:rFonts w:ascii="Aptos Narrow" w:hAnsi="Aptos Narrow"/>
              </w:rPr>
              <w:br/>
            </w:r>
            <w:r>
              <w:rPr>
                <w:rFonts w:ascii="Aptos Narrow" w:hAnsi="Aptos Narrow"/>
                <w:b/>
                <w:bCs/>
              </w:rPr>
              <w:t xml:space="preserve">New Risks: </w:t>
            </w:r>
            <w:r>
              <w:rPr>
                <w:rFonts w:ascii="Aptos Narrow" w:hAnsi="Aptos Narrow"/>
              </w:rPr>
              <w:t>Further analysis across the entire risk registers for each of the SGs identified a lack of evidence to demonstrate the review and approval of ten new risks. Seven related to the risk type “Controlled Drugs - PHARMACY &amp; MEDS MANAGEMENT ONLY” where access to the risk is restricted to the Pharmacy team. The setting of access levels impacted three other risks where the speciality field was blank. The Assistant Head of Risk &amp; Assurance explained that it is acceptable to leave the field blank, e.g. if a risk spans more than one specialty or even more than one SG. While access has been amended in these instances, a wider review may be required to ensure that there is an appropriate level of access for risks where the speciality field is blank.</w:t>
            </w:r>
            <w:r>
              <w:rPr>
                <w:rFonts w:ascii="Aptos Narrow" w:hAnsi="Aptos Narrow"/>
              </w:rPr>
              <w:br/>
            </w:r>
            <w:r>
              <w:rPr>
                <w:rFonts w:ascii="Aptos Narrow" w:hAnsi="Aptos Narrow"/>
                <w:b/>
                <w:bCs/>
              </w:rPr>
              <w:t xml:space="preserve">Controls &amp; Mitigating Actions: </w:t>
            </w:r>
            <w:r>
              <w:rPr>
                <w:rFonts w:ascii="Aptos Narrow" w:hAnsi="Aptos Narrow"/>
              </w:rPr>
              <w:t>Analysis of the risk registers identified that there were 26 risks that did not detail a control. All twelve risks in our sample detailed controls, but only four had actions recorded. The actions for NPTS and Morriston did not record a timescale or action owner. Analysis of the risk registers for each of the four SGs indicated a lack of evidence to demonstrate that actions were subject to a regular review.</w:t>
            </w:r>
            <w:r>
              <w:rPr>
                <w:rFonts w:ascii="Aptos Narrow" w:hAnsi="Aptos Narrow"/>
              </w:rPr>
              <w:br/>
            </w:r>
            <w:r>
              <w:rPr>
                <w:rFonts w:ascii="Aptos Narrow" w:hAnsi="Aptos Narrow"/>
                <w:b/>
                <w:bCs/>
              </w:rPr>
              <w:t xml:space="preserve">Risk Scoring: </w:t>
            </w:r>
            <w:r>
              <w:rPr>
                <w:rFonts w:ascii="Aptos Narrow" w:hAnsi="Aptos Narrow"/>
              </w:rPr>
              <w:t>There is nothing on the Datix system to prompt for the rationale for the scoring to be detailed. Out of the twelve risks tested, we identified issues with the scoring of ten risks across all SGs. When reviewing the entire risk registers for each of the SGs, there were 107 risks where the current risk had been scored higher than the initial risk score.</w:t>
            </w:r>
            <w:r>
              <w:rPr>
                <w:rFonts w:ascii="Aptos Narrow" w:hAnsi="Aptos Narrow"/>
              </w:rPr>
              <w:br/>
            </w:r>
            <w:r>
              <w:rPr>
                <w:rFonts w:ascii="Aptos Narrow" w:hAnsi="Aptos Narrow"/>
                <w:b/>
                <w:bCs/>
              </w:rPr>
              <w:lastRenderedPageBreak/>
              <w:t xml:space="preserve">Risk Register Updates: </w:t>
            </w:r>
            <w:r>
              <w:rPr>
                <w:rFonts w:ascii="Aptos Narrow" w:hAnsi="Aptos Narrow"/>
              </w:rPr>
              <w:t xml:space="preserve">Analysis of the whole risk registers for each of the SGs identified that the ‘review date’ field had not always been updated despite there being evidence that the risk had been reviewed regularly. Similarly, while a closed date was recorded, our analysis identified that the risk was not always marked as ‘closed’. </w:t>
            </w:r>
          </w:p>
        </w:tc>
        <w:tc>
          <w:tcPr>
            <w:tcW w:w="2522" w:type="dxa"/>
          </w:tcPr>
          <w:p w14:paraId="3ABF79BA" w14:textId="50B29E60" w:rsidR="00FC0459" w:rsidRDefault="00FC0459" w:rsidP="00FC0459">
            <w:r>
              <w:rPr>
                <w:rFonts w:ascii="Aptos Narrow" w:hAnsi="Aptos Narrow"/>
                <w:color w:val="000000"/>
              </w:rPr>
              <w:lastRenderedPageBreak/>
              <w:t>We recommend that the health board considers arrangements to promote and monitor the consistency and completeness of operational risk registers (evidencing assessment and approval of risks; controls and mitigating actions; updating review date and closed fields; confirming that risks have been scored appropriately; and access rights to risks are correct).</w:t>
            </w:r>
          </w:p>
        </w:tc>
        <w:tc>
          <w:tcPr>
            <w:tcW w:w="1071" w:type="dxa"/>
          </w:tcPr>
          <w:p w14:paraId="5EADA5F1" w14:textId="6F72A9FB" w:rsidR="00FC0459" w:rsidRDefault="00FC0459" w:rsidP="00FC0459">
            <w:pPr>
              <w:jc w:val="center"/>
            </w:pPr>
            <w:r>
              <w:rPr>
                <w:rFonts w:ascii="Aptos Narrow" w:hAnsi="Aptos Narrow"/>
                <w:b/>
                <w:bCs/>
              </w:rPr>
              <w:t>M</w:t>
            </w:r>
          </w:p>
        </w:tc>
        <w:tc>
          <w:tcPr>
            <w:tcW w:w="1138" w:type="dxa"/>
          </w:tcPr>
          <w:p w14:paraId="35818416" w14:textId="1F379626" w:rsidR="00FC0459" w:rsidRDefault="00FC0459" w:rsidP="00FC0459">
            <w:pPr>
              <w:jc w:val="center"/>
              <w:rPr>
                <w:rFonts w:ascii="Aptos Narrow" w:hAnsi="Aptos Narrow"/>
                <w:color w:val="000000"/>
              </w:rPr>
            </w:pPr>
            <w:r>
              <w:rPr>
                <w:rFonts w:ascii="Aptos Narrow" w:hAnsi="Aptos Narrow"/>
              </w:rPr>
              <w:t>30/11/2024</w:t>
            </w:r>
          </w:p>
        </w:tc>
        <w:tc>
          <w:tcPr>
            <w:tcW w:w="2278" w:type="dxa"/>
          </w:tcPr>
          <w:p w14:paraId="46C3F26E" w14:textId="210770DD" w:rsidR="00FC0459" w:rsidRDefault="00FC0459" w:rsidP="00FC0459">
            <w:r>
              <w:rPr>
                <w:rFonts w:ascii="Aptos Narrow" w:hAnsi="Aptos Narrow"/>
                <w:color w:val="000000"/>
              </w:rPr>
              <w:t>Review of arrangements to promote and monitor the consistency and completeness of operational risk registers in other Health Boards to be completed and options presented to the Risk Management Group for consideration and approval.</w:t>
            </w:r>
          </w:p>
        </w:tc>
        <w:tc>
          <w:tcPr>
            <w:tcW w:w="2288" w:type="dxa"/>
          </w:tcPr>
          <w:p w14:paraId="199EFC0B" w14:textId="06BAC859" w:rsidR="00FC0459" w:rsidRDefault="00FC0459" w:rsidP="00FC0459">
            <w:r>
              <w:t>June 2026:</w:t>
            </w:r>
          </w:p>
          <w:p w14:paraId="2BEFEC74" w14:textId="4CD07BD7" w:rsidR="00FC0459" w:rsidRDefault="00FC0459" w:rsidP="00FC0459">
            <w:r w:rsidRPr="002E5A26">
              <w:t>A programme of engagement meetings was undertaken between February and May 2026 with risk leads responsible for operational risks scored 16 and above.</w:t>
            </w:r>
            <w:r>
              <w:t xml:space="preserve"> </w:t>
            </w:r>
            <w:r w:rsidRPr="002E5A26">
              <w:t>Learning from the engagement exercise has informed the next phase of the Risk Management Strategic Implementation Plan, specifically the objective to enhance consistency and quality of risk management practice and build organisational maturity.</w:t>
            </w:r>
          </w:p>
          <w:p w14:paraId="663844AB" w14:textId="38C4B136" w:rsidR="00FC0459" w:rsidRDefault="00FC0459" w:rsidP="00FC0459"/>
        </w:tc>
      </w:tr>
      <w:tr w:rsidR="00FC0459" w14:paraId="4C619F19" w14:textId="77777777" w:rsidTr="00FC0459">
        <w:tc>
          <w:tcPr>
            <w:tcW w:w="557" w:type="dxa"/>
          </w:tcPr>
          <w:p w14:paraId="39ECE0BA" w14:textId="3B2E8907" w:rsidR="00FC0459" w:rsidRDefault="00FC0459" w:rsidP="00FC0459">
            <w:r>
              <w:rPr>
                <w:rFonts w:ascii="Aptos Narrow" w:hAnsi="Aptos Narrow"/>
                <w:b/>
                <w:bCs/>
                <w:color w:val="000000"/>
              </w:rPr>
              <w:t>3.1</w:t>
            </w:r>
          </w:p>
        </w:tc>
        <w:tc>
          <w:tcPr>
            <w:tcW w:w="5534" w:type="dxa"/>
          </w:tcPr>
          <w:p w14:paraId="4F75FFC9" w14:textId="034BA4B8" w:rsidR="00FC0459" w:rsidRDefault="00FC0459" w:rsidP="00FC0459">
            <w:r>
              <w:rPr>
                <w:rFonts w:ascii="Aptos Narrow" w:hAnsi="Aptos Narrow"/>
                <w:b/>
                <w:bCs/>
                <w:color w:val="000000"/>
              </w:rPr>
              <w:t xml:space="preserve">Oversight </w:t>
            </w:r>
            <w:r>
              <w:rPr>
                <w:rFonts w:ascii="Aptos Narrow" w:hAnsi="Aptos Narrow"/>
                <w:color w:val="000000"/>
              </w:rPr>
              <w:br/>
              <w:t xml:space="preserve">- SGs do review high level risks but further work is needed on other risks to ensure they are regularly reviewed, reported and escalated as required. The ability to do this could be impacted by the sheer volume of SG risks. </w:t>
            </w:r>
            <w:r>
              <w:rPr>
                <w:rFonts w:ascii="Aptos Narrow" w:hAnsi="Aptos Narrow"/>
                <w:color w:val="000000"/>
              </w:rPr>
              <w:br/>
              <w:t xml:space="preserve">- Risks were often reported within quality &amp; safety meetings which may mean that there is insufficient focus on other types of risks, e.g. financial, regulatory, etc. </w:t>
            </w:r>
            <w:r>
              <w:rPr>
                <w:rFonts w:ascii="Aptos Narrow" w:hAnsi="Aptos Narrow"/>
                <w:color w:val="000000"/>
              </w:rPr>
              <w:br/>
              <w:t>- There was a lack of oversight of risk by SG Management Boards, as some were only starting to put in place mechanism for the reporting of risk. Having a consistent report template for the reporting of operational risks to management boards, other forums/groups and the corporate Risk Management Group, similar to the format presented at Board and Committees, would provide clear oversight and enhance monitoring arrangements.</w:t>
            </w:r>
            <w:r>
              <w:rPr>
                <w:rFonts w:ascii="Aptos Narrow" w:hAnsi="Aptos Narrow"/>
                <w:color w:val="000000"/>
              </w:rPr>
              <w:br/>
              <w:t xml:space="preserve">- Meeting minutes for SG Management Boards do not always reflect the level of discussion and scrutiny of risks, and that risk monitoring and scrutiny may not be allowed sufficient time due to busy agendas. As noted by Deloitte, there is a lack of reporting from Service Group Management Board to Corporate Management Board. </w:t>
            </w:r>
            <w:r>
              <w:rPr>
                <w:rFonts w:ascii="Aptos Narrow" w:hAnsi="Aptos Narrow"/>
                <w:color w:val="000000"/>
              </w:rPr>
              <w:br/>
              <w:t>- Not all SGs have carried out annual reporting of their risks to the corporate RMG.</w:t>
            </w:r>
          </w:p>
        </w:tc>
        <w:tc>
          <w:tcPr>
            <w:tcW w:w="2522" w:type="dxa"/>
          </w:tcPr>
          <w:p w14:paraId="7CE28F0B" w14:textId="07FACBCA" w:rsidR="00FC0459" w:rsidRDefault="00FC0459" w:rsidP="00FC0459">
            <w:r>
              <w:rPr>
                <w:rFonts w:ascii="Aptos Narrow" w:hAnsi="Aptos Narrow"/>
                <w:color w:val="000000"/>
              </w:rPr>
              <w:t xml:space="preserve">A summary risk report, </w:t>
            </w:r>
            <w:proofErr w:type="gramStart"/>
            <w:r>
              <w:rPr>
                <w:rFonts w:ascii="Aptos Narrow" w:hAnsi="Aptos Narrow"/>
                <w:color w:val="000000"/>
              </w:rPr>
              <w:t>similar to</w:t>
            </w:r>
            <w:proofErr w:type="gramEnd"/>
            <w:r>
              <w:rPr>
                <w:rFonts w:ascii="Aptos Narrow" w:hAnsi="Aptos Narrow"/>
                <w:color w:val="000000"/>
              </w:rPr>
              <w:t xml:space="preserve"> the format presented to the Health Board and Committees, should be developed for the reporting of operational risks. The report should include themes, age of risk, risk changes (new/closed risks, risk score amendments), issues identified (no progress, unapproved risks, risk scoring issues, highlighting where fields have not been completed or updated).</w:t>
            </w:r>
          </w:p>
        </w:tc>
        <w:tc>
          <w:tcPr>
            <w:tcW w:w="1071" w:type="dxa"/>
          </w:tcPr>
          <w:p w14:paraId="1A968EB6" w14:textId="3B68A68E" w:rsidR="00FC0459" w:rsidRDefault="00FC0459" w:rsidP="00FC0459">
            <w:pPr>
              <w:jc w:val="center"/>
            </w:pPr>
            <w:r>
              <w:rPr>
                <w:rFonts w:ascii="Aptos Narrow" w:hAnsi="Aptos Narrow"/>
                <w:b/>
                <w:bCs/>
              </w:rPr>
              <w:t>M</w:t>
            </w:r>
          </w:p>
        </w:tc>
        <w:tc>
          <w:tcPr>
            <w:tcW w:w="1138" w:type="dxa"/>
          </w:tcPr>
          <w:p w14:paraId="6F543896" w14:textId="3287ED79" w:rsidR="00FC0459" w:rsidRDefault="00FC0459" w:rsidP="00FC0459">
            <w:pPr>
              <w:jc w:val="center"/>
              <w:rPr>
                <w:rFonts w:ascii="Aptos Narrow" w:hAnsi="Aptos Narrow"/>
                <w:color w:val="000000"/>
              </w:rPr>
            </w:pPr>
            <w:r>
              <w:rPr>
                <w:rFonts w:ascii="Aptos Narrow" w:hAnsi="Aptos Narrow"/>
              </w:rPr>
              <w:t>30/11/2024</w:t>
            </w:r>
          </w:p>
        </w:tc>
        <w:tc>
          <w:tcPr>
            <w:tcW w:w="2278" w:type="dxa"/>
          </w:tcPr>
          <w:p w14:paraId="1CED9D62" w14:textId="44B50381" w:rsidR="00FC0459" w:rsidRDefault="00FC0459" w:rsidP="00FC0459">
            <w:r>
              <w:rPr>
                <w:rFonts w:ascii="Aptos Narrow" w:hAnsi="Aptos Narrow"/>
                <w:color w:val="000000"/>
              </w:rPr>
              <w:t>Review of operational reporting of risks to be carried out in the Health Boards and options presented to the Risk Management Group to consider and approve.</w:t>
            </w:r>
          </w:p>
        </w:tc>
        <w:tc>
          <w:tcPr>
            <w:tcW w:w="2288" w:type="dxa"/>
          </w:tcPr>
          <w:p w14:paraId="7DAE282A" w14:textId="0C01478F" w:rsidR="00FC0459" w:rsidRDefault="00FC0459" w:rsidP="00FC0459">
            <w:r>
              <w:t>June 2026:</w:t>
            </w:r>
          </w:p>
          <w:p w14:paraId="62BB7418" w14:textId="6CCF2C2C" w:rsidR="00FC0459" w:rsidRDefault="00FC0459" w:rsidP="00FC0459">
            <w:r w:rsidRPr="002E5A26">
              <w:t>We are liaising with digital colleagues to develop a dashboard to allow oversight of key risk data within services and service groups. During development of Risk Management procedures, we will look to include recommended standards of reporting within Service Groups / Care Groups</w:t>
            </w:r>
            <w:r>
              <w:t>.</w:t>
            </w:r>
          </w:p>
        </w:tc>
      </w:tr>
    </w:tbl>
    <w:p w14:paraId="10C11529" w14:textId="77777777" w:rsidR="00142AF7" w:rsidRDefault="00142AF7"/>
    <w:p w14:paraId="73FA730D" w14:textId="77777777" w:rsidR="00CF07EE" w:rsidRDefault="00CF07EE">
      <w:r>
        <w:br w:type="page"/>
      </w:r>
    </w:p>
    <w:p w14:paraId="71D3BEDD" w14:textId="155EE16B" w:rsidR="005C5225" w:rsidRDefault="00266022">
      <w:r>
        <w:lastRenderedPageBreak/>
        <w:t xml:space="preserve">In addition to the above, the 2026/26 internal audit review highlighted two actions remaining open: </w:t>
      </w:r>
    </w:p>
    <w:p w14:paraId="2156AE06" w14:textId="77777777" w:rsidR="00CF07EE" w:rsidRDefault="00CF07EE"/>
    <w:p w14:paraId="145CC25D" w14:textId="46A39C9D" w:rsidR="002E5A26" w:rsidRDefault="005C5225" w:rsidP="0095437B">
      <w:r>
        <w:t xml:space="preserve">Ref </w:t>
      </w:r>
      <w:r w:rsidR="00CF07EE">
        <w:t xml:space="preserve">1.1 </w:t>
      </w:r>
      <w:r w:rsidR="0095437B">
        <w:t xml:space="preserve">recommended a </w:t>
      </w:r>
      <w:r w:rsidR="0095437B" w:rsidRPr="0095437B">
        <w:t>review of the mechanisms available to</w:t>
      </w:r>
      <w:r w:rsidR="0095437B">
        <w:t xml:space="preserve"> </w:t>
      </w:r>
      <w:r w:rsidR="0095437B" w:rsidRPr="0095437B">
        <w:t xml:space="preserve">improve the capturing of thematic risks be </w:t>
      </w:r>
      <w:proofErr w:type="gramStart"/>
      <w:r w:rsidR="0095437B" w:rsidRPr="0095437B">
        <w:t>undertaken</w:t>
      </w:r>
      <w:r w:rsidR="00FE006D">
        <w:t>, and</w:t>
      </w:r>
      <w:proofErr w:type="gramEnd"/>
      <w:r w:rsidR="00FE006D">
        <w:t xml:space="preserve"> </w:t>
      </w:r>
      <w:r w:rsidR="009131D9">
        <w:t>was kep</w:t>
      </w:r>
      <w:r>
        <w:t>t</w:t>
      </w:r>
      <w:r w:rsidR="009131D9">
        <w:t xml:space="preserve"> open by internal audit </w:t>
      </w:r>
      <w:r w:rsidR="00FE006D">
        <w:t xml:space="preserve">noting that it related to operation of the former Risk Management Group </w:t>
      </w:r>
      <w:r w:rsidR="00E701F4">
        <w:t xml:space="preserve">(now stood down) </w:t>
      </w:r>
      <w:r w:rsidR="00FE006D">
        <w:t>and its role on oversight of thematic risk</w:t>
      </w:r>
      <w:r w:rsidR="009131D9">
        <w:t>. This has not been re</w:t>
      </w:r>
      <w:r>
        <w:t>-</w:t>
      </w:r>
      <w:r w:rsidR="009131D9">
        <w:t xml:space="preserve">opened above as the Executive Board </w:t>
      </w:r>
      <w:r>
        <w:t xml:space="preserve">now </w:t>
      </w:r>
      <w:r w:rsidR="009131D9">
        <w:t>receive</w:t>
      </w:r>
      <w:r>
        <w:t>s</w:t>
      </w:r>
      <w:r w:rsidR="009131D9">
        <w:t xml:space="preserve"> a thematic summary of high scoring operational risks as part of its risk report.</w:t>
      </w:r>
    </w:p>
    <w:p w14:paraId="6860CA16" w14:textId="77777777" w:rsidR="00CF07EE" w:rsidRDefault="00CF07EE"/>
    <w:p w14:paraId="760A5824" w14:textId="3A76AB14" w:rsidR="00CF07EE" w:rsidRDefault="00CF07EE" w:rsidP="0095437B">
      <w:r>
        <w:t xml:space="preserve">Ref 3.3 </w:t>
      </w:r>
      <w:r w:rsidR="0095437B">
        <w:t>recommended review</w:t>
      </w:r>
      <w:r w:rsidR="00E701F4">
        <w:t xml:space="preserve"> of </w:t>
      </w:r>
      <w:r w:rsidR="0095437B">
        <w:t>the Risk Scrutiny Panel’s terms of reference</w:t>
      </w:r>
      <w:r w:rsidR="00E701F4">
        <w:t xml:space="preserve"> </w:t>
      </w:r>
      <w:r w:rsidR="0095437B">
        <w:t>annually</w:t>
      </w:r>
      <w:r w:rsidR="00E701F4">
        <w:t xml:space="preserve"> and c</w:t>
      </w:r>
      <w:r w:rsidR="0095437B">
        <w:t xml:space="preserve">onsideration </w:t>
      </w:r>
      <w:r w:rsidR="00E701F4">
        <w:t xml:space="preserve">to </w:t>
      </w:r>
      <w:r w:rsidR="0095437B">
        <w:t>be given to</w:t>
      </w:r>
      <w:r w:rsidR="00E701F4">
        <w:t xml:space="preserve"> </w:t>
      </w:r>
      <w:r w:rsidR="0095437B">
        <w:t>strengthening the document to include their</w:t>
      </w:r>
      <w:r w:rsidR="00E701F4">
        <w:t xml:space="preserve"> </w:t>
      </w:r>
      <w:r w:rsidR="0095437B">
        <w:t>responsibility for reviewing de-escalated risks.</w:t>
      </w:r>
      <w:r w:rsidR="00E701F4">
        <w:t xml:space="preserve"> This was superseded by the Executive Performance Reviews initially, but now the Executive Board receive</w:t>
      </w:r>
      <w:r w:rsidR="001109C7">
        <w:t>s</w:t>
      </w:r>
      <w:r w:rsidR="00E701F4">
        <w:t xml:space="preserve"> all risks proposed for escalation </w:t>
      </w:r>
      <w:r w:rsidR="001109C7">
        <w:t>and de-escalation to and from the board-level registers.</w:t>
      </w:r>
    </w:p>
    <w:p w14:paraId="205D7132" w14:textId="77777777" w:rsidR="00266022" w:rsidRDefault="00266022">
      <w:pPr>
        <w:rPr>
          <w:b/>
          <w:bCs/>
        </w:rPr>
      </w:pPr>
      <w:r>
        <w:rPr>
          <w:b/>
          <w:bCs/>
        </w:rPr>
        <w:br w:type="page"/>
      </w:r>
    </w:p>
    <w:p w14:paraId="4B3358BA" w14:textId="3A6B66E3" w:rsidR="002E5A26" w:rsidRPr="001A2446" w:rsidRDefault="000F1D48" w:rsidP="002E5A26">
      <w:pPr>
        <w:rPr>
          <w:b/>
          <w:bCs/>
        </w:rPr>
      </w:pPr>
      <w:r w:rsidRPr="000F1D48">
        <w:rPr>
          <w:b/>
          <w:bCs/>
        </w:rPr>
        <w:lastRenderedPageBreak/>
        <w:t xml:space="preserve">RISK MANAGEMENT &amp; BOARD ASSURANCE FRAMEWORK </w:t>
      </w:r>
      <w:r w:rsidR="002E5A26" w:rsidRPr="001A2446">
        <w:rPr>
          <w:b/>
          <w:bCs/>
        </w:rPr>
        <w:t>(SBU-2</w:t>
      </w:r>
      <w:r>
        <w:rPr>
          <w:b/>
          <w:bCs/>
        </w:rPr>
        <w:t>52</w:t>
      </w:r>
      <w:r w:rsidR="006C2FA3">
        <w:rPr>
          <w:b/>
          <w:bCs/>
        </w:rPr>
        <w:t>6</w:t>
      </w:r>
      <w:r w:rsidR="002E5A26" w:rsidRPr="001A2446">
        <w:rPr>
          <w:b/>
          <w:bCs/>
        </w:rPr>
        <w:t>-01)</w:t>
      </w:r>
    </w:p>
    <w:tbl>
      <w:tblPr>
        <w:tblStyle w:val="TableGrid"/>
        <w:tblW w:w="0" w:type="auto"/>
        <w:tblLook w:val="04A0" w:firstRow="1" w:lastRow="0" w:firstColumn="1" w:lastColumn="0" w:noHBand="0" w:noVBand="1"/>
      </w:tblPr>
      <w:tblGrid>
        <w:gridCol w:w="556"/>
        <w:gridCol w:w="4354"/>
        <w:gridCol w:w="3623"/>
        <w:gridCol w:w="1071"/>
        <w:gridCol w:w="1246"/>
        <w:gridCol w:w="2263"/>
        <w:gridCol w:w="2275"/>
      </w:tblGrid>
      <w:tr w:rsidR="00FC0459" w14:paraId="31E9989A" w14:textId="77777777" w:rsidTr="00FC0459">
        <w:trPr>
          <w:tblHeader/>
        </w:trPr>
        <w:tc>
          <w:tcPr>
            <w:tcW w:w="557" w:type="dxa"/>
            <w:shd w:val="clear" w:color="auto" w:fill="002060"/>
          </w:tcPr>
          <w:p w14:paraId="056E0545" w14:textId="77777777" w:rsidR="00FC0459" w:rsidRPr="002E5A26" w:rsidRDefault="00FC0459" w:rsidP="005019C6">
            <w:pPr>
              <w:rPr>
                <w:b/>
                <w:bCs/>
              </w:rPr>
            </w:pPr>
            <w:r w:rsidRPr="002E5A26">
              <w:rPr>
                <w:b/>
                <w:bCs/>
              </w:rPr>
              <w:t>REF</w:t>
            </w:r>
          </w:p>
        </w:tc>
        <w:tc>
          <w:tcPr>
            <w:tcW w:w="4400" w:type="dxa"/>
            <w:shd w:val="clear" w:color="auto" w:fill="002060"/>
          </w:tcPr>
          <w:p w14:paraId="68CCD3AC" w14:textId="77777777" w:rsidR="00FC0459" w:rsidRPr="002E5A26" w:rsidRDefault="00FC0459" w:rsidP="005019C6">
            <w:pPr>
              <w:rPr>
                <w:b/>
                <w:bCs/>
              </w:rPr>
            </w:pPr>
            <w:r>
              <w:rPr>
                <w:b/>
                <w:bCs/>
              </w:rPr>
              <w:t>FINDINGS</w:t>
            </w:r>
          </w:p>
        </w:tc>
        <w:tc>
          <w:tcPr>
            <w:tcW w:w="3656" w:type="dxa"/>
            <w:shd w:val="clear" w:color="auto" w:fill="002060"/>
          </w:tcPr>
          <w:p w14:paraId="14E162C0" w14:textId="4CCD974B" w:rsidR="00FC0459" w:rsidRPr="002E5A26" w:rsidRDefault="00FC0459" w:rsidP="005019C6">
            <w:pPr>
              <w:rPr>
                <w:b/>
                <w:bCs/>
              </w:rPr>
            </w:pPr>
            <w:r>
              <w:rPr>
                <w:b/>
                <w:bCs/>
              </w:rPr>
              <w:t>AGREED ACTION</w:t>
            </w:r>
          </w:p>
        </w:tc>
        <w:tc>
          <w:tcPr>
            <w:tcW w:w="1071" w:type="dxa"/>
            <w:shd w:val="clear" w:color="auto" w:fill="002060"/>
          </w:tcPr>
          <w:p w14:paraId="25961D7E" w14:textId="77777777" w:rsidR="00FC0459" w:rsidRPr="002E5A26" w:rsidRDefault="00FC0459" w:rsidP="00FC0459">
            <w:pPr>
              <w:jc w:val="center"/>
              <w:rPr>
                <w:b/>
                <w:bCs/>
              </w:rPr>
            </w:pPr>
            <w:r>
              <w:rPr>
                <w:b/>
                <w:bCs/>
              </w:rPr>
              <w:t>PRIORITY</w:t>
            </w:r>
          </w:p>
        </w:tc>
        <w:tc>
          <w:tcPr>
            <w:tcW w:w="1138" w:type="dxa"/>
            <w:shd w:val="clear" w:color="auto" w:fill="002060"/>
          </w:tcPr>
          <w:p w14:paraId="0AF63807" w14:textId="77777777" w:rsidR="00FC0459" w:rsidRDefault="00FC0459" w:rsidP="005019C6">
            <w:pPr>
              <w:jc w:val="center"/>
              <w:rPr>
                <w:b/>
                <w:bCs/>
              </w:rPr>
            </w:pPr>
            <w:r>
              <w:rPr>
                <w:b/>
                <w:bCs/>
              </w:rPr>
              <w:t>ORIGINAL DUE DATE</w:t>
            </w:r>
          </w:p>
        </w:tc>
        <w:tc>
          <w:tcPr>
            <w:tcW w:w="2278" w:type="dxa"/>
            <w:shd w:val="clear" w:color="auto" w:fill="002060"/>
          </w:tcPr>
          <w:p w14:paraId="22D02270" w14:textId="250E6EB3" w:rsidR="00FC0459" w:rsidRPr="002E5A26" w:rsidRDefault="00FC0459" w:rsidP="005019C6">
            <w:pPr>
              <w:rPr>
                <w:b/>
                <w:bCs/>
              </w:rPr>
            </w:pPr>
            <w:r>
              <w:rPr>
                <w:b/>
                <w:bCs/>
              </w:rPr>
              <w:t>EXPECTED EVIDENCE</w:t>
            </w:r>
          </w:p>
        </w:tc>
        <w:tc>
          <w:tcPr>
            <w:tcW w:w="2288" w:type="dxa"/>
            <w:shd w:val="clear" w:color="auto" w:fill="002060"/>
          </w:tcPr>
          <w:p w14:paraId="25C5D784" w14:textId="77777777" w:rsidR="00FC0459" w:rsidRPr="002E5A26" w:rsidRDefault="00FC0459" w:rsidP="005019C6">
            <w:pPr>
              <w:rPr>
                <w:b/>
                <w:bCs/>
              </w:rPr>
            </w:pPr>
            <w:r>
              <w:rPr>
                <w:b/>
                <w:bCs/>
              </w:rPr>
              <w:t>UPDATE</w:t>
            </w:r>
          </w:p>
        </w:tc>
      </w:tr>
      <w:tr w:rsidR="00FC0459" w14:paraId="7D4AA4B3" w14:textId="77777777" w:rsidTr="00FC0459">
        <w:tc>
          <w:tcPr>
            <w:tcW w:w="557" w:type="dxa"/>
          </w:tcPr>
          <w:p w14:paraId="699027E1" w14:textId="682F7004" w:rsidR="00FC0459" w:rsidRDefault="00FC0459" w:rsidP="00FC0459">
            <w:r>
              <w:rPr>
                <w:rFonts w:ascii="Aptos Narrow" w:hAnsi="Aptos Narrow"/>
                <w:b/>
                <w:bCs/>
                <w:color w:val="000000"/>
              </w:rPr>
              <w:t>1</w:t>
            </w:r>
          </w:p>
        </w:tc>
        <w:tc>
          <w:tcPr>
            <w:tcW w:w="4400" w:type="dxa"/>
          </w:tcPr>
          <w:p w14:paraId="5A56DE12" w14:textId="7EE9308D" w:rsidR="00FC0459" w:rsidRDefault="00FC0459" w:rsidP="00FC0459">
            <w:r>
              <w:rPr>
                <w:rFonts w:ascii="Aptos Narrow" w:hAnsi="Aptos Narrow"/>
                <w:color w:val="000000"/>
              </w:rPr>
              <w:t xml:space="preserve">Although there are current documents that reference required procedures for risk management across the Health Board, there is no single procedural document that provides comprehensive guidance for staff involved in risk management. </w:t>
            </w:r>
          </w:p>
        </w:tc>
        <w:tc>
          <w:tcPr>
            <w:tcW w:w="3656" w:type="dxa"/>
          </w:tcPr>
          <w:p w14:paraId="519231A1" w14:textId="52F88F07" w:rsidR="00FC0459" w:rsidRDefault="00FC0459" w:rsidP="00FC0459">
            <w:r>
              <w:rPr>
                <w:rFonts w:ascii="Aptos Narrow" w:hAnsi="Aptos Narrow"/>
                <w:color w:val="000000"/>
              </w:rPr>
              <w:t>The Risk &amp; Assurance team will review and refresh the Risk Management Strategic Implementation Plan (RMSIP) with the Director of Corporate Governance, for agreement by Executive Directors. The provision of detailed guidance in the form of documented procedures will be one of the first priorities for completion with the aim of completing in Q1 (subject to RMSIP 2026/27 approval).</w:t>
            </w:r>
          </w:p>
        </w:tc>
        <w:tc>
          <w:tcPr>
            <w:tcW w:w="1071" w:type="dxa"/>
          </w:tcPr>
          <w:p w14:paraId="7086C633" w14:textId="2493D87C" w:rsidR="00FC0459" w:rsidRDefault="00FC0459" w:rsidP="00FC0459">
            <w:pPr>
              <w:jc w:val="center"/>
            </w:pPr>
            <w:r>
              <w:rPr>
                <w:rFonts w:ascii="Aptos Narrow" w:hAnsi="Aptos Narrow"/>
                <w:b/>
                <w:bCs/>
                <w:color w:val="000000"/>
              </w:rPr>
              <w:t>M</w:t>
            </w:r>
          </w:p>
        </w:tc>
        <w:tc>
          <w:tcPr>
            <w:tcW w:w="1138" w:type="dxa"/>
          </w:tcPr>
          <w:p w14:paraId="7D6E9520" w14:textId="49C15936" w:rsidR="00FC0459" w:rsidRDefault="00FC0459" w:rsidP="00FC0459">
            <w:pPr>
              <w:jc w:val="center"/>
              <w:rPr>
                <w:rFonts w:ascii="Aptos Narrow" w:hAnsi="Aptos Narrow"/>
                <w:color w:val="000000"/>
              </w:rPr>
            </w:pPr>
            <w:r>
              <w:rPr>
                <w:rFonts w:ascii="Aptos Narrow" w:hAnsi="Aptos Narrow"/>
                <w:color w:val="000000"/>
              </w:rPr>
              <w:t>30/06/2026</w:t>
            </w:r>
          </w:p>
        </w:tc>
        <w:tc>
          <w:tcPr>
            <w:tcW w:w="2278" w:type="dxa"/>
          </w:tcPr>
          <w:p w14:paraId="165BDD8B" w14:textId="514F87C3" w:rsidR="00FC0459" w:rsidRDefault="00FC0459" w:rsidP="00FC0459">
            <w:r>
              <w:rPr>
                <w:rFonts w:ascii="Aptos Narrow" w:hAnsi="Aptos Narrow"/>
                <w:color w:val="000000"/>
              </w:rPr>
              <w:t>Detailed Risk Management Procedures</w:t>
            </w:r>
          </w:p>
        </w:tc>
        <w:tc>
          <w:tcPr>
            <w:tcW w:w="2288" w:type="dxa"/>
          </w:tcPr>
          <w:p w14:paraId="1D5332DF" w14:textId="36987B8E" w:rsidR="00FC0459" w:rsidRDefault="00FC0459" w:rsidP="00FC0459">
            <w:r>
              <w:t>June 2026:</w:t>
            </w:r>
          </w:p>
          <w:p w14:paraId="0730FC45" w14:textId="52D0D4A2" w:rsidR="00FC0459" w:rsidRPr="00FC0459" w:rsidRDefault="00FC0459" w:rsidP="00FC0459">
            <w:r>
              <w:t>This has been delayed due to competing work demands. It is now t</w:t>
            </w:r>
            <w:r w:rsidRPr="00FC0459">
              <w:t>argeted for completion and review by Executive Board in September 2026</w:t>
            </w:r>
            <w:r>
              <w:t>.</w:t>
            </w:r>
          </w:p>
        </w:tc>
      </w:tr>
      <w:tr w:rsidR="00FC0459" w14:paraId="3C7B0153" w14:textId="77777777" w:rsidTr="00FC0459">
        <w:tc>
          <w:tcPr>
            <w:tcW w:w="557" w:type="dxa"/>
          </w:tcPr>
          <w:p w14:paraId="339D6BBA" w14:textId="56E4D7D3" w:rsidR="00FC0459" w:rsidRDefault="00FC0459" w:rsidP="00FC0459">
            <w:r>
              <w:rPr>
                <w:rFonts w:ascii="Aptos Narrow" w:hAnsi="Aptos Narrow"/>
                <w:b/>
                <w:bCs/>
                <w:color w:val="000000"/>
              </w:rPr>
              <w:t>2</w:t>
            </w:r>
          </w:p>
        </w:tc>
        <w:tc>
          <w:tcPr>
            <w:tcW w:w="4400" w:type="dxa"/>
          </w:tcPr>
          <w:p w14:paraId="393A8C6C" w14:textId="24389E22" w:rsidR="00FC0459" w:rsidRDefault="00FC0459" w:rsidP="00FC0459">
            <w:r>
              <w:rPr>
                <w:rFonts w:ascii="Aptos Narrow" w:hAnsi="Aptos Narrow"/>
                <w:color w:val="000000"/>
              </w:rPr>
              <w:t xml:space="preserve">The Risk Management Group has not met since the summer and its future is unclear. The Group had begun the undertaking of gateway reviews of Service Group and Corporate Directorate risks, but since the summer this work has not progressed. Although potential risks for escalation are being reviewed at Executive Performance Reviews, </w:t>
            </w:r>
            <w:proofErr w:type="gramStart"/>
            <w:r>
              <w:rPr>
                <w:rFonts w:ascii="Aptos Narrow" w:hAnsi="Aptos Narrow"/>
                <w:color w:val="000000"/>
              </w:rPr>
              <w:t>and also</w:t>
            </w:r>
            <w:proofErr w:type="gramEnd"/>
            <w:r>
              <w:rPr>
                <w:rFonts w:ascii="Aptos Narrow" w:hAnsi="Aptos Narrow"/>
                <w:color w:val="000000"/>
              </w:rPr>
              <w:t xml:space="preserve"> that the Risk &amp; Assurance Team have been tasked to meet with Service Groups to review all operational risks scoring 20 and above, there is a concern that there is less assurance over operational risks generally. </w:t>
            </w:r>
          </w:p>
        </w:tc>
        <w:tc>
          <w:tcPr>
            <w:tcW w:w="3656" w:type="dxa"/>
          </w:tcPr>
          <w:p w14:paraId="1629DA83" w14:textId="2B174815" w:rsidR="00FC0459" w:rsidRDefault="00FC0459" w:rsidP="00FC0459">
            <w:r>
              <w:rPr>
                <w:rFonts w:ascii="Aptos Narrow" w:hAnsi="Aptos Narrow"/>
                <w:color w:val="000000"/>
              </w:rPr>
              <w:t>A review of the former Risk Management Group role and responsibilities has been undertaken. Operational Risks will be considered by the new Operational Executive Group in 2026/7.</w:t>
            </w:r>
          </w:p>
        </w:tc>
        <w:tc>
          <w:tcPr>
            <w:tcW w:w="1071" w:type="dxa"/>
          </w:tcPr>
          <w:p w14:paraId="5EB08DCF" w14:textId="37351D47" w:rsidR="00FC0459" w:rsidRDefault="00FC0459" w:rsidP="00FC0459">
            <w:pPr>
              <w:jc w:val="center"/>
            </w:pPr>
            <w:r>
              <w:rPr>
                <w:rFonts w:ascii="Aptos Narrow" w:hAnsi="Aptos Narrow"/>
                <w:b/>
                <w:bCs/>
                <w:color w:val="000000"/>
              </w:rPr>
              <w:t>M</w:t>
            </w:r>
          </w:p>
        </w:tc>
        <w:tc>
          <w:tcPr>
            <w:tcW w:w="1138" w:type="dxa"/>
          </w:tcPr>
          <w:p w14:paraId="363D1D36" w14:textId="19883719" w:rsidR="00FC0459" w:rsidRDefault="00FC0459" w:rsidP="00FC0459">
            <w:pPr>
              <w:jc w:val="center"/>
              <w:rPr>
                <w:rFonts w:ascii="Aptos Narrow" w:hAnsi="Aptos Narrow"/>
                <w:color w:val="000000"/>
              </w:rPr>
            </w:pPr>
            <w:r>
              <w:rPr>
                <w:rFonts w:ascii="Aptos Narrow" w:hAnsi="Aptos Narrow"/>
                <w:color w:val="000000"/>
              </w:rPr>
              <w:t>30/06/2026</w:t>
            </w:r>
          </w:p>
        </w:tc>
        <w:tc>
          <w:tcPr>
            <w:tcW w:w="2278" w:type="dxa"/>
          </w:tcPr>
          <w:p w14:paraId="61966061" w14:textId="731825FE" w:rsidR="00FC0459" w:rsidRDefault="00FC0459" w:rsidP="00FC0459">
            <w:r>
              <w:rPr>
                <w:rFonts w:ascii="Aptos Narrow" w:hAnsi="Aptos Narrow"/>
                <w:color w:val="000000"/>
              </w:rPr>
              <w:t>Operational Risks will be considered by the Operational Executive Group, with the aim of commencing from April 2026.</w:t>
            </w:r>
          </w:p>
        </w:tc>
        <w:tc>
          <w:tcPr>
            <w:tcW w:w="2288" w:type="dxa"/>
          </w:tcPr>
          <w:p w14:paraId="43272074" w14:textId="77777777" w:rsidR="00FC0459" w:rsidRDefault="00FC0459" w:rsidP="00FC0459">
            <w:r w:rsidRPr="00FC0459">
              <w:t xml:space="preserve">June 2026: </w:t>
            </w:r>
          </w:p>
          <w:p w14:paraId="4BF621C9" w14:textId="4F14D875" w:rsidR="00FC0459" w:rsidRDefault="00FC0459" w:rsidP="00FC0459">
            <w:r w:rsidRPr="00FC0459">
              <w:t>Executive Operational Group has not yet met. However, risks scoring 20+ were included in the report to the Executive Board in June 2026</w:t>
            </w:r>
            <w:r>
              <w:t>.</w:t>
            </w:r>
          </w:p>
        </w:tc>
      </w:tr>
      <w:tr w:rsidR="00FC0459" w14:paraId="6D24F2A2" w14:textId="77777777" w:rsidTr="00FC0459">
        <w:tc>
          <w:tcPr>
            <w:tcW w:w="557" w:type="dxa"/>
          </w:tcPr>
          <w:p w14:paraId="5E7D5A1F" w14:textId="0BB109DC" w:rsidR="00FC0459" w:rsidRDefault="00FC0459" w:rsidP="00FC0459">
            <w:r>
              <w:rPr>
                <w:rFonts w:ascii="Aptos Narrow" w:hAnsi="Aptos Narrow"/>
                <w:b/>
                <w:bCs/>
                <w:color w:val="000000"/>
              </w:rPr>
              <w:t>3a</w:t>
            </w:r>
          </w:p>
        </w:tc>
        <w:tc>
          <w:tcPr>
            <w:tcW w:w="4400" w:type="dxa"/>
          </w:tcPr>
          <w:p w14:paraId="09F747BC" w14:textId="21D3E0F7" w:rsidR="00FC0459" w:rsidRDefault="00FC0459" w:rsidP="00FC0459">
            <w:r>
              <w:rPr>
                <w:rFonts w:ascii="Aptos Narrow" w:hAnsi="Aptos Narrow"/>
                <w:color w:val="000000"/>
              </w:rPr>
              <w:t>Revisions to Risk Appetite Statements were considered at a Board development session in October 2025 but we understand that the output from this session was not sufficient to enable the revised Risk Appetite Statements to be finalised. Consequently, none of the strategic risks reported to the Board in January 2026 include a link to a risk appetite.</w:t>
            </w:r>
          </w:p>
        </w:tc>
        <w:tc>
          <w:tcPr>
            <w:tcW w:w="3656" w:type="dxa"/>
          </w:tcPr>
          <w:p w14:paraId="6E879D0F" w14:textId="586A255E" w:rsidR="00FC0459" w:rsidRDefault="00FC0459" w:rsidP="00FC0459">
            <w:r>
              <w:rPr>
                <w:rFonts w:ascii="Aptos Narrow" w:hAnsi="Aptos Narrow"/>
                <w:color w:val="000000"/>
              </w:rPr>
              <w:t>Board risk appetite is under review as part of the Good Governance Institute facilitated Board development session.  Revised Risk Appetite will be submitted to May 2026 Board for consideration and approval.</w:t>
            </w:r>
          </w:p>
        </w:tc>
        <w:tc>
          <w:tcPr>
            <w:tcW w:w="1071" w:type="dxa"/>
          </w:tcPr>
          <w:p w14:paraId="63A13744" w14:textId="7B28657B" w:rsidR="00FC0459" w:rsidRDefault="00FC0459" w:rsidP="00FC0459">
            <w:pPr>
              <w:jc w:val="center"/>
            </w:pPr>
            <w:r>
              <w:rPr>
                <w:rFonts w:ascii="Aptos Narrow" w:hAnsi="Aptos Narrow"/>
                <w:b/>
                <w:bCs/>
                <w:color w:val="000000"/>
              </w:rPr>
              <w:t>M</w:t>
            </w:r>
          </w:p>
        </w:tc>
        <w:tc>
          <w:tcPr>
            <w:tcW w:w="1138" w:type="dxa"/>
          </w:tcPr>
          <w:p w14:paraId="3AD21E6B" w14:textId="19B682B1" w:rsidR="00FC0459" w:rsidRDefault="00FC0459" w:rsidP="00FC0459">
            <w:pPr>
              <w:jc w:val="center"/>
              <w:rPr>
                <w:rFonts w:ascii="Aptos Narrow" w:hAnsi="Aptos Narrow"/>
                <w:color w:val="000000"/>
              </w:rPr>
            </w:pPr>
            <w:r>
              <w:rPr>
                <w:rFonts w:ascii="Aptos Narrow" w:hAnsi="Aptos Narrow"/>
                <w:color w:val="000000"/>
              </w:rPr>
              <w:t>30/06/2026</w:t>
            </w:r>
          </w:p>
        </w:tc>
        <w:tc>
          <w:tcPr>
            <w:tcW w:w="2278" w:type="dxa"/>
          </w:tcPr>
          <w:p w14:paraId="29E5CC3C" w14:textId="00767F88" w:rsidR="00FC0459" w:rsidRDefault="00FC0459" w:rsidP="00FC0459">
            <w:r>
              <w:rPr>
                <w:rFonts w:ascii="Aptos Narrow" w:hAnsi="Aptos Narrow"/>
                <w:color w:val="000000"/>
              </w:rPr>
              <w:t>Appetite statements agreed at Board</w:t>
            </w:r>
          </w:p>
        </w:tc>
        <w:tc>
          <w:tcPr>
            <w:tcW w:w="2288" w:type="dxa"/>
          </w:tcPr>
          <w:p w14:paraId="56BF7579" w14:textId="77777777" w:rsidR="00FC0459" w:rsidRDefault="00FC0459" w:rsidP="00FC0459">
            <w:r w:rsidRPr="00FC0459">
              <w:t xml:space="preserve">June 2026: </w:t>
            </w:r>
          </w:p>
          <w:p w14:paraId="6FD8D9B5" w14:textId="1EAFBBAC" w:rsidR="00FC0459" w:rsidRDefault="00FC0459" w:rsidP="00FC0459">
            <w:r w:rsidRPr="00FC0459">
              <w:t xml:space="preserve">Risk appetite was discussed at a meeting on wider risk management arrangements with Independent Members in June 2026. Further work is planned with a </w:t>
            </w:r>
            <w:r w:rsidRPr="00FC0459">
              <w:lastRenderedPageBreak/>
              <w:t>view to discussing with board during July 2026.</w:t>
            </w:r>
          </w:p>
        </w:tc>
      </w:tr>
      <w:tr w:rsidR="00FC0459" w14:paraId="45D3DDF3" w14:textId="77777777" w:rsidTr="00FC0459">
        <w:tc>
          <w:tcPr>
            <w:tcW w:w="557" w:type="dxa"/>
          </w:tcPr>
          <w:p w14:paraId="118364FF" w14:textId="57CA13D2" w:rsidR="00FC0459" w:rsidRDefault="00FC0459" w:rsidP="00FC0459">
            <w:r>
              <w:rPr>
                <w:rFonts w:ascii="Aptos Narrow" w:hAnsi="Aptos Narrow"/>
                <w:b/>
                <w:bCs/>
                <w:color w:val="000000"/>
              </w:rPr>
              <w:lastRenderedPageBreak/>
              <w:t>3b</w:t>
            </w:r>
          </w:p>
        </w:tc>
        <w:tc>
          <w:tcPr>
            <w:tcW w:w="4400" w:type="dxa"/>
          </w:tcPr>
          <w:p w14:paraId="78C64C6C" w14:textId="7E674E1B" w:rsidR="00FC0459" w:rsidRDefault="00FC0459" w:rsidP="00FC0459">
            <w:r>
              <w:rPr>
                <w:rFonts w:ascii="Aptos Narrow" w:hAnsi="Aptos Narrow"/>
                <w:color w:val="000000"/>
              </w:rPr>
              <w:t>Revisions to Risk Appetite Statements were considered at a Board development session in October 2025 but we understand that the output from this session was not sufficient to enable the revised Risk Appetite Statements to be finalised. Consequently, none of the strategic risks reported to the Board in January 2026 include a link to a risk appetite.</w:t>
            </w:r>
          </w:p>
        </w:tc>
        <w:tc>
          <w:tcPr>
            <w:tcW w:w="3656" w:type="dxa"/>
          </w:tcPr>
          <w:p w14:paraId="6A6EB781" w14:textId="5C2C5473" w:rsidR="00FC0459" w:rsidRDefault="00FC0459" w:rsidP="00FC0459">
            <w:r>
              <w:rPr>
                <w:rFonts w:ascii="Aptos Narrow" w:hAnsi="Aptos Narrow"/>
                <w:color w:val="000000"/>
              </w:rPr>
              <w:t>Following approval at Board, the appetite will be applied to risks within the SRR.</w:t>
            </w:r>
          </w:p>
        </w:tc>
        <w:tc>
          <w:tcPr>
            <w:tcW w:w="1071" w:type="dxa"/>
          </w:tcPr>
          <w:p w14:paraId="3482BBD6" w14:textId="2BB09652" w:rsidR="00FC0459" w:rsidRDefault="00FC0459" w:rsidP="00FC0459">
            <w:pPr>
              <w:jc w:val="center"/>
            </w:pPr>
            <w:r>
              <w:rPr>
                <w:rFonts w:ascii="Aptos Narrow" w:hAnsi="Aptos Narrow"/>
                <w:b/>
                <w:bCs/>
                <w:color w:val="000000"/>
              </w:rPr>
              <w:t>M</w:t>
            </w:r>
          </w:p>
        </w:tc>
        <w:tc>
          <w:tcPr>
            <w:tcW w:w="1138" w:type="dxa"/>
          </w:tcPr>
          <w:p w14:paraId="166CD0C5" w14:textId="09C07428" w:rsidR="00FC0459" w:rsidRDefault="00FC0459" w:rsidP="00FC0459">
            <w:pPr>
              <w:jc w:val="center"/>
              <w:rPr>
                <w:rFonts w:ascii="Aptos Narrow" w:hAnsi="Aptos Narrow"/>
                <w:color w:val="000000"/>
              </w:rPr>
            </w:pPr>
            <w:r>
              <w:rPr>
                <w:rFonts w:ascii="Aptos Narrow" w:hAnsi="Aptos Narrow"/>
                <w:color w:val="000000"/>
              </w:rPr>
              <w:t>30/09/2026</w:t>
            </w:r>
          </w:p>
        </w:tc>
        <w:tc>
          <w:tcPr>
            <w:tcW w:w="2278" w:type="dxa"/>
          </w:tcPr>
          <w:p w14:paraId="6791C8BE" w14:textId="5D073A6E" w:rsidR="00FC0459" w:rsidRDefault="00FC0459" w:rsidP="00FC0459">
            <w:r>
              <w:rPr>
                <w:rFonts w:ascii="Aptos Narrow" w:hAnsi="Aptos Narrow"/>
                <w:color w:val="000000"/>
              </w:rPr>
              <w:t xml:space="preserve">Appetite statements applied to strategic risks </w:t>
            </w:r>
          </w:p>
        </w:tc>
        <w:tc>
          <w:tcPr>
            <w:tcW w:w="2288" w:type="dxa"/>
          </w:tcPr>
          <w:p w14:paraId="54A56F3C" w14:textId="77777777" w:rsidR="00C33BBE" w:rsidRDefault="00C33BBE" w:rsidP="00C33BBE">
            <w:r w:rsidRPr="00FC0459">
              <w:t xml:space="preserve">June 2026: </w:t>
            </w:r>
          </w:p>
          <w:p w14:paraId="5ECEFD2F" w14:textId="66ECE8E3" w:rsidR="00FC0459" w:rsidRDefault="00C33BBE" w:rsidP="00FC0459">
            <w:r>
              <w:t>This will follow action 3a above.</w:t>
            </w:r>
          </w:p>
        </w:tc>
      </w:tr>
      <w:tr w:rsidR="00FC0459" w14:paraId="57E7ADF9" w14:textId="77777777" w:rsidTr="00FC0459">
        <w:tc>
          <w:tcPr>
            <w:tcW w:w="557" w:type="dxa"/>
          </w:tcPr>
          <w:p w14:paraId="2065104F" w14:textId="308399C3" w:rsidR="00FC0459" w:rsidRDefault="00FC0459" w:rsidP="00FC0459">
            <w:r>
              <w:rPr>
                <w:rFonts w:ascii="Aptos Narrow" w:hAnsi="Aptos Narrow"/>
                <w:b/>
                <w:bCs/>
                <w:color w:val="000000"/>
              </w:rPr>
              <w:t>4</w:t>
            </w:r>
          </w:p>
        </w:tc>
        <w:tc>
          <w:tcPr>
            <w:tcW w:w="4400" w:type="dxa"/>
          </w:tcPr>
          <w:p w14:paraId="602F5DB2" w14:textId="43AE9CBD" w:rsidR="00FC0459" w:rsidRDefault="00FC0459" w:rsidP="00FC0459">
            <w:r>
              <w:rPr>
                <w:rFonts w:ascii="Aptos Narrow" w:hAnsi="Aptos Narrow"/>
                <w:color w:val="000000"/>
              </w:rPr>
              <w:t>Instances were noted from a review of all strategic and corporate risks where identified gaps were not being closed through specific actions and that some actions had either passed their target completion date, or that no date for completion was given. This reduces assurance that identified gaps in controls are being actively managed and progressed.</w:t>
            </w:r>
          </w:p>
        </w:tc>
        <w:tc>
          <w:tcPr>
            <w:tcW w:w="3656" w:type="dxa"/>
          </w:tcPr>
          <w:p w14:paraId="142A5BF2" w14:textId="1CBFE2C4" w:rsidR="00FC0459" w:rsidRDefault="00FC0459" w:rsidP="00FC0459">
            <w:r>
              <w:rPr>
                <w:rFonts w:ascii="Aptos Narrow" w:hAnsi="Aptos Narrow"/>
                <w:color w:val="000000"/>
              </w:rPr>
              <w:t>Actions without targets, changed targets or overdue will be reported with greater clarity in risk reports presenting risk registers to Management Board and Board Committees to support accountability and review.</w:t>
            </w:r>
          </w:p>
        </w:tc>
        <w:tc>
          <w:tcPr>
            <w:tcW w:w="1071" w:type="dxa"/>
          </w:tcPr>
          <w:p w14:paraId="38160411" w14:textId="086B4675" w:rsidR="00FC0459" w:rsidRDefault="00FC0459" w:rsidP="00FC0459">
            <w:pPr>
              <w:jc w:val="center"/>
            </w:pPr>
            <w:r>
              <w:rPr>
                <w:rFonts w:ascii="Aptos Narrow" w:hAnsi="Aptos Narrow"/>
                <w:b/>
                <w:bCs/>
                <w:color w:val="000000"/>
              </w:rPr>
              <w:t>M</w:t>
            </w:r>
          </w:p>
        </w:tc>
        <w:tc>
          <w:tcPr>
            <w:tcW w:w="1138" w:type="dxa"/>
          </w:tcPr>
          <w:p w14:paraId="3FA6E002" w14:textId="3734CA52" w:rsidR="00FC0459" w:rsidRDefault="00FC0459" w:rsidP="00FC0459">
            <w:pPr>
              <w:jc w:val="center"/>
              <w:rPr>
                <w:rFonts w:ascii="Aptos Narrow" w:hAnsi="Aptos Narrow"/>
                <w:color w:val="000000"/>
              </w:rPr>
            </w:pPr>
            <w:r>
              <w:rPr>
                <w:rFonts w:ascii="Aptos Narrow" w:hAnsi="Aptos Narrow"/>
                <w:color w:val="000000"/>
              </w:rPr>
              <w:t>30/06/2026</w:t>
            </w:r>
          </w:p>
        </w:tc>
        <w:tc>
          <w:tcPr>
            <w:tcW w:w="2278" w:type="dxa"/>
          </w:tcPr>
          <w:p w14:paraId="7FEC92C6" w14:textId="79596660" w:rsidR="00FC0459" w:rsidRDefault="00FC0459" w:rsidP="00FC0459">
            <w:r>
              <w:rPr>
                <w:rFonts w:ascii="Aptos Narrow" w:hAnsi="Aptos Narrow"/>
                <w:color w:val="000000"/>
              </w:rPr>
              <w:t>Clear reporting of gaps in targets, slippage or changes in target within risk reports, to support discussion at meetings.</w:t>
            </w:r>
          </w:p>
        </w:tc>
        <w:tc>
          <w:tcPr>
            <w:tcW w:w="2288" w:type="dxa"/>
          </w:tcPr>
          <w:p w14:paraId="3306E4FF" w14:textId="77777777" w:rsidR="00C33BBE" w:rsidRDefault="00C33BBE" w:rsidP="00C33BBE">
            <w:r w:rsidRPr="00C33BBE">
              <w:t xml:space="preserve">June 2026: </w:t>
            </w:r>
          </w:p>
          <w:p w14:paraId="31C7C545" w14:textId="0CF1CB0A" w:rsidR="00C33BBE" w:rsidRPr="00C33BBE" w:rsidRDefault="00C33BBE" w:rsidP="00C33BBE">
            <w:r w:rsidRPr="00C33BBE">
              <w:t>The Risk Report to the May 2026 Executive Board meeting demonstrates increased visibility of risk register entries with matters to be addressed. Work on reporting to the Audit Committee and other committees of the board is currently ongoing.</w:t>
            </w:r>
          </w:p>
        </w:tc>
      </w:tr>
    </w:tbl>
    <w:p w14:paraId="7C840472" w14:textId="77777777" w:rsidR="002E5A26" w:rsidRDefault="002E5A26" w:rsidP="002E5A26"/>
    <w:p w14:paraId="44F00A8D" w14:textId="77777777" w:rsidR="002E5A26" w:rsidRDefault="002E5A26"/>
    <w:sectPr w:rsidR="002E5A26" w:rsidSect="002E5A26">
      <w:headerReference w:type="default" r:id="rId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E2711" w14:textId="77777777" w:rsidR="001F1D75" w:rsidRDefault="001F1D75" w:rsidP="002E5A26">
      <w:pPr>
        <w:spacing w:line="240" w:lineRule="auto"/>
      </w:pPr>
      <w:r>
        <w:separator/>
      </w:r>
    </w:p>
  </w:endnote>
  <w:endnote w:type="continuationSeparator" w:id="0">
    <w:p w14:paraId="4EBBE110" w14:textId="77777777" w:rsidR="001F1D75" w:rsidRDefault="001F1D75" w:rsidP="002E5A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23364" w14:textId="77777777" w:rsidR="001F1D75" w:rsidRDefault="001F1D75" w:rsidP="002E5A26">
      <w:pPr>
        <w:spacing w:line="240" w:lineRule="auto"/>
      </w:pPr>
      <w:r>
        <w:separator/>
      </w:r>
    </w:p>
  </w:footnote>
  <w:footnote w:type="continuationSeparator" w:id="0">
    <w:p w14:paraId="3FAC0B42" w14:textId="77777777" w:rsidR="001F1D75" w:rsidRDefault="001F1D75" w:rsidP="002E5A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6D06E" w14:textId="0ACA222D" w:rsidR="002E5A26" w:rsidRDefault="002E5A26" w:rsidP="002E5A26">
    <w:pPr>
      <w:pStyle w:val="Header"/>
      <w:tabs>
        <w:tab w:val="clear" w:pos="9026"/>
        <w:tab w:val="right" w:pos="15309"/>
      </w:tabs>
      <w:rPr>
        <w:b/>
        <w:bCs/>
      </w:rPr>
    </w:pPr>
    <w:r w:rsidRPr="002E5A26">
      <w:rPr>
        <w:b/>
        <w:bCs/>
      </w:rPr>
      <w:t xml:space="preserve">OPEN INTERNAL AUDIT </w:t>
    </w:r>
    <w:r w:rsidR="00EE6B10">
      <w:rPr>
        <w:b/>
        <w:bCs/>
      </w:rPr>
      <w:t>REVIEW ACTIONS</w:t>
    </w:r>
    <w:r w:rsidRPr="002E5A26">
      <w:rPr>
        <w:b/>
        <w:bCs/>
      </w:rPr>
      <w:tab/>
    </w:r>
    <w:r w:rsidRPr="002E5A26">
      <w:rPr>
        <w:b/>
        <w:bCs/>
      </w:rPr>
      <w:tab/>
      <w:t>APPENDIX 4</w:t>
    </w:r>
  </w:p>
  <w:p w14:paraId="2820E46A" w14:textId="77777777" w:rsidR="002E5A26" w:rsidRPr="002E5A26" w:rsidRDefault="002E5A26" w:rsidP="002E5A26">
    <w:pPr>
      <w:pStyle w:val="Header"/>
      <w:tabs>
        <w:tab w:val="clear" w:pos="9026"/>
        <w:tab w:val="right" w:pos="15309"/>
      </w:tabs>
      <w:rPr>
        <w:b/>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A26"/>
    <w:rsid w:val="000F1D48"/>
    <w:rsid w:val="001109C7"/>
    <w:rsid w:val="00142AF7"/>
    <w:rsid w:val="001455FB"/>
    <w:rsid w:val="00154239"/>
    <w:rsid w:val="00174706"/>
    <w:rsid w:val="001A2446"/>
    <w:rsid w:val="001F1D75"/>
    <w:rsid w:val="00266022"/>
    <w:rsid w:val="002E5A26"/>
    <w:rsid w:val="004628B7"/>
    <w:rsid w:val="005545F6"/>
    <w:rsid w:val="005C5225"/>
    <w:rsid w:val="005D3977"/>
    <w:rsid w:val="005E4FE4"/>
    <w:rsid w:val="00686B0B"/>
    <w:rsid w:val="006C2FA3"/>
    <w:rsid w:val="00742247"/>
    <w:rsid w:val="00826DFA"/>
    <w:rsid w:val="00892214"/>
    <w:rsid w:val="009131D9"/>
    <w:rsid w:val="00917BCE"/>
    <w:rsid w:val="0095437B"/>
    <w:rsid w:val="009C1A16"/>
    <w:rsid w:val="009D42BB"/>
    <w:rsid w:val="00C33BBE"/>
    <w:rsid w:val="00CF07EE"/>
    <w:rsid w:val="00E701F4"/>
    <w:rsid w:val="00EE6B10"/>
    <w:rsid w:val="00FC0459"/>
    <w:rsid w:val="00FE00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457D5"/>
  <w15:chartTrackingRefBased/>
  <w15:docId w15:val="{0324636C-0C7C-4CFE-8A76-AF6A3AF8F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E5A2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E5A2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E5A2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E5A2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E5A2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E5A2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5A2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5A2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5A2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5A2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E5A2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E5A2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E5A2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E5A2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E5A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5A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5A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5A26"/>
    <w:rPr>
      <w:rFonts w:eastAsiaTheme="majorEastAsia" w:cstheme="majorBidi"/>
      <w:color w:val="272727" w:themeColor="text1" w:themeTint="D8"/>
    </w:rPr>
  </w:style>
  <w:style w:type="paragraph" w:styleId="Title">
    <w:name w:val="Title"/>
    <w:basedOn w:val="Normal"/>
    <w:next w:val="Normal"/>
    <w:link w:val="TitleChar"/>
    <w:uiPriority w:val="10"/>
    <w:qFormat/>
    <w:rsid w:val="002E5A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5A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5A2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5A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5A2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E5A26"/>
    <w:rPr>
      <w:i/>
      <w:iCs/>
      <w:color w:val="404040" w:themeColor="text1" w:themeTint="BF"/>
    </w:rPr>
  </w:style>
  <w:style w:type="paragraph" w:styleId="ListParagraph">
    <w:name w:val="List Paragraph"/>
    <w:basedOn w:val="Normal"/>
    <w:uiPriority w:val="34"/>
    <w:qFormat/>
    <w:rsid w:val="002E5A26"/>
    <w:pPr>
      <w:ind w:left="720"/>
      <w:contextualSpacing/>
    </w:pPr>
  </w:style>
  <w:style w:type="character" w:styleId="IntenseEmphasis">
    <w:name w:val="Intense Emphasis"/>
    <w:basedOn w:val="DefaultParagraphFont"/>
    <w:uiPriority w:val="21"/>
    <w:qFormat/>
    <w:rsid w:val="002E5A26"/>
    <w:rPr>
      <w:i/>
      <w:iCs/>
      <w:color w:val="2F5496" w:themeColor="accent1" w:themeShade="BF"/>
    </w:rPr>
  </w:style>
  <w:style w:type="paragraph" w:styleId="IntenseQuote">
    <w:name w:val="Intense Quote"/>
    <w:basedOn w:val="Normal"/>
    <w:next w:val="Normal"/>
    <w:link w:val="IntenseQuoteChar"/>
    <w:uiPriority w:val="30"/>
    <w:qFormat/>
    <w:rsid w:val="002E5A2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E5A26"/>
    <w:rPr>
      <w:i/>
      <w:iCs/>
      <w:color w:val="2F5496" w:themeColor="accent1" w:themeShade="BF"/>
    </w:rPr>
  </w:style>
  <w:style w:type="character" w:styleId="IntenseReference">
    <w:name w:val="Intense Reference"/>
    <w:basedOn w:val="DefaultParagraphFont"/>
    <w:uiPriority w:val="32"/>
    <w:qFormat/>
    <w:rsid w:val="002E5A26"/>
    <w:rPr>
      <w:b/>
      <w:bCs/>
      <w:smallCaps/>
      <w:color w:val="2F5496" w:themeColor="accent1" w:themeShade="BF"/>
      <w:spacing w:val="5"/>
    </w:rPr>
  </w:style>
  <w:style w:type="table" w:styleId="TableGrid">
    <w:name w:val="Table Grid"/>
    <w:basedOn w:val="TableNormal"/>
    <w:uiPriority w:val="39"/>
    <w:rsid w:val="002E5A2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E5A26"/>
    <w:pPr>
      <w:tabs>
        <w:tab w:val="center" w:pos="4513"/>
        <w:tab w:val="right" w:pos="9026"/>
      </w:tabs>
      <w:spacing w:line="240" w:lineRule="auto"/>
    </w:pPr>
  </w:style>
  <w:style w:type="character" w:customStyle="1" w:styleId="HeaderChar">
    <w:name w:val="Header Char"/>
    <w:basedOn w:val="DefaultParagraphFont"/>
    <w:link w:val="Header"/>
    <w:uiPriority w:val="99"/>
    <w:rsid w:val="002E5A26"/>
  </w:style>
  <w:style w:type="paragraph" w:styleId="Footer">
    <w:name w:val="footer"/>
    <w:basedOn w:val="Normal"/>
    <w:link w:val="FooterChar"/>
    <w:uiPriority w:val="99"/>
    <w:unhideWhenUsed/>
    <w:rsid w:val="002E5A26"/>
    <w:pPr>
      <w:tabs>
        <w:tab w:val="center" w:pos="4513"/>
        <w:tab w:val="right" w:pos="9026"/>
      </w:tabs>
      <w:spacing w:line="240" w:lineRule="auto"/>
    </w:pPr>
  </w:style>
  <w:style w:type="character" w:customStyle="1" w:styleId="FooterChar">
    <w:name w:val="Footer Char"/>
    <w:basedOn w:val="DefaultParagraphFont"/>
    <w:link w:val="Footer"/>
    <w:uiPriority w:val="99"/>
    <w:rsid w:val="002E5A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4.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ustomXml" Target="../customXml/item3.xml"/><Relationship Id="rId5" Type="http://schemas.openxmlformats.org/officeDocument/2006/relationships/footnotes" Target="footnotes.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F3E3D7A-694B-4550-8065-7317F21C625C}">
  <ds:schemaRefs>
    <ds:schemaRef ds:uri="http://schemas.openxmlformats.org/officeDocument/2006/bibliography"/>
  </ds:schemaRefs>
</ds:datastoreItem>
</file>

<file path=customXml/itemProps2.xml><?xml version="1.0" encoding="utf-8"?>
<ds:datastoreItem xmlns:ds="http://schemas.openxmlformats.org/officeDocument/2006/customXml" ds:itemID="{307F6661-DC8A-4AB2-B0EC-48231EA41270}"/>
</file>

<file path=customXml/itemProps3.xml><?xml version="1.0" encoding="utf-8"?>
<ds:datastoreItem xmlns:ds="http://schemas.openxmlformats.org/officeDocument/2006/customXml" ds:itemID="{08D4D485-6712-4240-940D-EE7DEF774961}"/>
</file>

<file path=customXml/itemProps4.xml><?xml version="1.0" encoding="utf-8"?>
<ds:datastoreItem xmlns:ds="http://schemas.openxmlformats.org/officeDocument/2006/customXml" ds:itemID="{667DAD23-4244-402F-9F32-F3D212952A24}"/>
</file>

<file path=docProps/app.xml><?xml version="1.0" encoding="utf-8"?>
<Properties xmlns="http://schemas.openxmlformats.org/officeDocument/2006/extended-properties" xmlns:vt="http://schemas.openxmlformats.org/officeDocument/2006/docPropsVTypes">
  <Template>Normal</Template>
  <TotalTime>33</TotalTime>
  <Pages>5</Pages>
  <Words>1682</Words>
  <Characters>8898</Characters>
  <Application>Microsoft Office Word</Application>
  <DocSecurity>0</DocSecurity>
  <Lines>355</Lines>
  <Paragraphs>88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10492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Neil Thomas (Swansea Bay UHB - Risk &amp; Assurance)</dc:creator>
  <cp:keywords/>
  <dc:description/>
  <cp:lastModifiedBy>Neil Thomas (Swansea Bay UHB - Risk &amp; Assurance)</cp:lastModifiedBy>
  <cp:revision>15</cp:revision>
  <dcterms:created xsi:type="dcterms:W3CDTF">2026-07-13T09:29:00Z</dcterms:created>
  <dcterms:modified xsi:type="dcterms:W3CDTF">2026-07-13T10:19:00Z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