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2138FD8D" w:rsidR="00F5082D" w:rsidRPr="00B105BD" w:rsidRDefault="000738A0"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75558408" w:rsidR="00F5082D" w:rsidRPr="00F8567E" w:rsidRDefault="000738A0" w:rsidP="00FA0CA9">
            <w:pPr>
              <w:rPr>
                <w:b/>
              </w:rPr>
            </w:pPr>
            <w:r>
              <w:rPr>
                <w:b/>
              </w:rPr>
              <w:t>3.</w:t>
            </w:r>
            <w:r w:rsidR="002554A7">
              <w:rPr>
                <w:b/>
              </w:rPr>
              <w:t>1</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69D2B248" w:rsidR="00B0479E" w:rsidRPr="00EC7151" w:rsidRDefault="000738A0"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14B93D65" w:rsidR="00034194" w:rsidRPr="00EC7151" w:rsidRDefault="000738A0" w:rsidP="00FA0CA9">
            <w:pPr>
              <w:rPr>
                <w:b/>
                <w:bCs/>
              </w:rPr>
            </w:pPr>
            <w:r>
              <w:rPr>
                <w:b/>
                <w:bCs/>
              </w:rPr>
              <w:t>Losses and Special Payments Update</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96554F2" w:rsidR="00034194" w:rsidRPr="00F8567E" w:rsidRDefault="004E2237" w:rsidP="00FA0CA9">
            <w:r w:rsidRPr="0038767A">
              <w:t>Alison McLennan, Assistant Director of Finance (Accounting &amp; Governance)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0138F69" w:rsidR="00762BBE" w:rsidRPr="00F8567E" w:rsidRDefault="004E2237" w:rsidP="00762BBE">
                <w:r>
                  <w:rPr>
                    <w:rStyle w:val="Style1"/>
                  </w:rPr>
                  <w:t>Executive Director of Finance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297163AC" w:rsidR="00762BBE" w:rsidRPr="00F8567E" w:rsidRDefault="004E2237" w:rsidP="00762BBE">
            <w:r w:rsidRPr="0038767A">
              <w:t>Alison McLennan, Assistant Director of Finance (Accounting &amp;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434BE2AA" w:rsidR="00850C29" w:rsidRPr="00F618CD" w:rsidRDefault="004E2237"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6A6CAD3E" w:rsidR="00A35122" w:rsidRPr="00737883" w:rsidRDefault="004E2237" w:rsidP="00110100">
            <w:pPr>
              <w:rPr>
                <w:b/>
                <w:color w:val="FF0000"/>
              </w:rPr>
            </w:pPr>
            <w:r w:rsidRPr="004E2237">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rsidP="00072664">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63946521" w:rsidR="00EA4667" w:rsidRPr="005F4E71" w:rsidRDefault="008A647B" w:rsidP="00072664">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3C1A71CC" w14:textId="2DEBCFF2" w:rsidR="00B07D9E" w:rsidRPr="001E7B10" w:rsidRDefault="008A647B" w:rsidP="008A647B">
            <w:pPr>
              <w:ind w:right="96"/>
              <w:jc w:val="both"/>
            </w:pPr>
            <w:r w:rsidRPr="0038767A">
              <w:t>To provide the Audit Committee with an update on losses and special payments for the period 1</w:t>
            </w:r>
            <w:r w:rsidRPr="0038767A">
              <w:rPr>
                <w:vertAlign w:val="superscript"/>
              </w:rPr>
              <w:t>st</w:t>
            </w:r>
            <w:r w:rsidRPr="0038767A">
              <w:t xml:space="preserve"> A</w:t>
            </w:r>
            <w:r>
              <w:t>ugust</w:t>
            </w:r>
            <w:r w:rsidRPr="0038767A">
              <w:t xml:space="preserve"> 202</w:t>
            </w:r>
            <w:r>
              <w:t>5</w:t>
            </w:r>
            <w:r w:rsidRPr="0038767A">
              <w:t xml:space="preserve"> to 3</w:t>
            </w:r>
            <w:r w:rsidR="0026692F">
              <w:t>0</w:t>
            </w:r>
            <w:r w:rsidR="0026692F" w:rsidRPr="0026692F">
              <w:rPr>
                <w:vertAlign w:val="superscript"/>
              </w:rPr>
              <w:t>th</w:t>
            </w:r>
            <w:r w:rsidR="0026692F">
              <w:t xml:space="preserve"> </w:t>
            </w:r>
            <w:r w:rsidR="004F40DA">
              <w:t>November</w:t>
            </w:r>
            <w:r w:rsidRPr="0038767A">
              <w:t xml:space="preserve"> 202</w:t>
            </w:r>
            <w:r w:rsidR="004F40DA">
              <w:t>5</w:t>
            </w:r>
            <w:r w:rsidRPr="0038767A">
              <w:t xml:space="preserve">, and </w:t>
            </w:r>
            <w:r w:rsidR="004F40DA">
              <w:t>for the period 1</w:t>
            </w:r>
            <w:r w:rsidR="004F40DA" w:rsidRPr="004F40DA">
              <w:rPr>
                <w:vertAlign w:val="superscript"/>
              </w:rPr>
              <w:t>st</w:t>
            </w:r>
            <w:r w:rsidR="004F40DA">
              <w:t xml:space="preserve"> December 2025</w:t>
            </w:r>
            <w:r w:rsidR="00E95C98">
              <w:t xml:space="preserve"> to </w:t>
            </w:r>
            <w:r w:rsidR="001E7B10">
              <w:t>31</w:t>
            </w:r>
            <w:r w:rsidR="001E7B10" w:rsidRPr="001E7B10">
              <w:rPr>
                <w:vertAlign w:val="superscript"/>
              </w:rPr>
              <w:t>st</w:t>
            </w:r>
            <w:r w:rsidR="001E7B10">
              <w:t xml:space="preserve"> March 2026.</w:t>
            </w:r>
            <w:r w:rsidRPr="0038767A">
              <w:t xml:space="preserve"> </w:t>
            </w:r>
          </w:p>
          <w:p w14:paraId="6D2903F7" w14:textId="37E87624" w:rsidR="00110100" w:rsidRPr="00737883" w:rsidRDefault="00110100"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0841C628" w14:textId="3A617BCC" w:rsidR="009003BD" w:rsidRPr="00977936" w:rsidRDefault="00530E3B" w:rsidP="00530E3B">
            <w:pPr>
              <w:ind w:right="96"/>
              <w:jc w:val="both"/>
            </w:pPr>
            <w:r w:rsidRPr="0038767A">
              <w:t>The losses and special payments recorded during the period 1</w:t>
            </w:r>
            <w:r w:rsidRPr="0038767A">
              <w:rPr>
                <w:vertAlign w:val="superscript"/>
              </w:rPr>
              <w:t>st</w:t>
            </w:r>
            <w:r w:rsidRPr="0038767A">
              <w:t xml:space="preserve"> A</w:t>
            </w:r>
            <w:r>
              <w:t>ugust</w:t>
            </w:r>
            <w:r w:rsidRPr="0038767A">
              <w:t xml:space="preserve"> 2025 to 3</w:t>
            </w:r>
            <w:r w:rsidR="001E7B10">
              <w:t>0</w:t>
            </w:r>
            <w:r w:rsidR="001E7B10" w:rsidRPr="001E7B10">
              <w:rPr>
                <w:vertAlign w:val="superscript"/>
              </w:rPr>
              <w:t>t</w:t>
            </w:r>
            <w:r w:rsidR="001E7B10">
              <w:rPr>
                <w:vertAlign w:val="superscript"/>
              </w:rPr>
              <w:t xml:space="preserve">h </w:t>
            </w:r>
            <w:r w:rsidR="001E7B10">
              <w:t>Novem</w:t>
            </w:r>
            <w:r w:rsidR="009003BD">
              <w:t>ber</w:t>
            </w:r>
            <w:r w:rsidRPr="0038767A">
              <w:t xml:space="preserve"> 202</w:t>
            </w:r>
            <w:r w:rsidR="009003BD">
              <w:t>5</w:t>
            </w:r>
            <w:r w:rsidRPr="0038767A">
              <w:t xml:space="preserve"> </w:t>
            </w:r>
            <w:r w:rsidRPr="00977936">
              <w:t>totalled £</w:t>
            </w:r>
            <w:r w:rsidR="0042687B" w:rsidRPr="00977936">
              <w:t>11,854,513</w:t>
            </w:r>
            <w:r w:rsidRPr="00977936">
              <w:t xml:space="preserve"> of which £</w:t>
            </w:r>
            <w:r w:rsidR="00FA6004" w:rsidRPr="00977936">
              <w:t>11,</w:t>
            </w:r>
            <w:r w:rsidR="00B358DC" w:rsidRPr="00977936">
              <w:t>217,114</w:t>
            </w:r>
            <w:r w:rsidRPr="00977936">
              <w:t xml:space="preserve"> is recoverable from the Welsh Risk Pool</w:t>
            </w:r>
            <w:r w:rsidR="009003BD" w:rsidRPr="00977936">
              <w:t xml:space="preserve">. </w:t>
            </w:r>
          </w:p>
          <w:p w14:paraId="46103BA4" w14:textId="04D7EC10" w:rsidR="00530E3B" w:rsidRDefault="009003BD" w:rsidP="00530E3B">
            <w:pPr>
              <w:ind w:right="96"/>
              <w:jc w:val="both"/>
            </w:pPr>
            <w:r w:rsidRPr="00977936">
              <w:t>The losses and special payments recorded during the period 1</w:t>
            </w:r>
            <w:r w:rsidRPr="00977936">
              <w:rPr>
                <w:vertAlign w:val="superscript"/>
              </w:rPr>
              <w:t>st</w:t>
            </w:r>
            <w:r w:rsidRPr="00977936">
              <w:t xml:space="preserve"> December 2025 to 31</w:t>
            </w:r>
            <w:r w:rsidRPr="00977936">
              <w:rPr>
                <w:vertAlign w:val="superscript"/>
              </w:rPr>
              <w:t>st</w:t>
            </w:r>
            <w:r w:rsidRPr="00977936">
              <w:t xml:space="preserve"> March 202</w:t>
            </w:r>
            <w:r w:rsidR="005E584A">
              <w:t>6</w:t>
            </w:r>
            <w:r w:rsidRPr="00977936">
              <w:t xml:space="preserve"> totalled £</w:t>
            </w:r>
            <w:r w:rsidR="00B358DC" w:rsidRPr="00977936">
              <w:t>15,622,283</w:t>
            </w:r>
            <w:r w:rsidRPr="00977936">
              <w:t xml:space="preserve"> of which £</w:t>
            </w:r>
            <w:r w:rsidR="00B358DC" w:rsidRPr="00977936">
              <w:t>1</w:t>
            </w:r>
            <w:r w:rsidR="00B10C67">
              <w:t>0,91</w:t>
            </w:r>
            <w:r w:rsidR="00681000">
              <w:t>2</w:t>
            </w:r>
            <w:r w:rsidR="00B10C67">
              <w:t>,473</w:t>
            </w:r>
            <w:r w:rsidRPr="00977936">
              <w:t xml:space="preserve"> is recoverable from the Welsh Risk Pool</w:t>
            </w:r>
            <w:r w:rsidR="002459B5">
              <w:t xml:space="preserve">, and </w:t>
            </w:r>
            <w:r w:rsidR="00F368B5">
              <w:t xml:space="preserve">£4,045,408 </w:t>
            </w:r>
            <w:r w:rsidR="003645B7">
              <w:t xml:space="preserve">was funded by Welsh Government for band 2-3 Recognition Payment. </w:t>
            </w:r>
          </w:p>
          <w:p w14:paraId="1EF6BF05" w14:textId="3A12406E" w:rsidR="008D7350" w:rsidRPr="0038767A" w:rsidRDefault="008D7350" w:rsidP="00530E3B">
            <w:pPr>
              <w:ind w:right="96"/>
              <w:jc w:val="both"/>
            </w:pPr>
            <w:r>
              <w:t>The detail for each period above is included within Appendices 1 &amp; 2 of this report.</w:t>
            </w:r>
          </w:p>
          <w:p w14:paraId="6D290401" w14:textId="0349ECDB" w:rsidR="00110100" w:rsidRPr="00737883" w:rsidRDefault="00110100" w:rsidP="00110100">
            <w:pPr>
              <w:rPr>
                <w:b/>
                <w:color w:val="FF0000"/>
              </w:rPr>
            </w:pPr>
          </w:p>
        </w:tc>
      </w:tr>
      <w:tr w:rsidR="00B22CF9" w:rsidRPr="00F8567E" w14:paraId="78C95897" w14:textId="77777777" w:rsidTr="008E01E7">
        <w:tc>
          <w:tcPr>
            <w:tcW w:w="2977" w:type="dxa"/>
            <w:shd w:val="clear" w:color="auto" w:fill="C1A775"/>
          </w:tcPr>
          <w:p w14:paraId="1B78D4FE" w14:textId="54876F52" w:rsidR="00B22CF9" w:rsidRPr="00F8567E" w:rsidRDefault="00B22CF9" w:rsidP="008E01E7">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35E86D6E" w:rsidR="00B22CF9" w:rsidRPr="00F8567E" w:rsidRDefault="00EF43EF" w:rsidP="008E01E7">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0940E7" w:rsidRDefault="00110100" w:rsidP="00110100">
            <w:pPr>
              <w:ind w:right="96"/>
            </w:pPr>
            <w:r w:rsidRPr="000940E7">
              <w:t>Members are asked to:</w:t>
            </w:r>
          </w:p>
          <w:p w14:paraId="6D290417" w14:textId="4F43622C" w:rsidR="00110100" w:rsidRPr="00F8567E" w:rsidRDefault="00110100" w:rsidP="00645633">
            <w:pPr>
              <w:pStyle w:val="ListParagraph"/>
              <w:numPr>
                <w:ilvl w:val="0"/>
                <w:numId w:val="6"/>
              </w:numPr>
              <w:ind w:right="96"/>
            </w:pPr>
            <w:r w:rsidRPr="00B07D9E">
              <w:rPr>
                <w:b/>
              </w:rPr>
              <w:t>Receive</w:t>
            </w:r>
            <w:r w:rsidR="00DB76B3" w:rsidRPr="00B07D9E">
              <w:rPr>
                <w:b/>
              </w:rPr>
              <w:t xml:space="preserve"> for Assurance</w:t>
            </w:r>
            <w:r w:rsidR="000940E7" w:rsidRPr="00B07D9E">
              <w:rPr>
                <w:b/>
              </w:rPr>
              <w:t xml:space="preserve"> </w:t>
            </w:r>
            <w:r w:rsidR="00B07D9E" w:rsidRPr="00B07D9E">
              <w:t xml:space="preserve">the </w:t>
            </w:r>
            <w:r w:rsidR="00B07D9E" w:rsidRPr="0038767A">
              <w:t>losses and special payments made in the period which will need to be reported to the Board.</w:t>
            </w:r>
          </w:p>
        </w:tc>
      </w:tr>
    </w:tbl>
    <w:p w14:paraId="6D29041A" w14:textId="4DE8BCDD" w:rsidR="00653AEC" w:rsidRPr="00F8567E" w:rsidRDefault="0020539A" w:rsidP="00653AEC">
      <w:pPr>
        <w:spacing w:after="0" w:line="240" w:lineRule="auto"/>
        <w:jc w:val="center"/>
        <w:rPr>
          <w:b/>
        </w:rPr>
      </w:pPr>
      <w:r w:rsidRPr="00F8567E">
        <w:br w:type="page"/>
      </w:r>
      <w:r w:rsidR="00845C22">
        <w:rPr>
          <w:b/>
        </w:rPr>
        <w:lastRenderedPageBreak/>
        <w:t>Losses and Special Payments Update</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40425321" w14:textId="7B0CEFBB" w:rsidR="004D5250" w:rsidRPr="0038767A" w:rsidRDefault="004D5250" w:rsidP="004D5250">
      <w:pPr>
        <w:spacing w:after="0" w:line="240" w:lineRule="auto"/>
        <w:jc w:val="both"/>
      </w:pPr>
      <w:r w:rsidRPr="0038767A">
        <w:t xml:space="preserve">The Audit Committee </w:t>
      </w:r>
      <w:r>
        <w:t>workplan</w:t>
      </w:r>
      <w:r w:rsidRPr="0038767A">
        <w:t xml:space="preserve"> recommends that losses and special payments made by the Health Board </w:t>
      </w:r>
      <w:r>
        <w:t>are</w:t>
      </w:r>
      <w:r w:rsidRPr="0038767A">
        <w:t xml:space="preserve"> reported to the Audit Committee. This report addresses that requirement by providing an update on losses and special payments, for the period 1</w:t>
      </w:r>
      <w:r w:rsidRPr="004D5250">
        <w:rPr>
          <w:vertAlign w:val="superscript"/>
        </w:rPr>
        <w:t>st</w:t>
      </w:r>
      <w:r w:rsidRPr="0038767A">
        <w:t xml:space="preserve"> A</w:t>
      </w:r>
      <w:r w:rsidR="00B216CC">
        <w:t>ugust</w:t>
      </w:r>
      <w:r w:rsidRPr="0038767A">
        <w:t xml:space="preserve"> 2025 to 31</w:t>
      </w:r>
      <w:r w:rsidRPr="004D5250">
        <w:rPr>
          <w:vertAlign w:val="superscript"/>
        </w:rPr>
        <w:t>st</w:t>
      </w:r>
      <w:r w:rsidRPr="0038767A">
        <w:t xml:space="preserve"> </w:t>
      </w:r>
      <w:r w:rsidR="00B216CC">
        <w:t>March</w:t>
      </w:r>
      <w:r w:rsidRPr="0038767A">
        <w:t xml:space="preserve"> 202</w:t>
      </w:r>
      <w:r w:rsidR="00B216CC">
        <w:t>6</w:t>
      </w:r>
      <w:r w:rsidR="007A3933">
        <w:t>.</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2B729760" w14:textId="66FE9B91" w:rsidR="008671BB" w:rsidRPr="0038767A" w:rsidRDefault="008671BB" w:rsidP="008671BB">
      <w:pPr>
        <w:pStyle w:val="ListParagraph"/>
        <w:numPr>
          <w:ilvl w:val="1"/>
          <w:numId w:val="13"/>
        </w:numPr>
        <w:spacing w:after="0" w:line="240" w:lineRule="auto"/>
        <w:jc w:val="both"/>
      </w:pPr>
      <w:r w:rsidRPr="0038767A">
        <w:t>The losses and special payments recorded during the period totalled £</w:t>
      </w:r>
      <w:r w:rsidR="006F446A">
        <w:t>27,476,796</w:t>
      </w:r>
      <w:r w:rsidRPr="0038767A">
        <w:t xml:space="preserve"> with the majority of </w:t>
      </w:r>
      <w:proofErr w:type="gramStart"/>
      <w:r w:rsidRPr="0038767A">
        <w:t>this comprising payments</w:t>
      </w:r>
      <w:proofErr w:type="gramEnd"/>
      <w:r w:rsidRPr="0038767A">
        <w:t xml:space="preserve"> in respect of Clinical Negligence, Redress and Personal Injury. </w:t>
      </w:r>
    </w:p>
    <w:p w14:paraId="6625FBB0" w14:textId="77777777" w:rsidR="008671BB" w:rsidRPr="0038767A" w:rsidRDefault="008671BB" w:rsidP="008671BB">
      <w:pPr>
        <w:pStyle w:val="ListParagraph"/>
        <w:spacing w:after="0" w:line="240" w:lineRule="auto"/>
        <w:jc w:val="both"/>
        <w:rPr>
          <w:highlight w:val="yellow"/>
        </w:rPr>
      </w:pPr>
    </w:p>
    <w:p w14:paraId="5A358985" w14:textId="539B9793" w:rsidR="008671BB" w:rsidRPr="0038767A" w:rsidRDefault="008671BB" w:rsidP="008671BB">
      <w:pPr>
        <w:pStyle w:val="ListParagraph"/>
        <w:numPr>
          <w:ilvl w:val="1"/>
          <w:numId w:val="13"/>
        </w:numPr>
        <w:spacing w:after="0" w:line="240" w:lineRule="auto"/>
        <w:jc w:val="both"/>
      </w:pPr>
      <w:r w:rsidRPr="0038767A">
        <w:t xml:space="preserve">These losses are detailed in </w:t>
      </w:r>
      <w:r w:rsidRPr="008671BB">
        <w:rPr>
          <w:b/>
        </w:rPr>
        <w:t xml:space="preserve">Appendices A to I </w:t>
      </w:r>
      <w:r w:rsidRPr="0038767A">
        <w:t>and summarised below:</w:t>
      </w:r>
    </w:p>
    <w:p w14:paraId="52E99373" w14:textId="77777777" w:rsidR="008671BB" w:rsidRPr="0038767A" w:rsidRDefault="008671BB" w:rsidP="008671BB">
      <w:pPr>
        <w:pStyle w:val="ListParagraph"/>
        <w:spacing w:after="0" w:line="240" w:lineRule="auto"/>
        <w:ind w:left="709"/>
        <w:jc w:val="both"/>
        <w:rPr>
          <w:highlight w:val="yellow"/>
        </w:rPr>
      </w:pPr>
    </w:p>
    <w:tbl>
      <w:tblPr>
        <w:tblW w:w="7043" w:type="dxa"/>
        <w:tblInd w:w="720" w:type="dxa"/>
        <w:tblLook w:val="04A0" w:firstRow="1" w:lastRow="0" w:firstColumn="1" w:lastColumn="0" w:noHBand="0" w:noVBand="1"/>
      </w:tblPr>
      <w:tblGrid>
        <w:gridCol w:w="4806"/>
        <w:gridCol w:w="2237"/>
      </w:tblGrid>
      <w:tr w:rsidR="008671BB" w:rsidRPr="0038767A" w14:paraId="38068E6A" w14:textId="77777777" w:rsidTr="00335B0F">
        <w:trPr>
          <w:trHeight w:val="310"/>
        </w:trPr>
        <w:tc>
          <w:tcPr>
            <w:tcW w:w="4952" w:type="dxa"/>
            <w:tcBorders>
              <w:top w:val="single" w:sz="8" w:space="0" w:color="000000"/>
              <w:left w:val="single" w:sz="8" w:space="0" w:color="000000"/>
              <w:bottom w:val="nil"/>
              <w:right w:val="single" w:sz="8" w:space="0" w:color="000000"/>
            </w:tcBorders>
            <w:shd w:val="clear" w:color="000000" w:fill="BFBFBF"/>
            <w:vAlign w:val="center"/>
            <w:hideMark/>
          </w:tcPr>
          <w:p w14:paraId="65CA7E56" w14:textId="77777777" w:rsidR="008671BB" w:rsidRPr="0038767A" w:rsidRDefault="008671BB" w:rsidP="00335B0F">
            <w:pPr>
              <w:spacing w:after="0" w:line="240" w:lineRule="auto"/>
              <w:ind w:firstLineChars="200" w:firstLine="482"/>
              <w:rPr>
                <w:rFonts w:eastAsia="Times New Roman"/>
                <w:b/>
                <w:bCs/>
                <w:color w:val="000000"/>
                <w:lang w:eastAsia="en-GB"/>
              </w:rPr>
            </w:pPr>
            <w:r w:rsidRPr="0038767A">
              <w:rPr>
                <w:rFonts w:eastAsia="Times New Roman"/>
                <w:b/>
                <w:bCs/>
                <w:color w:val="000000"/>
                <w:lang w:eastAsia="en-GB"/>
              </w:rPr>
              <w:t>Loss Type</w:t>
            </w:r>
          </w:p>
        </w:tc>
        <w:tc>
          <w:tcPr>
            <w:tcW w:w="2091" w:type="dxa"/>
            <w:tcBorders>
              <w:top w:val="single" w:sz="8" w:space="0" w:color="000000"/>
              <w:left w:val="nil"/>
              <w:bottom w:val="nil"/>
              <w:right w:val="single" w:sz="8" w:space="0" w:color="000000"/>
            </w:tcBorders>
            <w:shd w:val="clear" w:color="000000" w:fill="BFBFBF"/>
            <w:vAlign w:val="center"/>
            <w:hideMark/>
          </w:tcPr>
          <w:p w14:paraId="245DA819" w14:textId="77777777" w:rsidR="008671BB" w:rsidRPr="0038767A" w:rsidRDefault="008671BB" w:rsidP="00335B0F">
            <w:pPr>
              <w:spacing w:after="0" w:line="240" w:lineRule="auto"/>
              <w:ind w:firstLineChars="200" w:firstLine="482"/>
              <w:rPr>
                <w:rFonts w:eastAsia="Times New Roman"/>
                <w:b/>
                <w:bCs/>
                <w:color w:val="000000"/>
                <w:lang w:eastAsia="en-GB"/>
              </w:rPr>
            </w:pPr>
            <w:r w:rsidRPr="0038767A">
              <w:rPr>
                <w:rFonts w:eastAsia="Times New Roman"/>
                <w:b/>
                <w:bCs/>
                <w:color w:val="000000"/>
                <w:lang w:eastAsia="en-GB"/>
              </w:rPr>
              <w:t>Value</w:t>
            </w:r>
          </w:p>
        </w:tc>
      </w:tr>
      <w:tr w:rsidR="008671BB" w:rsidRPr="0038767A" w14:paraId="1FE95E47" w14:textId="77777777" w:rsidTr="00335B0F">
        <w:trPr>
          <w:trHeight w:val="320"/>
        </w:trPr>
        <w:tc>
          <w:tcPr>
            <w:tcW w:w="4952" w:type="dxa"/>
            <w:tcBorders>
              <w:top w:val="nil"/>
              <w:left w:val="single" w:sz="8" w:space="0" w:color="000000"/>
              <w:bottom w:val="single" w:sz="8" w:space="0" w:color="000000"/>
              <w:right w:val="single" w:sz="8" w:space="0" w:color="000000"/>
            </w:tcBorders>
            <w:shd w:val="clear" w:color="000000" w:fill="BFBFBF"/>
            <w:vAlign w:val="center"/>
            <w:hideMark/>
          </w:tcPr>
          <w:p w14:paraId="6E924F59" w14:textId="77777777" w:rsidR="008671BB" w:rsidRPr="0038767A" w:rsidRDefault="008671BB" w:rsidP="00335B0F">
            <w:pPr>
              <w:spacing w:after="0" w:line="240" w:lineRule="auto"/>
              <w:ind w:firstLineChars="200" w:firstLine="482"/>
              <w:rPr>
                <w:rFonts w:eastAsia="Times New Roman"/>
                <w:b/>
                <w:bCs/>
                <w:color w:val="000000"/>
                <w:lang w:eastAsia="en-GB"/>
              </w:rPr>
            </w:pPr>
            <w:r w:rsidRPr="0038767A">
              <w:rPr>
                <w:rFonts w:eastAsia="Times New Roman"/>
                <w:b/>
                <w:bCs/>
                <w:color w:val="000000"/>
                <w:lang w:eastAsia="en-GB"/>
              </w:rPr>
              <w:t> </w:t>
            </w:r>
          </w:p>
        </w:tc>
        <w:tc>
          <w:tcPr>
            <w:tcW w:w="2091" w:type="dxa"/>
            <w:tcBorders>
              <w:top w:val="nil"/>
              <w:left w:val="nil"/>
              <w:bottom w:val="single" w:sz="8" w:space="0" w:color="000000"/>
              <w:right w:val="single" w:sz="8" w:space="0" w:color="000000"/>
            </w:tcBorders>
            <w:shd w:val="clear" w:color="000000" w:fill="BFBFBF"/>
            <w:vAlign w:val="center"/>
            <w:hideMark/>
          </w:tcPr>
          <w:p w14:paraId="7DFAF72C" w14:textId="77777777" w:rsidR="008671BB" w:rsidRPr="0038767A" w:rsidRDefault="008671BB" w:rsidP="00335B0F">
            <w:pPr>
              <w:spacing w:after="0" w:line="240" w:lineRule="auto"/>
              <w:ind w:firstLineChars="200" w:firstLine="482"/>
              <w:rPr>
                <w:rFonts w:eastAsia="Times New Roman"/>
                <w:b/>
                <w:bCs/>
                <w:color w:val="000000"/>
                <w:lang w:eastAsia="en-GB"/>
              </w:rPr>
            </w:pPr>
            <w:r w:rsidRPr="0038767A">
              <w:rPr>
                <w:rFonts w:eastAsia="Times New Roman"/>
                <w:b/>
                <w:bCs/>
                <w:color w:val="000000"/>
                <w:lang w:eastAsia="en-GB"/>
              </w:rPr>
              <w:t>£</w:t>
            </w:r>
          </w:p>
        </w:tc>
      </w:tr>
      <w:tr w:rsidR="008671BB" w:rsidRPr="0038767A" w14:paraId="65AE2370"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56D2970B" w14:textId="77777777" w:rsidR="008671BB" w:rsidRPr="0038767A" w:rsidRDefault="008671BB" w:rsidP="00335B0F">
            <w:pPr>
              <w:spacing w:after="0" w:line="240" w:lineRule="auto"/>
              <w:rPr>
                <w:rFonts w:eastAsia="Times New Roman"/>
                <w:color w:val="000000"/>
                <w:highlight w:val="yellow"/>
                <w:lang w:eastAsia="en-GB"/>
              </w:rPr>
            </w:pPr>
            <w:r w:rsidRPr="0038767A">
              <w:rPr>
                <w:rFonts w:eastAsia="Times New Roman"/>
                <w:color w:val="000000"/>
                <w:lang w:eastAsia="en-GB"/>
              </w:rPr>
              <w:t>Obsolete Drug Stock</w:t>
            </w:r>
          </w:p>
        </w:tc>
        <w:tc>
          <w:tcPr>
            <w:tcW w:w="2091" w:type="dxa"/>
            <w:tcBorders>
              <w:top w:val="nil"/>
              <w:left w:val="nil"/>
              <w:bottom w:val="single" w:sz="8" w:space="0" w:color="000000"/>
              <w:right w:val="single" w:sz="8" w:space="0" w:color="000000"/>
            </w:tcBorders>
            <w:vAlign w:val="center"/>
            <w:hideMark/>
          </w:tcPr>
          <w:p w14:paraId="67F9653F" w14:textId="2EA4878D" w:rsidR="008671BB" w:rsidRPr="0038767A" w:rsidRDefault="00777C8F"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6,613</w:t>
            </w:r>
          </w:p>
        </w:tc>
      </w:tr>
      <w:tr w:rsidR="008671BB" w:rsidRPr="0038767A" w14:paraId="458881B3"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64925BB3"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Ex Gratia Payments</w:t>
            </w:r>
          </w:p>
        </w:tc>
        <w:tc>
          <w:tcPr>
            <w:tcW w:w="2091" w:type="dxa"/>
            <w:tcBorders>
              <w:top w:val="nil"/>
              <w:left w:val="nil"/>
              <w:bottom w:val="single" w:sz="8" w:space="0" w:color="000000"/>
              <w:right w:val="single" w:sz="8" w:space="0" w:color="000000"/>
            </w:tcBorders>
            <w:vAlign w:val="center"/>
            <w:hideMark/>
          </w:tcPr>
          <w:p w14:paraId="5DD4BDF6" w14:textId="3692C4A6" w:rsidR="008671BB" w:rsidRPr="0038767A" w:rsidRDefault="001754AA"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17,237</w:t>
            </w:r>
          </w:p>
        </w:tc>
      </w:tr>
      <w:tr w:rsidR="008671BB" w:rsidRPr="0038767A" w14:paraId="46EF8F46"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20E4891F"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Bad Debts Written Off</w:t>
            </w:r>
          </w:p>
        </w:tc>
        <w:tc>
          <w:tcPr>
            <w:tcW w:w="2091" w:type="dxa"/>
            <w:tcBorders>
              <w:top w:val="nil"/>
              <w:left w:val="nil"/>
              <w:bottom w:val="single" w:sz="8" w:space="0" w:color="000000"/>
              <w:right w:val="single" w:sz="8" w:space="0" w:color="000000"/>
            </w:tcBorders>
            <w:vAlign w:val="center"/>
            <w:hideMark/>
          </w:tcPr>
          <w:p w14:paraId="7A6D1C9C" w14:textId="4C833104" w:rsidR="008671BB" w:rsidRPr="0038767A" w:rsidRDefault="0016741C"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8,774</w:t>
            </w:r>
          </w:p>
        </w:tc>
      </w:tr>
      <w:tr w:rsidR="008671BB" w:rsidRPr="0038767A" w14:paraId="535A6C81"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6F583AFB"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Redress Payments</w:t>
            </w:r>
          </w:p>
        </w:tc>
        <w:tc>
          <w:tcPr>
            <w:tcW w:w="2091" w:type="dxa"/>
            <w:tcBorders>
              <w:top w:val="nil"/>
              <w:left w:val="nil"/>
              <w:bottom w:val="single" w:sz="8" w:space="0" w:color="000000"/>
              <w:right w:val="single" w:sz="8" w:space="0" w:color="000000"/>
            </w:tcBorders>
            <w:vAlign w:val="center"/>
          </w:tcPr>
          <w:p w14:paraId="26DBA51F" w14:textId="5430A846" w:rsidR="008671BB" w:rsidRPr="0038767A" w:rsidRDefault="0016741C"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423,372</w:t>
            </w:r>
          </w:p>
        </w:tc>
      </w:tr>
      <w:tr w:rsidR="008671BB" w:rsidRPr="0038767A" w14:paraId="1DA4B261"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4F016D53"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GP Indemnity Payments</w:t>
            </w:r>
          </w:p>
        </w:tc>
        <w:tc>
          <w:tcPr>
            <w:tcW w:w="2091" w:type="dxa"/>
            <w:tcBorders>
              <w:top w:val="nil"/>
              <w:left w:val="nil"/>
              <w:bottom w:val="single" w:sz="8" w:space="0" w:color="000000"/>
              <w:right w:val="single" w:sz="8" w:space="0" w:color="000000"/>
            </w:tcBorders>
            <w:vAlign w:val="center"/>
          </w:tcPr>
          <w:p w14:paraId="04CBE88A" w14:textId="1082D041" w:rsidR="008671BB" w:rsidRPr="0038767A" w:rsidRDefault="005B70E9"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255,492</w:t>
            </w:r>
          </w:p>
        </w:tc>
      </w:tr>
      <w:tr w:rsidR="008671BB" w:rsidRPr="0038767A" w14:paraId="2C5B135F"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525BE836" w14:textId="77777777" w:rsidR="008671BB" w:rsidRPr="0038767A" w:rsidRDefault="008671BB" w:rsidP="00335B0F">
            <w:pPr>
              <w:spacing w:after="0" w:line="240" w:lineRule="auto"/>
              <w:rPr>
                <w:rFonts w:eastAsia="Times New Roman"/>
                <w:lang w:eastAsia="en-GB"/>
              </w:rPr>
            </w:pPr>
            <w:r w:rsidRPr="0038767A">
              <w:rPr>
                <w:rFonts w:eastAsia="Times New Roman"/>
                <w:lang w:eastAsia="en-GB"/>
              </w:rPr>
              <w:t>Clinical Negligence - Defence Fees</w:t>
            </w:r>
          </w:p>
        </w:tc>
        <w:tc>
          <w:tcPr>
            <w:tcW w:w="2091" w:type="dxa"/>
            <w:tcBorders>
              <w:top w:val="nil"/>
              <w:left w:val="nil"/>
              <w:bottom w:val="single" w:sz="8" w:space="0" w:color="000000"/>
              <w:right w:val="single" w:sz="8" w:space="0" w:color="000000"/>
            </w:tcBorders>
            <w:vAlign w:val="center"/>
          </w:tcPr>
          <w:p w14:paraId="2AE84991" w14:textId="754515F0" w:rsidR="008671BB" w:rsidRPr="0038767A" w:rsidRDefault="00CC6A1E"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630,971</w:t>
            </w:r>
          </w:p>
        </w:tc>
      </w:tr>
      <w:tr w:rsidR="008671BB" w:rsidRPr="0038767A" w14:paraId="093E2A8E"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3D02F93B" w14:textId="77777777" w:rsidR="008671BB" w:rsidRPr="0038767A" w:rsidRDefault="008671BB" w:rsidP="00335B0F">
            <w:pPr>
              <w:spacing w:after="0" w:line="240" w:lineRule="auto"/>
              <w:rPr>
                <w:rFonts w:eastAsia="Times New Roman"/>
                <w:lang w:eastAsia="en-GB"/>
              </w:rPr>
            </w:pPr>
            <w:r w:rsidRPr="0038767A">
              <w:rPr>
                <w:rFonts w:eastAsia="Times New Roman"/>
                <w:lang w:eastAsia="en-GB"/>
              </w:rPr>
              <w:t>Clinical Negligence - Claimant Costs</w:t>
            </w:r>
          </w:p>
        </w:tc>
        <w:tc>
          <w:tcPr>
            <w:tcW w:w="2091" w:type="dxa"/>
            <w:tcBorders>
              <w:top w:val="nil"/>
              <w:left w:val="nil"/>
              <w:bottom w:val="single" w:sz="8" w:space="0" w:color="000000"/>
              <w:right w:val="single" w:sz="8" w:space="0" w:color="000000"/>
            </w:tcBorders>
            <w:vAlign w:val="center"/>
          </w:tcPr>
          <w:p w14:paraId="36201E7B" w14:textId="14FC2959" w:rsidR="008671BB" w:rsidRPr="0038767A" w:rsidRDefault="00CC6A1E"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3,965,131</w:t>
            </w:r>
          </w:p>
        </w:tc>
      </w:tr>
      <w:tr w:rsidR="008671BB" w:rsidRPr="0038767A" w14:paraId="0A623979"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30F34335" w14:textId="77777777" w:rsidR="008671BB" w:rsidRPr="0038767A" w:rsidRDefault="008671BB" w:rsidP="00335B0F">
            <w:pPr>
              <w:spacing w:after="0" w:line="240" w:lineRule="auto"/>
              <w:rPr>
                <w:rFonts w:eastAsia="Times New Roman"/>
                <w:lang w:eastAsia="en-GB"/>
              </w:rPr>
            </w:pPr>
            <w:r w:rsidRPr="0038767A">
              <w:rPr>
                <w:rFonts w:eastAsia="Times New Roman"/>
                <w:lang w:eastAsia="en-GB"/>
              </w:rPr>
              <w:t>Clinical Negligence - Damages</w:t>
            </w:r>
          </w:p>
        </w:tc>
        <w:tc>
          <w:tcPr>
            <w:tcW w:w="2091" w:type="dxa"/>
            <w:tcBorders>
              <w:top w:val="nil"/>
              <w:left w:val="nil"/>
              <w:bottom w:val="single" w:sz="8" w:space="0" w:color="000000"/>
              <w:right w:val="single" w:sz="8" w:space="0" w:color="000000"/>
            </w:tcBorders>
            <w:vAlign w:val="center"/>
          </w:tcPr>
          <w:p w14:paraId="7F6615E0" w14:textId="7840781A" w:rsidR="008671BB" w:rsidRPr="0038767A" w:rsidRDefault="00CC6A1E"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17,368,945</w:t>
            </w:r>
          </w:p>
        </w:tc>
      </w:tr>
      <w:tr w:rsidR="008671BB" w:rsidRPr="0038767A" w14:paraId="7F4B152F"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75439D9D"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Clinical Negligence - CRU Payments</w:t>
            </w:r>
          </w:p>
        </w:tc>
        <w:tc>
          <w:tcPr>
            <w:tcW w:w="2091" w:type="dxa"/>
            <w:tcBorders>
              <w:top w:val="nil"/>
              <w:left w:val="nil"/>
              <w:bottom w:val="single" w:sz="8" w:space="0" w:color="000000"/>
              <w:right w:val="single" w:sz="8" w:space="0" w:color="000000"/>
            </w:tcBorders>
            <w:vAlign w:val="center"/>
          </w:tcPr>
          <w:p w14:paraId="3E0274E4" w14:textId="295F0C2E" w:rsidR="008671BB" w:rsidRPr="0038767A" w:rsidRDefault="00CC6A1E"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214,830</w:t>
            </w:r>
          </w:p>
        </w:tc>
      </w:tr>
      <w:tr w:rsidR="008671BB" w:rsidRPr="0038767A" w14:paraId="39DFEA0A" w14:textId="77777777" w:rsidTr="00335B0F">
        <w:trPr>
          <w:trHeight w:val="305"/>
        </w:trPr>
        <w:tc>
          <w:tcPr>
            <w:tcW w:w="4952" w:type="dxa"/>
            <w:tcBorders>
              <w:top w:val="nil"/>
              <w:left w:val="single" w:sz="8" w:space="0" w:color="000000"/>
              <w:bottom w:val="single" w:sz="8" w:space="0" w:color="000000"/>
              <w:right w:val="single" w:sz="8" w:space="0" w:color="000000"/>
            </w:tcBorders>
            <w:vAlign w:val="center"/>
            <w:hideMark/>
          </w:tcPr>
          <w:p w14:paraId="7E789B6A"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Personal Injury - Defence Fees</w:t>
            </w:r>
          </w:p>
        </w:tc>
        <w:tc>
          <w:tcPr>
            <w:tcW w:w="2091" w:type="dxa"/>
            <w:tcBorders>
              <w:top w:val="nil"/>
              <w:left w:val="nil"/>
              <w:bottom w:val="single" w:sz="8" w:space="0" w:color="000000"/>
              <w:right w:val="single" w:sz="8" w:space="0" w:color="000000"/>
            </w:tcBorders>
            <w:vAlign w:val="center"/>
          </w:tcPr>
          <w:p w14:paraId="73EF2EB6" w14:textId="5DB5A8B8" w:rsidR="008671BB" w:rsidRPr="0038767A" w:rsidRDefault="008671BB" w:rsidP="00335B0F">
            <w:pPr>
              <w:spacing w:after="0" w:line="240" w:lineRule="auto"/>
              <w:ind w:firstLineChars="200" w:firstLine="480"/>
              <w:jc w:val="right"/>
              <w:rPr>
                <w:rFonts w:eastAsia="Times New Roman"/>
                <w:color w:val="000000"/>
                <w:lang w:eastAsia="en-GB"/>
              </w:rPr>
            </w:pPr>
            <w:r w:rsidRPr="0038767A">
              <w:rPr>
                <w:rFonts w:eastAsia="Times New Roman"/>
                <w:color w:val="000000"/>
                <w:lang w:eastAsia="en-GB"/>
              </w:rPr>
              <w:t>2</w:t>
            </w:r>
            <w:r w:rsidR="00CC6A1E">
              <w:rPr>
                <w:rFonts w:eastAsia="Times New Roman"/>
                <w:color w:val="000000"/>
                <w:lang w:eastAsia="en-GB"/>
              </w:rPr>
              <w:t>04,364</w:t>
            </w:r>
          </w:p>
        </w:tc>
      </w:tr>
      <w:tr w:rsidR="008671BB" w:rsidRPr="0038767A" w14:paraId="0DCD319F"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5E224717"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Personal Injury - Claimant Costs</w:t>
            </w:r>
          </w:p>
        </w:tc>
        <w:tc>
          <w:tcPr>
            <w:tcW w:w="2091" w:type="dxa"/>
            <w:tcBorders>
              <w:top w:val="nil"/>
              <w:left w:val="nil"/>
              <w:bottom w:val="single" w:sz="8" w:space="0" w:color="000000"/>
              <w:right w:val="single" w:sz="8" w:space="0" w:color="000000"/>
            </w:tcBorders>
            <w:vAlign w:val="center"/>
          </w:tcPr>
          <w:p w14:paraId="640E25CE" w14:textId="6D604FAB" w:rsidR="008671BB" w:rsidRPr="0038767A" w:rsidRDefault="00B86229"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202,567</w:t>
            </w:r>
          </w:p>
        </w:tc>
      </w:tr>
      <w:tr w:rsidR="008671BB" w:rsidRPr="0038767A" w14:paraId="36EE6979"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13F555D0"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Personal Injury - Damages</w:t>
            </w:r>
          </w:p>
        </w:tc>
        <w:tc>
          <w:tcPr>
            <w:tcW w:w="2091" w:type="dxa"/>
            <w:tcBorders>
              <w:top w:val="nil"/>
              <w:left w:val="nil"/>
              <w:bottom w:val="single" w:sz="8" w:space="0" w:color="000000"/>
              <w:right w:val="single" w:sz="8" w:space="0" w:color="000000"/>
            </w:tcBorders>
            <w:vAlign w:val="center"/>
          </w:tcPr>
          <w:p w14:paraId="45E9D71E" w14:textId="3B02EDD6" w:rsidR="008671BB" w:rsidRPr="0038767A" w:rsidRDefault="00B86229"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133,092</w:t>
            </w:r>
          </w:p>
        </w:tc>
      </w:tr>
      <w:tr w:rsidR="008671BB" w:rsidRPr="0038767A" w14:paraId="30313A84"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73511D0C" w14:textId="77777777" w:rsidR="008671BB" w:rsidRPr="0038767A" w:rsidRDefault="008671BB" w:rsidP="00335B0F">
            <w:pPr>
              <w:spacing w:after="0" w:line="240" w:lineRule="auto"/>
              <w:rPr>
                <w:rFonts w:eastAsia="Times New Roman"/>
                <w:color w:val="000000"/>
                <w:lang w:eastAsia="en-GB"/>
              </w:rPr>
            </w:pPr>
            <w:r w:rsidRPr="0038767A">
              <w:rPr>
                <w:rFonts w:eastAsia="Times New Roman"/>
                <w:color w:val="000000"/>
                <w:lang w:eastAsia="en-GB"/>
              </w:rPr>
              <w:t>Personal Injury CRU Payments</w:t>
            </w:r>
          </w:p>
        </w:tc>
        <w:tc>
          <w:tcPr>
            <w:tcW w:w="2091" w:type="dxa"/>
            <w:tcBorders>
              <w:top w:val="nil"/>
              <w:left w:val="nil"/>
              <w:bottom w:val="single" w:sz="8" w:space="0" w:color="000000"/>
              <w:right w:val="single" w:sz="8" w:space="0" w:color="000000"/>
            </w:tcBorders>
            <w:vAlign w:val="center"/>
          </w:tcPr>
          <w:p w14:paraId="09D44A40" w14:textId="77777777" w:rsidR="008671BB" w:rsidRPr="0038767A" w:rsidRDefault="008671BB" w:rsidP="00335B0F">
            <w:pPr>
              <w:spacing w:after="0" w:line="240" w:lineRule="auto"/>
              <w:ind w:firstLineChars="200" w:firstLine="480"/>
              <w:jc w:val="right"/>
              <w:rPr>
                <w:rFonts w:eastAsia="Times New Roman"/>
                <w:color w:val="000000"/>
                <w:lang w:eastAsia="en-GB"/>
              </w:rPr>
            </w:pPr>
            <w:r w:rsidRPr="0038767A">
              <w:rPr>
                <w:rFonts w:eastAsia="Times New Roman"/>
                <w:color w:val="000000"/>
                <w:lang w:eastAsia="en-GB"/>
              </w:rPr>
              <w:t>0</w:t>
            </w:r>
          </w:p>
        </w:tc>
      </w:tr>
      <w:tr w:rsidR="005468A5" w:rsidRPr="0038767A" w14:paraId="3DD27AB2"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tcPr>
          <w:p w14:paraId="386B6184" w14:textId="693EF074" w:rsidR="005468A5" w:rsidRPr="0038767A" w:rsidRDefault="001754AA" w:rsidP="00335B0F">
            <w:pPr>
              <w:spacing w:after="0" w:line="240" w:lineRule="auto"/>
              <w:rPr>
                <w:rFonts w:eastAsia="Times New Roman"/>
                <w:color w:val="000000"/>
                <w:lang w:eastAsia="en-GB"/>
              </w:rPr>
            </w:pPr>
            <w:r>
              <w:rPr>
                <w:rFonts w:eastAsia="Times New Roman"/>
                <w:color w:val="000000"/>
                <w:lang w:eastAsia="en-GB"/>
              </w:rPr>
              <w:t xml:space="preserve">Ex gratia - </w:t>
            </w:r>
            <w:r w:rsidR="005468A5">
              <w:rPr>
                <w:rFonts w:eastAsia="Times New Roman"/>
                <w:color w:val="000000"/>
                <w:lang w:eastAsia="en-GB"/>
              </w:rPr>
              <w:t>Band 2-3 Recognition Payment</w:t>
            </w:r>
          </w:p>
        </w:tc>
        <w:tc>
          <w:tcPr>
            <w:tcW w:w="2091" w:type="dxa"/>
            <w:tcBorders>
              <w:top w:val="nil"/>
              <w:left w:val="nil"/>
              <w:bottom w:val="single" w:sz="8" w:space="0" w:color="000000"/>
              <w:right w:val="single" w:sz="8" w:space="0" w:color="000000"/>
            </w:tcBorders>
            <w:vAlign w:val="center"/>
          </w:tcPr>
          <w:p w14:paraId="0A88D14F" w14:textId="63840327" w:rsidR="005468A5" w:rsidRPr="0038767A" w:rsidRDefault="004E2201"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4,045,408</w:t>
            </w:r>
          </w:p>
        </w:tc>
      </w:tr>
      <w:tr w:rsidR="008671BB" w:rsidRPr="0038767A" w14:paraId="263C109E" w14:textId="77777777" w:rsidTr="00335B0F">
        <w:trPr>
          <w:trHeight w:val="320"/>
        </w:trPr>
        <w:tc>
          <w:tcPr>
            <w:tcW w:w="4952" w:type="dxa"/>
            <w:tcBorders>
              <w:top w:val="nil"/>
              <w:left w:val="single" w:sz="8" w:space="0" w:color="000000"/>
              <w:bottom w:val="single" w:sz="8" w:space="0" w:color="000000"/>
              <w:right w:val="single" w:sz="8" w:space="0" w:color="000000"/>
            </w:tcBorders>
            <w:vAlign w:val="center"/>
            <w:hideMark/>
          </w:tcPr>
          <w:p w14:paraId="6B9E9572" w14:textId="77777777" w:rsidR="008671BB" w:rsidRPr="0038767A" w:rsidRDefault="008671BB" w:rsidP="00335B0F">
            <w:pPr>
              <w:spacing w:after="0" w:line="240" w:lineRule="auto"/>
              <w:rPr>
                <w:rFonts w:eastAsia="Times New Roman"/>
                <w:b/>
                <w:bCs/>
                <w:color w:val="000000"/>
                <w:lang w:eastAsia="en-GB"/>
              </w:rPr>
            </w:pPr>
            <w:r w:rsidRPr="0038767A">
              <w:rPr>
                <w:rFonts w:eastAsia="Times New Roman"/>
                <w:b/>
                <w:bCs/>
                <w:color w:val="000000"/>
                <w:lang w:eastAsia="en-GB"/>
              </w:rPr>
              <w:t>Total</w:t>
            </w:r>
          </w:p>
        </w:tc>
        <w:tc>
          <w:tcPr>
            <w:tcW w:w="2091" w:type="dxa"/>
            <w:tcBorders>
              <w:top w:val="nil"/>
              <w:left w:val="nil"/>
              <w:bottom w:val="single" w:sz="8" w:space="0" w:color="000000"/>
              <w:right w:val="single" w:sz="8" w:space="0" w:color="000000"/>
            </w:tcBorders>
            <w:vAlign w:val="center"/>
          </w:tcPr>
          <w:p w14:paraId="3DD818CC" w14:textId="0AD4254B" w:rsidR="008671BB" w:rsidRPr="0038767A" w:rsidRDefault="00B86229" w:rsidP="00335B0F">
            <w:pPr>
              <w:spacing w:after="0" w:line="240" w:lineRule="auto"/>
              <w:ind w:firstLineChars="200" w:firstLine="482"/>
              <w:jc w:val="right"/>
              <w:rPr>
                <w:rFonts w:eastAsia="Times New Roman"/>
                <w:b/>
                <w:bCs/>
                <w:color w:val="000000"/>
                <w:lang w:eastAsia="en-GB"/>
              </w:rPr>
            </w:pPr>
            <w:r>
              <w:rPr>
                <w:rFonts w:eastAsia="Times New Roman"/>
                <w:b/>
                <w:bCs/>
                <w:color w:val="000000"/>
                <w:lang w:eastAsia="en-GB"/>
              </w:rPr>
              <w:t>27,476,796</w:t>
            </w:r>
          </w:p>
        </w:tc>
      </w:tr>
    </w:tbl>
    <w:p w14:paraId="69565450" w14:textId="77777777" w:rsidR="008671BB" w:rsidRPr="0038767A" w:rsidRDefault="008671BB" w:rsidP="008671BB">
      <w:pPr>
        <w:pStyle w:val="ListParagraph"/>
        <w:spacing w:after="0" w:line="240" w:lineRule="auto"/>
        <w:ind w:left="709"/>
        <w:jc w:val="both"/>
      </w:pPr>
    </w:p>
    <w:p w14:paraId="2FED75E1" w14:textId="6D130BA7" w:rsidR="008671BB" w:rsidRPr="0038767A" w:rsidRDefault="008671BB" w:rsidP="008671BB">
      <w:pPr>
        <w:pStyle w:val="ListParagraph"/>
        <w:numPr>
          <w:ilvl w:val="1"/>
          <w:numId w:val="13"/>
        </w:numPr>
        <w:spacing w:after="0" w:line="240" w:lineRule="auto"/>
        <w:jc w:val="both"/>
      </w:pPr>
      <w:r w:rsidRPr="0038767A">
        <w:t>The gross loss of £</w:t>
      </w:r>
      <w:r w:rsidR="002914E9">
        <w:t>27,476,796</w:t>
      </w:r>
      <w:r w:rsidRPr="0038767A">
        <w:t xml:space="preserve"> for the period 1</w:t>
      </w:r>
      <w:r w:rsidRPr="008671BB">
        <w:rPr>
          <w:vertAlign w:val="superscript"/>
        </w:rPr>
        <w:t>st</w:t>
      </w:r>
      <w:r w:rsidRPr="0038767A">
        <w:t xml:space="preserve"> A</w:t>
      </w:r>
      <w:r w:rsidR="002914E9">
        <w:t>ugust</w:t>
      </w:r>
      <w:r w:rsidRPr="0038767A">
        <w:t xml:space="preserve"> 2025 to 31</w:t>
      </w:r>
      <w:r w:rsidRPr="008671BB">
        <w:rPr>
          <w:vertAlign w:val="superscript"/>
        </w:rPr>
        <w:t>st</w:t>
      </w:r>
      <w:r w:rsidRPr="0038767A">
        <w:t xml:space="preserve"> </w:t>
      </w:r>
      <w:r w:rsidR="002914E9">
        <w:t>March</w:t>
      </w:r>
      <w:r w:rsidRPr="0038767A">
        <w:t xml:space="preserve"> 202</w:t>
      </w:r>
      <w:r w:rsidR="008051CD">
        <w:t>6</w:t>
      </w:r>
      <w:r w:rsidRPr="0038767A">
        <w:t xml:space="preserve"> compares to </w:t>
      </w:r>
      <w:r w:rsidR="005B4A80">
        <w:t>previous periods as shown in the following chart</w:t>
      </w:r>
      <w:r w:rsidRPr="0038767A">
        <w:t>. The chart analyses these losses and special payments on a month-by-month basis.</w:t>
      </w:r>
    </w:p>
    <w:p w14:paraId="43CFF308" w14:textId="77777777" w:rsidR="008671BB" w:rsidRPr="0038767A" w:rsidRDefault="008671BB" w:rsidP="008671BB">
      <w:pPr>
        <w:pStyle w:val="ListParagraph"/>
        <w:jc w:val="both"/>
        <w:rPr>
          <w:highlight w:val="yellow"/>
        </w:rPr>
      </w:pPr>
    </w:p>
    <w:p w14:paraId="1BAB5FE3" w14:textId="72E8C434" w:rsidR="008671BB" w:rsidRPr="0038767A" w:rsidRDefault="008671BB" w:rsidP="008671BB">
      <w:pPr>
        <w:pStyle w:val="ListParagraph"/>
        <w:jc w:val="both"/>
        <w:rPr>
          <w:highlight w:val="yellow"/>
        </w:rPr>
      </w:pPr>
    </w:p>
    <w:p w14:paraId="188A431C" w14:textId="77777777" w:rsidR="008671BB" w:rsidRPr="0038767A" w:rsidRDefault="008671BB" w:rsidP="008671BB">
      <w:pPr>
        <w:pStyle w:val="ListParagraph"/>
        <w:spacing w:after="0" w:line="240" w:lineRule="auto"/>
        <w:ind w:left="709"/>
        <w:jc w:val="both"/>
        <w:rPr>
          <w:rFonts w:eastAsia="Times New Roman"/>
          <w:lang w:eastAsia="en-GB"/>
        </w:rPr>
      </w:pPr>
    </w:p>
    <w:p w14:paraId="13582343" w14:textId="77777777" w:rsidR="004B0F83" w:rsidRDefault="004B0F83" w:rsidP="008671BB">
      <w:pPr>
        <w:pStyle w:val="ListParagraph"/>
        <w:spacing w:after="0" w:line="240" w:lineRule="auto"/>
        <w:ind w:left="709"/>
        <w:jc w:val="both"/>
      </w:pPr>
      <w:r>
        <w:rPr>
          <w:noProof/>
        </w:rPr>
        <w:lastRenderedPageBreak/>
        <w:drawing>
          <wp:inline distT="0" distB="0" distL="0" distR="0" wp14:anchorId="14BC36B7" wp14:editId="138BC274">
            <wp:extent cx="4572000" cy="2743200"/>
            <wp:effectExtent l="0" t="0" r="0" b="0"/>
            <wp:docPr id="1746881570" name="Chart 1">
              <a:extLst xmlns:a="http://schemas.openxmlformats.org/drawingml/2006/main">
                <a:ext uri="{FF2B5EF4-FFF2-40B4-BE49-F238E27FC236}">
                  <a16:creationId xmlns:a16="http://schemas.microsoft.com/office/drawing/2014/main" id="{B1943F82-93FE-B4BB-79F6-10C814CAF5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57B08BC" w14:textId="77777777" w:rsidR="002A7A16" w:rsidRDefault="002A7A16" w:rsidP="008671BB">
      <w:pPr>
        <w:pStyle w:val="ListParagraph"/>
        <w:spacing w:after="0" w:line="240" w:lineRule="auto"/>
        <w:ind w:left="709"/>
        <w:jc w:val="both"/>
      </w:pPr>
    </w:p>
    <w:p w14:paraId="0B3D5321" w14:textId="0EB2FD08" w:rsidR="008671BB" w:rsidRPr="00A57779" w:rsidRDefault="008671BB" w:rsidP="00A57779">
      <w:pPr>
        <w:spacing w:after="0" w:line="240" w:lineRule="auto"/>
        <w:jc w:val="both"/>
        <w:rPr>
          <w:highlight w:val="yellow"/>
        </w:rPr>
      </w:pPr>
      <w:r w:rsidRPr="0038767A">
        <w:t xml:space="preserve">The graph above highlights that there will be variations in payments across the year with there being no discernible trend to when cases are settled. </w:t>
      </w:r>
    </w:p>
    <w:p w14:paraId="4AAAD72E" w14:textId="77777777" w:rsidR="008671BB" w:rsidRPr="0038767A" w:rsidRDefault="008671BB" w:rsidP="008671BB">
      <w:pPr>
        <w:spacing w:after="0" w:line="240" w:lineRule="auto"/>
        <w:ind w:left="720"/>
        <w:rPr>
          <w:highlight w:val="yellow"/>
        </w:rPr>
      </w:pPr>
    </w:p>
    <w:p w14:paraId="53D07451" w14:textId="09E9F0CE" w:rsidR="008671BB" w:rsidRPr="0038767A" w:rsidRDefault="008671BB" w:rsidP="008671BB">
      <w:pPr>
        <w:spacing w:after="0" w:line="240" w:lineRule="auto"/>
        <w:ind w:left="720"/>
        <w:jc w:val="both"/>
      </w:pPr>
      <w:r w:rsidRPr="0038767A">
        <w:t xml:space="preserve">During 2023-24 £1,265,000 of </w:t>
      </w:r>
      <w:r w:rsidR="00E53E98">
        <w:t>a</w:t>
      </w:r>
      <w:r w:rsidRPr="0038767A">
        <w:t xml:space="preserve"> provision </w:t>
      </w:r>
      <w:r w:rsidR="00E53E98">
        <w:t xml:space="preserve">for a case </w:t>
      </w:r>
      <w:r w:rsidRPr="0038767A">
        <w:t>was reversed. This has resulted in the negative amount shown for May 23</w:t>
      </w:r>
      <w:r w:rsidR="00E53E98">
        <w:t>-24</w:t>
      </w:r>
      <w:r w:rsidRPr="0038767A">
        <w:t xml:space="preserve"> in the graph above. </w:t>
      </w:r>
    </w:p>
    <w:p w14:paraId="7F0B1DE4" w14:textId="77777777" w:rsidR="008671BB" w:rsidRPr="0038767A" w:rsidRDefault="008671BB" w:rsidP="008671BB">
      <w:pPr>
        <w:pStyle w:val="ListParagraph"/>
        <w:spacing w:after="0" w:line="240" w:lineRule="auto"/>
        <w:jc w:val="both"/>
      </w:pPr>
    </w:p>
    <w:p w14:paraId="6886A531" w14:textId="1C6F83D2" w:rsidR="008671BB" w:rsidRPr="0038767A" w:rsidRDefault="008671BB" w:rsidP="008671BB">
      <w:pPr>
        <w:pStyle w:val="ListParagraph"/>
        <w:spacing w:after="0" w:line="240" w:lineRule="auto"/>
        <w:ind w:left="709" w:hanging="709"/>
        <w:jc w:val="both"/>
        <w:rPr>
          <w:rFonts w:eastAsia="Times New Roman"/>
          <w:highlight w:val="yellow"/>
          <w:lang w:eastAsia="en-GB"/>
        </w:rPr>
      </w:pPr>
      <w:r w:rsidRPr="0038767A">
        <w:t>2.</w:t>
      </w:r>
      <w:r w:rsidR="009F1A40">
        <w:t>4</w:t>
      </w:r>
      <w:r w:rsidRPr="0038767A">
        <w:tab/>
      </w:r>
      <w:r>
        <w:t xml:space="preserve">The </w:t>
      </w:r>
      <w:r w:rsidRPr="0038767A">
        <w:t>Committee is reminded that as part of the transfer of assets and liabilities arising from the Bridgend boundary change, the transfer order included an exception to the principle that all assets and liabilities transfer for clinical negligence, personal injury and redress cases which were open prior to the date of transfer. Therefore this report includes payments on cases prior to 31</w:t>
      </w:r>
      <w:r w:rsidRPr="0038767A">
        <w:rPr>
          <w:vertAlign w:val="superscript"/>
        </w:rPr>
        <w:t>st</w:t>
      </w:r>
      <w:r w:rsidRPr="0038767A">
        <w:t xml:space="preserve"> March 2019 for the Princess of Wales Hospital and will continue to do so until all those cases have closed, a process which will take several years. For the period 1</w:t>
      </w:r>
      <w:r w:rsidRPr="0038767A">
        <w:rPr>
          <w:vertAlign w:val="superscript"/>
        </w:rPr>
        <w:t>st</w:t>
      </w:r>
      <w:r w:rsidRPr="0038767A">
        <w:t xml:space="preserve"> A</w:t>
      </w:r>
      <w:r w:rsidR="00537D5A">
        <w:t>ugust</w:t>
      </w:r>
      <w:r w:rsidRPr="0038767A">
        <w:t xml:space="preserve"> </w:t>
      </w:r>
      <w:r w:rsidR="00A37D4B">
        <w:t xml:space="preserve">2025 </w:t>
      </w:r>
      <w:r w:rsidRPr="0038767A">
        <w:t>to 31</w:t>
      </w:r>
      <w:r w:rsidRPr="0038767A">
        <w:rPr>
          <w:vertAlign w:val="superscript"/>
        </w:rPr>
        <w:t>st</w:t>
      </w:r>
      <w:r w:rsidRPr="0038767A">
        <w:t xml:space="preserve"> </w:t>
      </w:r>
      <w:r w:rsidR="00A37D4B">
        <w:t>March</w:t>
      </w:r>
      <w:r w:rsidRPr="0038767A">
        <w:t xml:space="preserve"> 202</w:t>
      </w:r>
      <w:r w:rsidR="00A37D4B">
        <w:t>6</w:t>
      </w:r>
      <w:r w:rsidRPr="0038767A">
        <w:t xml:space="preserve">, the gross losses split by the post boundary change location for these cases is shown in the table below, with the detail shown in </w:t>
      </w:r>
      <w:r w:rsidRPr="0038767A">
        <w:rPr>
          <w:b/>
        </w:rPr>
        <w:t xml:space="preserve">Appendices </w:t>
      </w:r>
      <w:r w:rsidR="00212824">
        <w:rPr>
          <w:b/>
        </w:rPr>
        <w:t>1 &amp; 2</w:t>
      </w:r>
      <w:r w:rsidRPr="0038767A">
        <w:t xml:space="preserve"> to this report.</w:t>
      </w:r>
    </w:p>
    <w:p w14:paraId="107C4243" w14:textId="77777777" w:rsidR="008671BB" w:rsidRPr="0038767A" w:rsidRDefault="008671BB" w:rsidP="008671BB">
      <w:pPr>
        <w:pStyle w:val="ListParagraph"/>
        <w:rPr>
          <w:rFonts w:eastAsia="Times New Roman"/>
          <w:highlight w:val="yellow"/>
          <w:lang w:eastAsia="en-GB"/>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5"/>
        <w:gridCol w:w="1816"/>
        <w:gridCol w:w="2193"/>
        <w:gridCol w:w="1801"/>
      </w:tblGrid>
      <w:tr w:rsidR="008671BB" w:rsidRPr="0038767A" w14:paraId="51C2C15A" w14:textId="77777777" w:rsidTr="005951E2">
        <w:tc>
          <w:tcPr>
            <w:tcW w:w="2395" w:type="dxa"/>
            <w:shd w:val="clear" w:color="auto" w:fill="BFBFBF"/>
          </w:tcPr>
          <w:p w14:paraId="0A06C8AE" w14:textId="77777777" w:rsidR="008671BB" w:rsidRPr="0038767A" w:rsidRDefault="008671BB" w:rsidP="00335B0F">
            <w:pPr>
              <w:pStyle w:val="ListParagraph"/>
              <w:spacing w:after="0" w:line="240" w:lineRule="auto"/>
              <w:ind w:left="0"/>
              <w:jc w:val="both"/>
              <w:rPr>
                <w:rFonts w:eastAsia="Times New Roman"/>
                <w:b/>
                <w:lang w:eastAsia="en-GB"/>
              </w:rPr>
            </w:pPr>
            <w:r w:rsidRPr="0038767A">
              <w:rPr>
                <w:rFonts w:eastAsia="Times New Roman"/>
                <w:b/>
                <w:lang w:eastAsia="en-GB"/>
              </w:rPr>
              <w:t>Loss Type</w:t>
            </w:r>
          </w:p>
        </w:tc>
        <w:tc>
          <w:tcPr>
            <w:tcW w:w="1816" w:type="dxa"/>
            <w:shd w:val="clear" w:color="auto" w:fill="BFBFBF"/>
          </w:tcPr>
          <w:p w14:paraId="414D6180" w14:textId="77777777" w:rsidR="008671BB" w:rsidRPr="0038767A" w:rsidRDefault="008671BB" w:rsidP="00335B0F">
            <w:pPr>
              <w:pStyle w:val="ListParagraph"/>
              <w:spacing w:after="0" w:line="240" w:lineRule="auto"/>
              <w:ind w:left="0"/>
              <w:jc w:val="center"/>
              <w:rPr>
                <w:rFonts w:eastAsia="Times New Roman"/>
                <w:b/>
                <w:lang w:eastAsia="en-GB"/>
              </w:rPr>
            </w:pPr>
            <w:r w:rsidRPr="0038767A">
              <w:rPr>
                <w:rFonts w:eastAsia="Times New Roman"/>
                <w:b/>
                <w:lang w:eastAsia="en-GB"/>
              </w:rPr>
              <w:t>Total (£)</w:t>
            </w:r>
          </w:p>
        </w:tc>
        <w:tc>
          <w:tcPr>
            <w:tcW w:w="2193" w:type="dxa"/>
            <w:shd w:val="clear" w:color="auto" w:fill="BFBFBF"/>
          </w:tcPr>
          <w:p w14:paraId="50A23E5F" w14:textId="77777777" w:rsidR="008671BB" w:rsidRPr="0038767A" w:rsidRDefault="008671BB" w:rsidP="00335B0F">
            <w:pPr>
              <w:pStyle w:val="ListParagraph"/>
              <w:spacing w:after="0" w:line="240" w:lineRule="auto"/>
              <w:ind w:left="0"/>
              <w:jc w:val="center"/>
              <w:rPr>
                <w:rFonts w:eastAsia="Times New Roman"/>
                <w:b/>
                <w:lang w:eastAsia="en-GB"/>
              </w:rPr>
            </w:pPr>
            <w:r w:rsidRPr="0038767A">
              <w:rPr>
                <w:rFonts w:eastAsia="Times New Roman"/>
                <w:b/>
                <w:lang w:eastAsia="en-GB"/>
              </w:rPr>
              <w:t>Swansea Bay Locations (£)</w:t>
            </w:r>
          </w:p>
        </w:tc>
        <w:tc>
          <w:tcPr>
            <w:tcW w:w="1376" w:type="dxa"/>
            <w:shd w:val="clear" w:color="auto" w:fill="BFBFBF"/>
          </w:tcPr>
          <w:p w14:paraId="7B3F984D" w14:textId="77777777" w:rsidR="008671BB" w:rsidRPr="0038767A" w:rsidRDefault="008671BB" w:rsidP="00335B0F">
            <w:pPr>
              <w:pStyle w:val="ListParagraph"/>
              <w:spacing w:after="0" w:line="240" w:lineRule="auto"/>
              <w:ind w:left="0"/>
              <w:jc w:val="center"/>
              <w:rPr>
                <w:rFonts w:eastAsia="Times New Roman"/>
                <w:b/>
                <w:lang w:eastAsia="en-GB"/>
              </w:rPr>
            </w:pPr>
            <w:r w:rsidRPr="0038767A">
              <w:rPr>
                <w:rFonts w:eastAsia="Times New Roman"/>
                <w:b/>
                <w:lang w:eastAsia="en-GB"/>
              </w:rPr>
              <w:t>Cwm Taf Morgannwg Locations (£)</w:t>
            </w:r>
          </w:p>
        </w:tc>
      </w:tr>
      <w:tr w:rsidR="008671BB" w:rsidRPr="0038767A" w14:paraId="6073E4B1" w14:textId="77777777" w:rsidTr="00755194">
        <w:tc>
          <w:tcPr>
            <w:tcW w:w="2395" w:type="dxa"/>
          </w:tcPr>
          <w:p w14:paraId="37806B71" w14:textId="77777777" w:rsidR="008671BB" w:rsidRPr="0038767A" w:rsidRDefault="008671BB" w:rsidP="00335B0F">
            <w:pPr>
              <w:pStyle w:val="ListParagraph"/>
              <w:spacing w:after="0" w:line="240" w:lineRule="auto"/>
              <w:ind w:left="0"/>
              <w:jc w:val="both"/>
              <w:rPr>
                <w:rFonts w:eastAsia="Times New Roman"/>
                <w:lang w:eastAsia="en-GB"/>
              </w:rPr>
            </w:pPr>
            <w:r w:rsidRPr="0038767A">
              <w:rPr>
                <w:rFonts w:eastAsia="Times New Roman"/>
                <w:lang w:eastAsia="en-GB"/>
              </w:rPr>
              <w:t>Clinical Negligence</w:t>
            </w:r>
          </w:p>
        </w:tc>
        <w:tc>
          <w:tcPr>
            <w:tcW w:w="1816" w:type="dxa"/>
            <w:vAlign w:val="center"/>
          </w:tcPr>
          <w:p w14:paraId="54A6AE68" w14:textId="030EBA19" w:rsidR="008671BB" w:rsidRPr="0038767A" w:rsidRDefault="00AF517D" w:rsidP="00335B0F">
            <w:pPr>
              <w:pStyle w:val="ListParagraph"/>
              <w:spacing w:after="0" w:line="240" w:lineRule="auto"/>
              <w:ind w:left="0"/>
              <w:jc w:val="right"/>
              <w:rPr>
                <w:rFonts w:eastAsia="Times New Roman"/>
                <w:lang w:eastAsia="en-GB"/>
              </w:rPr>
            </w:pPr>
            <w:r>
              <w:rPr>
                <w:rFonts w:eastAsia="Times New Roman"/>
                <w:lang w:eastAsia="en-GB"/>
              </w:rPr>
              <w:t>22,179,877</w:t>
            </w:r>
          </w:p>
        </w:tc>
        <w:tc>
          <w:tcPr>
            <w:tcW w:w="2193" w:type="dxa"/>
            <w:vAlign w:val="center"/>
          </w:tcPr>
          <w:p w14:paraId="197DBC40" w14:textId="6D7603BC" w:rsidR="008671BB" w:rsidRPr="005951E2" w:rsidRDefault="005951E2" w:rsidP="00335B0F">
            <w:pPr>
              <w:pStyle w:val="ListParagraph"/>
              <w:spacing w:after="0" w:line="240" w:lineRule="auto"/>
              <w:ind w:left="0"/>
              <w:jc w:val="right"/>
              <w:rPr>
                <w:rFonts w:eastAsia="Times New Roman"/>
                <w:lang w:eastAsia="en-GB"/>
              </w:rPr>
            </w:pPr>
            <w:r w:rsidRPr="005951E2">
              <w:rPr>
                <w:rFonts w:eastAsia="Times New Roman"/>
                <w:lang w:eastAsia="en-GB"/>
              </w:rPr>
              <w:t>13,059,634</w:t>
            </w:r>
          </w:p>
        </w:tc>
        <w:tc>
          <w:tcPr>
            <w:tcW w:w="1376" w:type="dxa"/>
            <w:vAlign w:val="center"/>
          </w:tcPr>
          <w:p w14:paraId="07ABAF62" w14:textId="5D48B745" w:rsidR="008671BB" w:rsidRPr="005951E2" w:rsidRDefault="001B589F" w:rsidP="00755194">
            <w:pPr>
              <w:pStyle w:val="ListParagraph"/>
              <w:spacing w:after="0" w:line="240" w:lineRule="auto"/>
              <w:ind w:left="0"/>
              <w:jc w:val="center"/>
              <w:rPr>
                <w:rFonts w:eastAsia="Times New Roman"/>
                <w:lang w:eastAsia="en-GB"/>
              </w:rPr>
            </w:pPr>
            <w:r w:rsidRPr="005951E2">
              <w:rPr>
                <w:rFonts w:eastAsia="Times New Roman"/>
                <w:lang w:eastAsia="en-GB"/>
              </w:rPr>
              <w:t>9,120,243</w:t>
            </w:r>
          </w:p>
        </w:tc>
      </w:tr>
      <w:tr w:rsidR="008671BB" w:rsidRPr="0038767A" w14:paraId="0A58D33B" w14:textId="77777777" w:rsidTr="00755194">
        <w:tc>
          <w:tcPr>
            <w:tcW w:w="2395" w:type="dxa"/>
          </w:tcPr>
          <w:p w14:paraId="59194CF1" w14:textId="77777777" w:rsidR="008671BB" w:rsidRPr="0038767A" w:rsidRDefault="008671BB" w:rsidP="00335B0F">
            <w:pPr>
              <w:pStyle w:val="ListParagraph"/>
              <w:spacing w:after="0" w:line="240" w:lineRule="auto"/>
              <w:ind w:left="0"/>
              <w:jc w:val="both"/>
              <w:rPr>
                <w:rFonts w:eastAsia="Times New Roman"/>
                <w:lang w:eastAsia="en-GB"/>
              </w:rPr>
            </w:pPr>
            <w:r w:rsidRPr="0038767A">
              <w:rPr>
                <w:rFonts w:eastAsia="Times New Roman"/>
                <w:lang w:eastAsia="en-GB"/>
              </w:rPr>
              <w:t>Personal Injury</w:t>
            </w:r>
          </w:p>
        </w:tc>
        <w:tc>
          <w:tcPr>
            <w:tcW w:w="1816" w:type="dxa"/>
            <w:vAlign w:val="center"/>
          </w:tcPr>
          <w:p w14:paraId="3AA98FF2" w14:textId="158FFEDA" w:rsidR="008671BB" w:rsidRPr="0038767A" w:rsidRDefault="00257475" w:rsidP="00335B0F">
            <w:pPr>
              <w:pStyle w:val="ListParagraph"/>
              <w:spacing w:after="0" w:line="240" w:lineRule="auto"/>
              <w:ind w:left="0"/>
              <w:jc w:val="right"/>
              <w:rPr>
                <w:rFonts w:eastAsia="Times New Roman"/>
                <w:lang w:eastAsia="en-GB"/>
              </w:rPr>
            </w:pPr>
            <w:r>
              <w:rPr>
                <w:rFonts w:eastAsia="Times New Roman"/>
                <w:lang w:eastAsia="en-GB"/>
              </w:rPr>
              <w:t>540,023</w:t>
            </w:r>
          </w:p>
        </w:tc>
        <w:tc>
          <w:tcPr>
            <w:tcW w:w="2193" w:type="dxa"/>
            <w:vAlign w:val="center"/>
          </w:tcPr>
          <w:p w14:paraId="1603FAF4" w14:textId="3A402148" w:rsidR="008671BB" w:rsidRPr="0038767A" w:rsidRDefault="00C24C3D" w:rsidP="00335B0F">
            <w:pPr>
              <w:pStyle w:val="ListParagraph"/>
              <w:spacing w:after="0" w:line="240" w:lineRule="auto"/>
              <w:ind w:left="0"/>
              <w:jc w:val="right"/>
              <w:rPr>
                <w:rFonts w:eastAsia="Times New Roman"/>
                <w:lang w:eastAsia="en-GB"/>
              </w:rPr>
            </w:pPr>
            <w:r>
              <w:rPr>
                <w:rFonts w:eastAsia="Times New Roman"/>
                <w:lang w:eastAsia="en-GB"/>
              </w:rPr>
              <w:t>540,023</w:t>
            </w:r>
          </w:p>
        </w:tc>
        <w:tc>
          <w:tcPr>
            <w:tcW w:w="1376" w:type="dxa"/>
            <w:vAlign w:val="center"/>
          </w:tcPr>
          <w:p w14:paraId="31BF136C" w14:textId="77777777" w:rsidR="008671BB" w:rsidRPr="0038767A" w:rsidRDefault="008671BB" w:rsidP="00335B0F">
            <w:pPr>
              <w:pStyle w:val="ListParagraph"/>
              <w:spacing w:after="0" w:line="240" w:lineRule="auto"/>
              <w:ind w:left="0"/>
              <w:jc w:val="right"/>
              <w:rPr>
                <w:rFonts w:eastAsia="Times New Roman"/>
                <w:lang w:eastAsia="en-GB"/>
              </w:rPr>
            </w:pPr>
          </w:p>
        </w:tc>
      </w:tr>
      <w:tr w:rsidR="008671BB" w:rsidRPr="0038767A" w14:paraId="601F8B9D" w14:textId="77777777" w:rsidTr="00755194">
        <w:tc>
          <w:tcPr>
            <w:tcW w:w="2395" w:type="dxa"/>
          </w:tcPr>
          <w:p w14:paraId="0CAC2C5E" w14:textId="77777777" w:rsidR="008671BB" w:rsidRPr="0038767A" w:rsidRDefault="008671BB" w:rsidP="00335B0F">
            <w:pPr>
              <w:pStyle w:val="ListParagraph"/>
              <w:spacing w:after="0" w:line="240" w:lineRule="auto"/>
              <w:ind w:left="0"/>
              <w:jc w:val="both"/>
              <w:rPr>
                <w:rFonts w:eastAsia="Times New Roman"/>
                <w:lang w:eastAsia="en-GB"/>
              </w:rPr>
            </w:pPr>
            <w:r w:rsidRPr="0038767A">
              <w:rPr>
                <w:rFonts w:eastAsia="Times New Roman"/>
                <w:lang w:eastAsia="en-GB"/>
              </w:rPr>
              <w:t>Redress</w:t>
            </w:r>
          </w:p>
        </w:tc>
        <w:tc>
          <w:tcPr>
            <w:tcW w:w="1816" w:type="dxa"/>
            <w:vAlign w:val="center"/>
          </w:tcPr>
          <w:p w14:paraId="442ED2E3" w14:textId="0BF1976D" w:rsidR="008671BB" w:rsidRPr="0038767A" w:rsidRDefault="00257475" w:rsidP="00335B0F">
            <w:pPr>
              <w:pStyle w:val="ListParagraph"/>
              <w:spacing w:after="0" w:line="240" w:lineRule="auto"/>
              <w:ind w:left="0"/>
              <w:jc w:val="right"/>
              <w:rPr>
                <w:rFonts w:eastAsia="Times New Roman"/>
                <w:lang w:eastAsia="en-GB"/>
              </w:rPr>
            </w:pPr>
            <w:r>
              <w:rPr>
                <w:rFonts w:eastAsia="Times New Roman"/>
                <w:lang w:eastAsia="en-GB"/>
              </w:rPr>
              <w:t>423,372</w:t>
            </w:r>
          </w:p>
        </w:tc>
        <w:tc>
          <w:tcPr>
            <w:tcW w:w="2193" w:type="dxa"/>
            <w:vAlign w:val="center"/>
          </w:tcPr>
          <w:p w14:paraId="535D25E8" w14:textId="5231BD5B" w:rsidR="008671BB" w:rsidRPr="0038767A" w:rsidRDefault="00C24C3D" w:rsidP="00335B0F">
            <w:pPr>
              <w:pStyle w:val="ListParagraph"/>
              <w:spacing w:after="0" w:line="240" w:lineRule="auto"/>
              <w:ind w:left="0"/>
              <w:jc w:val="right"/>
              <w:rPr>
                <w:rFonts w:eastAsia="Times New Roman"/>
                <w:lang w:eastAsia="en-GB"/>
              </w:rPr>
            </w:pPr>
            <w:r>
              <w:rPr>
                <w:rFonts w:eastAsia="Times New Roman"/>
                <w:lang w:eastAsia="en-GB"/>
              </w:rPr>
              <w:t>423,372</w:t>
            </w:r>
          </w:p>
        </w:tc>
        <w:tc>
          <w:tcPr>
            <w:tcW w:w="1376" w:type="dxa"/>
            <w:vAlign w:val="center"/>
          </w:tcPr>
          <w:p w14:paraId="37840E26" w14:textId="77777777" w:rsidR="008671BB" w:rsidRPr="0038767A" w:rsidRDefault="008671BB" w:rsidP="00335B0F">
            <w:pPr>
              <w:pStyle w:val="ListParagraph"/>
              <w:spacing w:after="0" w:line="240" w:lineRule="auto"/>
              <w:ind w:left="0"/>
              <w:jc w:val="both"/>
              <w:rPr>
                <w:rFonts w:eastAsia="Times New Roman"/>
                <w:lang w:eastAsia="en-GB"/>
              </w:rPr>
            </w:pPr>
          </w:p>
        </w:tc>
      </w:tr>
      <w:tr w:rsidR="008671BB" w:rsidRPr="0038767A" w14:paraId="330EF044" w14:textId="77777777" w:rsidTr="00755194">
        <w:tc>
          <w:tcPr>
            <w:tcW w:w="2395" w:type="dxa"/>
          </w:tcPr>
          <w:p w14:paraId="353BEEA3" w14:textId="77777777" w:rsidR="008671BB" w:rsidRPr="0038767A" w:rsidRDefault="008671BB" w:rsidP="00335B0F">
            <w:pPr>
              <w:pStyle w:val="ListParagraph"/>
              <w:spacing w:after="0" w:line="240" w:lineRule="auto"/>
              <w:ind w:left="0"/>
              <w:jc w:val="both"/>
              <w:rPr>
                <w:rFonts w:eastAsia="Times New Roman"/>
                <w:lang w:eastAsia="en-GB"/>
              </w:rPr>
            </w:pPr>
            <w:r w:rsidRPr="0038767A">
              <w:rPr>
                <w:rFonts w:eastAsia="Times New Roman"/>
                <w:lang w:eastAsia="en-GB"/>
              </w:rPr>
              <w:t>Other</w:t>
            </w:r>
          </w:p>
        </w:tc>
        <w:tc>
          <w:tcPr>
            <w:tcW w:w="1816" w:type="dxa"/>
            <w:vAlign w:val="center"/>
          </w:tcPr>
          <w:p w14:paraId="573EAC92" w14:textId="292903BE" w:rsidR="008671BB" w:rsidRPr="0038767A" w:rsidRDefault="00C24C3D" w:rsidP="00335B0F">
            <w:pPr>
              <w:pStyle w:val="ListParagraph"/>
              <w:spacing w:after="0" w:line="240" w:lineRule="auto"/>
              <w:ind w:left="0"/>
              <w:jc w:val="right"/>
              <w:rPr>
                <w:rFonts w:eastAsia="Times New Roman"/>
                <w:lang w:eastAsia="en-GB"/>
              </w:rPr>
            </w:pPr>
            <w:r>
              <w:rPr>
                <w:rFonts w:eastAsia="Times New Roman"/>
                <w:lang w:eastAsia="en-GB"/>
              </w:rPr>
              <w:t>4,333,524</w:t>
            </w:r>
          </w:p>
        </w:tc>
        <w:tc>
          <w:tcPr>
            <w:tcW w:w="2193" w:type="dxa"/>
            <w:vAlign w:val="center"/>
          </w:tcPr>
          <w:p w14:paraId="1A6F3036" w14:textId="20A70D78" w:rsidR="008671BB" w:rsidRPr="0038767A" w:rsidRDefault="00C24C3D" w:rsidP="00335B0F">
            <w:pPr>
              <w:pStyle w:val="ListParagraph"/>
              <w:spacing w:after="0" w:line="240" w:lineRule="auto"/>
              <w:ind w:left="0"/>
              <w:jc w:val="right"/>
              <w:rPr>
                <w:rFonts w:eastAsia="Times New Roman"/>
                <w:lang w:eastAsia="en-GB"/>
              </w:rPr>
            </w:pPr>
            <w:r>
              <w:rPr>
                <w:rFonts w:eastAsia="Times New Roman"/>
                <w:lang w:eastAsia="en-GB"/>
              </w:rPr>
              <w:t>4,333,524</w:t>
            </w:r>
          </w:p>
        </w:tc>
        <w:tc>
          <w:tcPr>
            <w:tcW w:w="1376" w:type="dxa"/>
            <w:vAlign w:val="center"/>
          </w:tcPr>
          <w:p w14:paraId="369952EC" w14:textId="77777777" w:rsidR="008671BB" w:rsidRPr="0038767A" w:rsidRDefault="008671BB" w:rsidP="00335B0F">
            <w:pPr>
              <w:pStyle w:val="ListParagraph"/>
              <w:spacing w:after="0" w:line="240" w:lineRule="auto"/>
              <w:ind w:left="0"/>
              <w:jc w:val="both"/>
              <w:rPr>
                <w:rFonts w:eastAsia="Times New Roman"/>
                <w:lang w:eastAsia="en-GB"/>
              </w:rPr>
            </w:pPr>
          </w:p>
        </w:tc>
      </w:tr>
      <w:tr w:rsidR="008671BB" w:rsidRPr="0038767A" w14:paraId="380BFEB5" w14:textId="77777777" w:rsidTr="005951E2">
        <w:tc>
          <w:tcPr>
            <w:tcW w:w="2395" w:type="dxa"/>
            <w:shd w:val="clear" w:color="auto" w:fill="BFBFBF"/>
          </w:tcPr>
          <w:p w14:paraId="5F2433F2" w14:textId="77777777" w:rsidR="008671BB" w:rsidRPr="0038767A" w:rsidRDefault="008671BB" w:rsidP="00335B0F">
            <w:pPr>
              <w:pStyle w:val="ListParagraph"/>
              <w:spacing w:after="0" w:line="240" w:lineRule="auto"/>
              <w:ind w:left="0"/>
              <w:jc w:val="both"/>
              <w:rPr>
                <w:rFonts w:eastAsia="Times New Roman"/>
                <w:b/>
                <w:lang w:eastAsia="en-GB"/>
              </w:rPr>
            </w:pPr>
            <w:r w:rsidRPr="0038767A">
              <w:rPr>
                <w:rFonts w:eastAsia="Times New Roman"/>
                <w:b/>
                <w:lang w:eastAsia="en-GB"/>
              </w:rPr>
              <w:t>Total</w:t>
            </w:r>
          </w:p>
        </w:tc>
        <w:tc>
          <w:tcPr>
            <w:tcW w:w="1816" w:type="dxa"/>
            <w:shd w:val="clear" w:color="auto" w:fill="BFBFBF"/>
            <w:vAlign w:val="center"/>
          </w:tcPr>
          <w:p w14:paraId="0AE9C38D" w14:textId="0D011247" w:rsidR="008671BB" w:rsidRPr="0038767A" w:rsidRDefault="008C1836" w:rsidP="00335B0F">
            <w:pPr>
              <w:pStyle w:val="ListParagraph"/>
              <w:spacing w:after="0" w:line="240" w:lineRule="auto"/>
              <w:ind w:left="0"/>
              <w:jc w:val="right"/>
              <w:rPr>
                <w:rFonts w:eastAsia="Times New Roman"/>
                <w:b/>
                <w:lang w:eastAsia="en-GB"/>
              </w:rPr>
            </w:pPr>
            <w:r>
              <w:rPr>
                <w:rFonts w:eastAsia="Times New Roman"/>
                <w:b/>
                <w:lang w:eastAsia="en-GB"/>
              </w:rPr>
              <w:t>27,476,796</w:t>
            </w:r>
          </w:p>
        </w:tc>
        <w:tc>
          <w:tcPr>
            <w:tcW w:w="2193" w:type="dxa"/>
            <w:shd w:val="clear" w:color="auto" w:fill="BFBFBF"/>
            <w:vAlign w:val="center"/>
          </w:tcPr>
          <w:p w14:paraId="44FFBCA2" w14:textId="57C6BAAF" w:rsidR="008671BB" w:rsidRPr="0038767A" w:rsidRDefault="00E14973" w:rsidP="00335B0F">
            <w:pPr>
              <w:pStyle w:val="ListParagraph"/>
              <w:spacing w:after="0" w:line="240" w:lineRule="auto"/>
              <w:ind w:left="0"/>
              <w:jc w:val="right"/>
              <w:rPr>
                <w:rFonts w:eastAsia="Times New Roman"/>
                <w:b/>
                <w:lang w:eastAsia="en-GB"/>
              </w:rPr>
            </w:pPr>
            <w:r>
              <w:rPr>
                <w:rFonts w:eastAsia="Times New Roman"/>
                <w:b/>
                <w:lang w:eastAsia="en-GB"/>
              </w:rPr>
              <w:t>18,356,553</w:t>
            </w:r>
          </w:p>
        </w:tc>
        <w:tc>
          <w:tcPr>
            <w:tcW w:w="1376" w:type="dxa"/>
            <w:shd w:val="clear" w:color="auto" w:fill="BFBFBF"/>
          </w:tcPr>
          <w:p w14:paraId="21F46679" w14:textId="0231DF78" w:rsidR="008671BB" w:rsidRPr="0038767A" w:rsidRDefault="008C1836" w:rsidP="00335B0F">
            <w:pPr>
              <w:pStyle w:val="ListParagraph"/>
              <w:spacing w:after="0" w:line="240" w:lineRule="auto"/>
              <w:ind w:left="0"/>
              <w:jc w:val="right"/>
              <w:rPr>
                <w:rFonts w:eastAsia="Times New Roman"/>
                <w:b/>
                <w:lang w:eastAsia="en-GB"/>
              </w:rPr>
            </w:pPr>
            <w:r>
              <w:rPr>
                <w:rFonts w:eastAsia="Times New Roman"/>
                <w:b/>
                <w:lang w:eastAsia="en-GB"/>
              </w:rPr>
              <w:t>9,120,243</w:t>
            </w:r>
          </w:p>
        </w:tc>
      </w:tr>
    </w:tbl>
    <w:p w14:paraId="3F373BEC" w14:textId="77777777" w:rsidR="008671BB" w:rsidRPr="0038767A" w:rsidRDefault="008671BB" w:rsidP="008671BB">
      <w:pPr>
        <w:pStyle w:val="ListParagraph"/>
        <w:spacing w:after="0" w:line="240" w:lineRule="auto"/>
        <w:jc w:val="both"/>
        <w:rPr>
          <w:rFonts w:eastAsia="Times New Roman"/>
          <w:highlight w:val="yellow"/>
          <w:lang w:eastAsia="en-GB"/>
        </w:rPr>
      </w:pPr>
    </w:p>
    <w:p w14:paraId="4502A23A" w14:textId="62196247" w:rsidR="008671BB" w:rsidRPr="0038767A" w:rsidRDefault="008671BB" w:rsidP="008671BB">
      <w:pPr>
        <w:pStyle w:val="ListParagraph"/>
        <w:ind w:left="709" w:hanging="352"/>
        <w:jc w:val="both"/>
      </w:pPr>
      <w:r w:rsidRPr="0038767A">
        <w:rPr>
          <w:b/>
        </w:rPr>
        <w:t xml:space="preserve">      </w:t>
      </w:r>
      <w:r w:rsidRPr="0038767A">
        <w:t>As at 31</w:t>
      </w:r>
      <w:r w:rsidRPr="0038767A">
        <w:rPr>
          <w:vertAlign w:val="superscript"/>
        </w:rPr>
        <w:t>st</w:t>
      </w:r>
      <w:r w:rsidRPr="0038767A">
        <w:t xml:space="preserve"> </w:t>
      </w:r>
      <w:r w:rsidR="00E14973">
        <w:t>March</w:t>
      </w:r>
      <w:r w:rsidRPr="0038767A">
        <w:t xml:space="preserve"> 202</w:t>
      </w:r>
      <w:r w:rsidR="00E14973">
        <w:t>6</w:t>
      </w:r>
      <w:r w:rsidRPr="0038767A">
        <w:t xml:space="preserve">, the number of open cases for which the Health Board has a provision in its accounts in these 3 categories analysed by location is as follows: </w:t>
      </w:r>
    </w:p>
    <w:p w14:paraId="11166E94" w14:textId="77777777" w:rsidR="008671BB" w:rsidRPr="0038767A" w:rsidRDefault="008671BB" w:rsidP="008671BB">
      <w:pPr>
        <w:pStyle w:val="ListParagraph"/>
        <w:ind w:left="788" w:hanging="431"/>
        <w:jc w:val="both"/>
        <w:rPr>
          <w:highlight w:val="yellow"/>
        </w:rPr>
      </w:pPr>
    </w:p>
    <w:tbl>
      <w:tblPr>
        <w:tblW w:w="0" w:type="auto"/>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2930"/>
        <w:gridCol w:w="2251"/>
      </w:tblGrid>
      <w:tr w:rsidR="008671BB" w:rsidRPr="0038767A" w14:paraId="56E2F685" w14:textId="77777777" w:rsidTr="00335B0F">
        <w:tc>
          <w:tcPr>
            <w:tcW w:w="3148" w:type="dxa"/>
            <w:shd w:val="clear" w:color="auto" w:fill="BFBFBF"/>
          </w:tcPr>
          <w:p w14:paraId="249CDFA3" w14:textId="77777777" w:rsidR="008671BB" w:rsidRPr="0038767A" w:rsidRDefault="008671BB" w:rsidP="00335B0F">
            <w:pPr>
              <w:pStyle w:val="ListParagraph"/>
              <w:ind w:left="0"/>
              <w:jc w:val="both"/>
              <w:rPr>
                <w:b/>
              </w:rPr>
            </w:pPr>
            <w:r w:rsidRPr="0038767A">
              <w:rPr>
                <w:b/>
              </w:rPr>
              <w:t>Type of claim</w:t>
            </w:r>
          </w:p>
        </w:tc>
        <w:tc>
          <w:tcPr>
            <w:tcW w:w="3025" w:type="dxa"/>
            <w:shd w:val="clear" w:color="auto" w:fill="BFBFBF"/>
          </w:tcPr>
          <w:p w14:paraId="313C28B6" w14:textId="77777777" w:rsidR="008671BB" w:rsidRPr="0038767A" w:rsidRDefault="008671BB" w:rsidP="00335B0F">
            <w:pPr>
              <w:pStyle w:val="ListParagraph"/>
              <w:ind w:left="0"/>
              <w:jc w:val="center"/>
              <w:rPr>
                <w:b/>
              </w:rPr>
            </w:pPr>
            <w:r w:rsidRPr="0038767A">
              <w:rPr>
                <w:b/>
              </w:rPr>
              <w:t>Open Cases Swansea Bay Locations</w:t>
            </w:r>
          </w:p>
        </w:tc>
        <w:tc>
          <w:tcPr>
            <w:tcW w:w="2281" w:type="dxa"/>
            <w:shd w:val="clear" w:color="auto" w:fill="BFBFBF"/>
          </w:tcPr>
          <w:p w14:paraId="6BF2A64E" w14:textId="77777777" w:rsidR="008671BB" w:rsidRPr="0038767A" w:rsidRDefault="008671BB" w:rsidP="00335B0F">
            <w:pPr>
              <w:pStyle w:val="ListParagraph"/>
              <w:ind w:left="0"/>
              <w:jc w:val="center"/>
              <w:rPr>
                <w:b/>
              </w:rPr>
            </w:pPr>
            <w:r w:rsidRPr="0038767A">
              <w:rPr>
                <w:b/>
              </w:rPr>
              <w:t>Open cases Cwm Taf Morgannwg Locations</w:t>
            </w:r>
          </w:p>
        </w:tc>
      </w:tr>
      <w:tr w:rsidR="008671BB" w:rsidRPr="0038767A" w14:paraId="25159EE2" w14:textId="77777777" w:rsidTr="00335B0F">
        <w:tc>
          <w:tcPr>
            <w:tcW w:w="3148" w:type="dxa"/>
          </w:tcPr>
          <w:p w14:paraId="5C1833A4" w14:textId="77777777" w:rsidR="008671BB" w:rsidRPr="0038767A" w:rsidRDefault="008671BB" w:rsidP="00335B0F">
            <w:pPr>
              <w:pStyle w:val="ListParagraph"/>
              <w:spacing w:after="0" w:line="240" w:lineRule="auto"/>
              <w:ind w:left="0"/>
              <w:jc w:val="both"/>
            </w:pPr>
            <w:r w:rsidRPr="0038767A">
              <w:t>Clinical Negligence</w:t>
            </w:r>
          </w:p>
        </w:tc>
        <w:tc>
          <w:tcPr>
            <w:tcW w:w="3025" w:type="dxa"/>
          </w:tcPr>
          <w:p w14:paraId="278206ED" w14:textId="032C7D5A" w:rsidR="008671BB" w:rsidRPr="0038767A" w:rsidRDefault="008671BB" w:rsidP="00335B0F">
            <w:pPr>
              <w:pStyle w:val="ListParagraph"/>
              <w:spacing w:after="0" w:line="240" w:lineRule="auto"/>
              <w:ind w:left="0"/>
              <w:jc w:val="both"/>
            </w:pPr>
            <w:r w:rsidRPr="0038767A">
              <w:t xml:space="preserve">                                       2</w:t>
            </w:r>
            <w:r w:rsidR="00093E1E">
              <w:t>70</w:t>
            </w:r>
            <w:r w:rsidRPr="0038767A">
              <w:t xml:space="preserve">                                   </w:t>
            </w:r>
          </w:p>
        </w:tc>
        <w:tc>
          <w:tcPr>
            <w:tcW w:w="2281" w:type="dxa"/>
          </w:tcPr>
          <w:p w14:paraId="42507E9A" w14:textId="6DAC38A7" w:rsidR="008671BB" w:rsidRPr="0038767A" w:rsidRDefault="008671BB" w:rsidP="00335B0F">
            <w:pPr>
              <w:pStyle w:val="ListParagraph"/>
              <w:spacing w:after="0" w:line="240" w:lineRule="auto"/>
              <w:ind w:left="0"/>
              <w:jc w:val="both"/>
            </w:pPr>
            <w:r w:rsidRPr="0038767A">
              <w:t xml:space="preserve">                            2</w:t>
            </w:r>
            <w:r w:rsidR="00093E1E">
              <w:t>0</w:t>
            </w:r>
          </w:p>
        </w:tc>
      </w:tr>
      <w:tr w:rsidR="008671BB" w:rsidRPr="0038767A" w14:paraId="1EB73CD9" w14:textId="77777777" w:rsidTr="00335B0F">
        <w:tc>
          <w:tcPr>
            <w:tcW w:w="3148" w:type="dxa"/>
          </w:tcPr>
          <w:p w14:paraId="497CFBC6" w14:textId="77777777" w:rsidR="008671BB" w:rsidRPr="0038767A" w:rsidRDefault="008671BB" w:rsidP="00335B0F">
            <w:pPr>
              <w:pStyle w:val="ListParagraph"/>
              <w:spacing w:after="0" w:line="240" w:lineRule="auto"/>
              <w:ind w:left="0"/>
              <w:jc w:val="both"/>
            </w:pPr>
            <w:r w:rsidRPr="0038767A">
              <w:t>Personal injury</w:t>
            </w:r>
          </w:p>
        </w:tc>
        <w:tc>
          <w:tcPr>
            <w:tcW w:w="3025" w:type="dxa"/>
          </w:tcPr>
          <w:p w14:paraId="5AD3B332" w14:textId="02F0ED48" w:rsidR="008671BB" w:rsidRPr="0038767A" w:rsidRDefault="008671BB" w:rsidP="00335B0F">
            <w:pPr>
              <w:pStyle w:val="ListParagraph"/>
              <w:spacing w:after="0" w:line="240" w:lineRule="auto"/>
              <w:ind w:left="0"/>
              <w:jc w:val="both"/>
            </w:pPr>
            <w:r w:rsidRPr="0038767A">
              <w:t xml:space="preserve">                                         </w:t>
            </w:r>
            <w:r w:rsidR="00093E1E">
              <w:t>57</w:t>
            </w:r>
          </w:p>
        </w:tc>
        <w:tc>
          <w:tcPr>
            <w:tcW w:w="2281" w:type="dxa"/>
          </w:tcPr>
          <w:p w14:paraId="068E5DF5" w14:textId="77777777" w:rsidR="008671BB" w:rsidRPr="0038767A" w:rsidRDefault="008671BB" w:rsidP="00335B0F">
            <w:pPr>
              <w:pStyle w:val="ListParagraph"/>
              <w:spacing w:after="0" w:line="240" w:lineRule="auto"/>
              <w:ind w:left="0"/>
              <w:jc w:val="both"/>
            </w:pPr>
            <w:r w:rsidRPr="0038767A">
              <w:t xml:space="preserve">                              0</w:t>
            </w:r>
          </w:p>
        </w:tc>
      </w:tr>
      <w:tr w:rsidR="008671BB" w:rsidRPr="0038767A" w14:paraId="5B0ABBFB" w14:textId="77777777" w:rsidTr="00335B0F">
        <w:tc>
          <w:tcPr>
            <w:tcW w:w="3148" w:type="dxa"/>
          </w:tcPr>
          <w:p w14:paraId="7141AC4E" w14:textId="77777777" w:rsidR="00093E1E" w:rsidRDefault="00093E1E" w:rsidP="00335B0F">
            <w:pPr>
              <w:pStyle w:val="ListParagraph"/>
              <w:spacing w:after="0" w:line="240" w:lineRule="auto"/>
              <w:ind w:left="0"/>
              <w:jc w:val="both"/>
            </w:pPr>
          </w:p>
          <w:p w14:paraId="76A61730" w14:textId="6FCB9C8C" w:rsidR="008671BB" w:rsidRPr="0038767A" w:rsidRDefault="008671BB" w:rsidP="00335B0F">
            <w:pPr>
              <w:pStyle w:val="ListParagraph"/>
              <w:spacing w:after="0" w:line="240" w:lineRule="auto"/>
              <w:ind w:left="0"/>
              <w:jc w:val="both"/>
            </w:pPr>
            <w:r w:rsidRPr="0038767A">
              <w:t>Redress</w:t>
            </w:r>
          </w:p>
        </w:tc>
        <w:tc>
          <w:tcPr>
            <w:tcW w:w="3025" w:type="dxa"/>
          </w:tcPr>
          <w:p w14:paraId="5CD47BC8" w14:textId="15C1D2C9" w:rsidR="008671BB" w:rsidRPr="0038767A" w:rsidRDefault="008671BB" w:rsidP="00335B0F">
            <w:pPr>
              <w:pStyle w:val="ListParagraph"/>
              <w:spacing w:after="0" w:line="240" w:lineRule="auto"/>
              <w:ind w:left="0"/>
              <w:jc w:val="both"/>
            </w:pPr>
            <w:r w:rsidRPr="0038767A">
              <w:t xml:space="preserve">                                       1</w:t>
            </w:r>
            <w:r w:rsidR="008734F7">
              <w:t>79</w:t>
            </w:r>
          </w:p>
        </w:tc>
        <w:tc>
          <w:tcPr>
            <w:tcW w:w="2281" w:type="dxa"/>
          </w:tcPr>
          <w:p w14:paraId="5E9D7E7F" w14:textId="77777777" w:rsidR="008671BB" w:rsidRPr="0038767A" w:rsidRDefault="008671BB" w:rsidP="00335B0F">
            <w:pPr>
              <w:pStyle w:val="ListParagraph"/>
              <w:spacing w:after="0" w:line="240" w:lineRule="auto"/>
              <w:ind w:left="0"/>
              <w:jc w:val="both"/>
            </w:pPr>
            <w:r w:rsidRPr="0038767A">
              <w:t xml:space="preserve">                              0</w:t>
            </w:r>
          </w:p>
        </w:tc>
      </w:tr>
    </w:tbl>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8671BB">
      <w:pPr>
        <w:pStyle w:val="ListParagraph"/>
        <w:numPr>
          <w:ilvl w:val="0"/>
          <w:numId w:val="13"/>
        </w:numPr>
        <w:spacing w:after="0" w:line="240" w:lineRule="auto"/>
        <w:rPr>
          <w:b/>
        </w:rPr>
      </w:pPr>
      <w:r w:rsidRPr="00F8567E">
        <w:rPr>
          <w:b/>
        </w:rPr>
        <w:t>GOVERNANCE AND RISK ISSUES</w:t>
      </w:r>
    </w:p>
    <w:p w14:paraId="01F0717F" w14:textId="77777777" w:rsidR="00CA3F2B" w:rsidRPr="0038767A" w:rsidRDefault="00CA3F2B" w:rsidP="00CA3F2B">
      <w:pPr>
        <w:pStyle w:val="ListParagraph"/>
        <w:numPr>
          <w:ilvl w:val="1"/>
          <w:numId w:val="13"/>
        </w:numPr>
        <w:spacing w:after="0" w:line="240" w:lineRule="auto"/>
        <w:jc w:val="both"/>
      </w:pPr>
      <w:r w:rsidRPr="0038767A">
        <w:t>This paper addresses the financial governance requirements for reporting Losses and Special Payments to the Audit Committee. The Health Board adheres to the authorisation process for such payments as prescribed in the Welsh Government Losses and Special Payments manual and Standing Financial Instructions ensuring sound financial governance for such payments.</w:t>
      </w:r>
    </w:p>
    <w:p w14:paraId="003EBD61" w14:textId="77777777" w:rsidR="00CA3F2B" w:rsidRPr="0038767A" w:rsidRDefault="00CA3F2B" w:rsidP="00CA3F2B">
      <w:pPr>
        <w:pStyle w:val="ListParagraph"/>
        <w:spacing w:after="0" w:line="240" w:lineRule="auto"/>
        <w:ind w:left="0"/>
        <w:jc w:val="both"/>
        <w:rPr>
          <w:highlight w:val="yellow"/>
        </w:rPr>
      </w:pPr>
    </w:p>
    <w:p w14:paraId="01F3D41D" w14:textId="77777777" w:rsidR="00CA3F2B" w:rsidRPr="0038767A" w:rsidRDefault="00CA3F2B" w:rsidP="00CA3F2B">
      <w:pPr>
        <w:pStyle w:val="ListParagraph"/>
        <w:spacing w:after="0" w:line="240" w:lineRule="auto"/>
        <w:ind w:left="709" w:hanging="709"/>
        <w:jc w:val="both"/>
      </w:pPr>
      <w:r w:rsidRPr="0038767A">
        <w:t xml:space="preserve">3.2 </w:t>
      </w:r>
      <w:r w:rsidRPr="0038767A">
        <w:tab/>
        <w:t>The clinical governance issues raised and lessons learned from previous claims are discussed as part of the clinical governance agenda and do not form part of this report to the Audit Committee.</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8671BB">
      <w:pPr>
        <w:pStyle w:val="ListParagraph"/>
        <w:numPr>
          <w:ilvl w:val="0"/>
          <w:numId w:val="13"/>
        </w:numPr>
        <w:spacing w:after="0" w:line="240" w:lineRule="auto"/>
        <w:rPr>
          <w:b/>
        </w:rPr>
      </w:pPr>
      <w:r w:rsidRPr="00F8567E">
        <w:rPr>
          <w:b/>
        </w:rPr>
        <w:t xml:space="preserve"> </w:t>
      </w:r>
      <w:r w:rsidR="00B50ABC" w:rsidRPr="6FC5F940">
        <w:rPr>
          <w:b/>
          <w:bCs/>
        </w:rPr>
        <w:t xml:space="preserve">OPEN AUDIT RECOMMENDATIONS </w:t>
      </w:r>
    </w:p>
    <w:p w14:paraId="350FB07C" w14:textId="354EBBC4" w:rsidR="00B50ABC" w:rsidRDefault="00CA3F2B" w:rsidP="00072D3B">
      <w:pPr>
        <w:spacing w:after="0" w:line="240" w:lineRule="auto"/>
        <w:rPr>
          <w:b/>
        </w:rPr>
      </w:pPr>
      <w:r w:rsidRPr="00CA3F2B">
        <w:t xml:space="preserve">There </w:t>
      </w:r>
      <w:proofErr w:type="gramStart"/>
      <w:r w:rsidRPr="00CA3F2B">
        <w:t>are</w:t>
      </w:r>
      <w:proofErr w:type="gramEnd"/>
      <w:r w:rsidRPr="00CA3F2B">
        <w:t xml:space="preserve"> no open audit recommendations associated with this report</w:t>
      </w:r>
      <w:r>
        <w:rPr>
          <w:color w:val="FF0000"/>
        </w:rPr>
        <w:t>.</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8671BB">
      <w:pPr>
        <w:pStyle w:val="ListParagraph"/>
        <w:numPr>
          <w:ilvl w:val="0"/>
          <w:numId w:val="13"/>
        </w:numPr>
        <w:spacing w:after="0" w:line="240" w:lineRule="auto"/>
        <w:rPr>
          <w:b/>
        </w:rPr>
      </w:pPr>
      <w:r w:rsidRPr="00F8567E">
        <w:rPr>
          <w:b/>
        </w:rPr>
        <w:t>FINANCIAL IMPLICATIONS</w:t>
      </w:r>
    </w:p>
    <w:p w14:paraId="4E24E584" w14:textId="77777777" w:rsidR="006059DB" w:rsidRPr="0038767A" w:rsidRDefault="006059DB" w:rsidP="006059DB">
      <w:pPr>
        <w:pStyle w:val="ListParagraph"/>
        <w:numPr>
          <w:ilvl w:val="1"/>
          <w:numId w:val="13"/>
        </w:numPr>
        <w:spacing w:after="0" w:line="240" w:lineRule="auto"/>
        <w:jc w:val="both"/>
      </w:pPr>
      <w:r w:rsidRPr="0038767A">
        <w:t xml:space="preserve">The financial implications associated with Losses and Special Payments for the Health Board comprise two elements. Firstly, there is the amount directly taken from the health budget by Welsh Government to fund the Welsh Risk Pool. This is supplemented by a risk sharing agreement across NHS Wales which requires additional contributions to be made from Health Boards and Trusts in the event that the amount required by Welsh Risk Pool exceeds this directly funded amount. </w:t>
      </w:r>
    </w:p>
    <w:p w14:paraId="7885E825" w14:textId="77777777" w:rsidR="006059DB" w:rsidRPr="0038767A" w:rsidRDefault="006059DB" w:rsidP="006059DB">
      <w:pPr>
        <w:pStyle w:val="ListParagraph"/>
        <w:spacing w:after="0" w:line="240" w:lineRule="auto"/>
        <w:ind w:left="709" w:hanging="709"/>
        <w:jc w:val="both"/>
      </w:pPr>
    </w:p>
    <w:p w14:paraId="445FD02D" w14:textId="5F5D2155" w:rsidR="006059DB" w:rsidRDefault="006059DB" w:rsidP="009F1293">
      <w:pPr>
        <w:pStyle w:val="ListParagraph"/>
        <w:numPr>
          <w:ilvl w:val="1"/>
          <w:numId w:val="13"/>
        </w:numPr>
        <w:spacing w:after="0" w:line="240" w:lineRule="auto"/>
        <w:ind w:left="709" w:hanging="709"/>
        <w:jc w:val="both"/>
      </w:pPr>
      <w:r w:rsidRPr="0038767A">
        <w:t xml:space="preserve">For each of the last 4 financial years, the risk sharing agreement has been invoked due to the value of settlements exceeding the amount of the top sliced funding. The risk sharing agreement has again been invoked for 2025/26 and the Swansea Bay share of these costs for </w:t>
      </w:r>
      <w:r w:rsidRPr="0038767A">
        <w:lastRenderedPageBreak/>
        <w:t>2025/2</w:t>
      </w:r>
      <w:r w:rsidR="00285BE9">
        <w:t>6</w:t>
      </w:r>
      <w:r w:rsidRPr="0038767A">
        <w:t xml:space="preserve"> amounts to </w:t>
      </w:r>
      <w:r w:rsidRPr="001D2551">
        <w:t>£5.</w:t>
      </w:r>
      <w:r w:rsidR="001D2551" w:rsidRPr="001D2551">
        <w:t>037</w:t>
      </w:r>
      <w:r w:rsidRPr="001D2551">
        <w:t>m, this</w:t>
      </w:r>
      <w:r w:rsidRPr="0038767A">
        <w:t xml:space="preserve"> amount </w:t>
      </w:r>
      <w:r w:rsidR="004C5ADF">
        <w:t>was</w:t>
      </w:r>
      <w:r w:rsidRPr="0038767A">
        <w:t xml:space="preserve"> deducted from the Health Board’s resource allocation.  </w:t>
      </w:r>
    </w:p>
    <w:p w14:paraId="79BEDFD4" w14:textId="77777777" w:rsidR="001D2551" w:rsidRPr="0038767A" w:rsidRDefault="001D2551" w:rsidP="003E5C89">
      <w:pPr>
        <w:spacing w:after="0" w:line="240" w:lineRule="auto"/>
        <w:jc w:val="both"/>
      </w:pPr>
    </w:p>
    <w:p w14:paraId="2AC21B3A" w14:textId="77777777" w:rsidR="006059DB" w:rsidRPr="0038767A" w:rsidRDefault="006059DB" w:rsidP="006059DB">
      <w:pPr>
        <w:pStyle w:val="ListParagraph"/>
        <w:numPr>
          <w:ilvl w:val="1"/>
          <w:numId w:val="13"/>
        </w:numPr>
        <w:spacing w:after="0" w:line="240" w:lineRule="auto"/>
        <w:jc w:val="both"/>
      </w:pPr>
      <w:r w:rsidRPr="0038767A">
        <w:t>The second implication is the net charge to the Health Board’s resource limit of costs incurred which comprise the first £25,000 of all clinical negligence and personal injury claims, legal fees for redress claims which are not reimbursed under the Putting Things Right Scheme and the cost of all other losses and special payments.</w:t>
      </w:r>
    </w:p>
    <w:p w14:paraId="739B417B" w14:textId="77777777" w:rsidR="006059DB" w:rsidRPr="0038767A" w:rsidRDefault="006059DB" w:rsidP="006059DB">
      <w:pPr>
        <w:pStyle w:val="ListParagraph"/>
        <w:ind w:left="709" w:hanging="709"/>
      </w:pPr>
    </w:p>
    <w:p w14:paraId="262BFB7A" w14:textId="7F4BEC05" w:rsidR="006059DB" w:rsidRPr="0038767A" w:rsidRDefault="006059DB" w:rsidP="006059DB">
      <w:pPr>
        <w:pStyle w:val="ListParagraph"/>
        <w:numPr>
          <w:ilvl w:val="1"/>
          <w:numId w:val="13"/>
        </w:numPr>
        <w:spacing w:after="0" w:line="240" w:lineRule="auto"/>
        <w:jc w:val="both"/>
      </w:pPr>
      <w:r w:rsidRPr="0038767A">
        <w:t>Of the £</w:t>
      </w:r>
      <w:r w:rsidR="00AD6B33">
        <w:t>27</w:t>
      </w:r>
      <w:r w:rsidRPr="0038767A">
        <w:t>,</w:t>
      </w:r>
      <w:r w:rsidR="00AD6B33">
        <w:t>476,79</w:t>
      </w:r>
      <w:r w:rsidRPr="0038767A">
        <w:t>6 pa</w:t>
      </w:r>
      <w:r w:rsidR="00AD6B33">
        <w:t>id</w:t>
      </w:r>
      <w:r w:rsidRPr="0038767A">
        <w:t xml:space="preserve"> out in the period 1</w:t>
      </w:r>
      <w:r w:rsidRPr="0038767A">
        <w:rPr>
          <w:vertAlign w:val="superscript"/>
        </w:rPr>
        <w:t>st</w:t>
      </w:r>
      <w:r w:rsidRPr="0038767A">
        <w:t xml:space="preserve"> A</w:t>
      </w:r>
      <w:r w:rsidR="00AD6B33">
        <w:t>ugust</w:t>
      </w:r>
      <w:r w:rsidRPr="0038767A">
        <w:t xml:space="preserve"> 2025 to 31</w:t>
      </w:r>
      <w:r w:rsidRPr="0038767A">
        <w:rPr>
          <w:vertAlign w:val="superscript"/>
        </w:rPr>
        <w:t>st</w:t>
      </w:r>
      <w:r w:rsidRPr="0038767A">
        <w:t xml:space="preserve"> </w:t>
      </w:r>
      <w:r w:rsidR="00AD6B33">
        <w:t>March</w:t>
      </w:r>
      <w:r w:rsidRPr="0038767A">
        <w:t xml:space="preserve"> 202</w:t>
      </w:r>
      <w:r w:rsidR="00AD6B33">
        <w:t>6</w:t>
      </w:r>
      <w:r w:rsidRPr="0038767A">
        <w:t>, £</w:t>
      </w:r>
      <w:r w:rsidR="009F0884">
        <w:t>2</w:t>
      </w:r>
      <w:r w:rsidR="00C53C50">
        <w:t>1</w:t>
      </w:r>
      <w:r w:rsidR="009F0884">
        <w:t>,</w:t>
      </w:r>
      <w:r w:rsidR="0075481F">
        <w:t>514</w:t>
      </w:r>
      <w:r w:rsidR="009F0884">
        <w:t>,</w:t>
      </w:r>
      <w:r w:rsidR="00AF0989">
        <w:t>9</w:t>
      </w:r>
      <w:r w:rsidR="0075481F">
        <w:t>45</w:t>
      </w:r>
      <w:r w:rsidRPr="0038767A">
        <w:t xml:space="preserve"> in respect of clinical negligence and personal injury claims and £</w:t>
      </w:r>
      <w:r w:rsidR="002C4113">
        <w:t>6</w:t>
      </w:r>
      <w:r w:rsidR="0075481F">
        <w:t>14</w:t>
      </w:r>
      <w:r w:rsidR="002C4113">
        <w:t>,</w:t>
      </w:r>
      <w:r w:rsidR="0075481F">
        <w:t>641</w:t>
      </w:r>
      <w:r w:rsidRPr="0038767A">
        <w:t xml:space="preserve"> in respect of redress claims and GP Indemnity Payments is recoverable from the Welsh Risk Pool. </w:t>
      </w:r>
      <w:r w:rsidR="002C4113">
        <w:t xml:space="preserve">In addition funding was received for the ex gratia loss in respect of Band 2-3 Recognition payment </w:t>
      </w:r>
      <w:r w:rsidR="0041314E">
        <w:t>of £4,045,408.</w:t>
      </w:r>
      <w:r w:rsidR="002C4113">
        <w:t xml:space="preserve"> </w:t>
      </w:r>
      <w:r w:rsidRPr="0038767A">
        <w:t>Taking this recovery into account, the actual loss to the Health Board in the period totals £</w:t>
      </w:r>
      <w:r w:rsidR="004E5E64">
        <w:t>1,301,801</w:t>
      </w:r>
      <w:r w:rsidRPr="0038767A">
        <w:t>.</w:t>
      </w:r>
    </w:p>
    <w:p w14:paraId="005B5177" w14:textId="77777777" w:rsidR="006059DB" w:rsidRPr="0038767A" w:rsidRDefault="006059DB" w:rsidP="006059DB">
      <w:pPr>
        <w:pStyle w:val="ListParagraph"/>
        <w:ind w:left="0"/>
        <w:rPr>
          <w:highlight w:val="yellow"/>
        </w:rPr>
      </w:pPr>
    </w:p>
    <w:tbl>
      <w:tblPr>
        <w:tblW w:w="8271" w:type="dxa"/>
        <w:tblInd w:w="817" w:type="dxa"/>
        <w:tblLook w:val="04A0" w:firstRow="1" w:lastRow="0" w:firstColumn="1" w:lastColumn="0" w:noHBand="0" w:noVBand="1"/>
      </w:tblPr>
      <w:tblGrid>
        <w:gridCol w:w="5961"/>
        <w:gridCol w:w="2310"/>
      </w:tblGrid>
      <w:tr w:rsidR="006059DB" w:rsidRPr="0038767A" w14:paraId="0D5A289A" w14:textId="77777777" w:rsidTr="007F452A">
        <w:trPr>
          <w:trHeight w:val="310"/>
        </w:trPr>
        <w:tc>
          <w:tcPr>
            <w:tcW w:w="6114" w:type="dxa"/>
            <w:vMerge w:val="restart"/>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4A50E30C" w14:textId="77777777" w:rsidR="006059DB" w:rsidRPr="0038767A" w:rsidRDefault="006059DB" w:rsidP="00335B0F">
            <w:pPr>
              <w:spacing w:after="0" w:line="240" w:lineRule="auto"/>
              <w:jc w:val="both"/>
              <w:rPr>
                <w:rFonts w:eastAsia="Times New Roman"/>
                <w:b/>
                <w:bCs/>
                <w:color w:val="000000"/>
                <w:lang w:eastAsia="en-GB"/>
              </w:rPr>
            </w:pPr>
            <w:r w:rsidRPr="0038767A">
              <w:rPr>
                <w:rFonts w:eastAsia="Times New Roman"/>
                <w:b/>
                <w:bCs/>
                <w:color w:val="000000"/>
                <w:lang w:eastAsia="en-GB"/>
              </w:rPr>
              <w:t>Losses &amp; Special Payments</w:t>
            </w:r>
          </w:p>
        </w:tc>
        <w:tc>
          <w:tcPr>
            <w:tcW w:w="2157" w:type="dxa"/>
            <w:tcBorders>
              <w:top w:val="single" w:sz="8" w:space="0" w:color="000000"/>
              <w:left w:val="nil"/>
              <w:bottom w:val="nil"/>
              <w:right w:val="single" w:sz="8" w:space="0" w:color="000000"/>
            </w:tcBorders>
            <w:shd w:val="clear" w:color="000000" w:fill="BFBFBF"/>
            <w:vAlign w:val="center"/>
            <w:hideMark/>
          </w:tcPr>
          <w:p w14:paraId="1C2332A2" w14:textId="77777777" w:rsidR="006059DB" w:rsidRPr="0038767A" w:rsidRDefault="006059DB" w:rsidP="00335B0F">
            <w:pPr>
              <w:spacing w:after="0" w:line="240" w:lineRule="auto"/>
              <w:jc w:val="center"/>
              <w:rPr>
                <w:rFonts w:eastAsia="Times New Roman"/>
                <w:b/>
                <w:bCs/>
                <w:color w:val="000000"/>
                <w:lang w:eastAsia="en-GB"/>
              </w:rPr>
            </w:pPr>
            <w:r w:rsidRPr="0038767A">
              <w:rPr>
                <w:rFonts w:eastAsia="Times New Roman"/>
                <w:b/>
                <w:bCs/>
                <w:color w:val="000000"/>
                <w:lang w:eastAsia="en-GB"/>
              </w:rPr>
              <w:t>Amount</w:t>
            </w:r>
          </w:p>
        </w:tc>
      </w:tr>
      <w:tr w:rsidR="006059DB" w:rsidRPr="0038767A" w14:paraId="228B6CCD" w14:textId="77777777" w:rsidTr="007F452A">
        <w:trPr>
          <w:trHeight w:val="320"/>
        </w:trPr>
        <w:tc>
          <w:tcPr>
            <w:tcW w:w="6114" w:type="dxa"/>
            <w:vMerge/>
            <w:tcBorders>
              <w:top w:val="single" w:sz="8" w:space="0" w:color="000000"/>
              <w:left w:val="single" w:sz="8" w:space="0" w:color="000000"/>
              <w:bottom w:val="single" w:sz="8" w:space="0" w:color="000000"/>
              <w:right w:val="single" w:sz="8" w:space="0" w:color="000000"/>
            </w:tcBorders>
            <w:vAlign w:val="center"/>
            <w:hideMark/>
          </w:tcPr>
          <w:p w14:paraId="56D454D1" w14:textId="77777777" w:rsidR="006059DB" w:rsidRPr="0038767A" w:rsidRDefault="006059DB" w:rsidP="00335B0F">
            <w:pPr>
              <w:spacing w:after="0" w:line="240" w:lineRule="auto"/>
              <w:rPr>
                <w:rFonts w:eastAsia="Times New Roman"/>
                <w:b/>
                <w:bCs/>
                <w:color w:val="000000"/>
                <w:lang w:eastAsia="en-GB"/>
              </w:rPr>
            </w:pPr>
          </w:p>
        </w:tc>
        <w:tc>
          <w:tcPr>
            <w:tcW w:w="2157" w:type="dxa"/>
            <w:tcBorders>
              <w:top w:val="nil"/>
              <w:left w:val="nil"/>
              <w:bottom w:val="single" w:sz="8" w:space="0" w:color="000000"/>
              <w:right w:val="single" w:sz="8" w:space="0" w:color="000000"/>
            </w:tcBorders>
            <w:shd w:val="clear" w:color="000000" w:fill="BFBFBF"/>
            <w:vAlign w:val="center"/>
            <w:hideMark/>
          </w:tcPr>
          <w:p w14:paraId="2AC6AA99" w14:textId="77777777" w:rsidR="006059DB" w:rsidRPr="0038767A" w:rsidRDefault="006059DB" w:rsidP="00335B0F">
            <w:pPr>
              <w:spacing w:after="0" w:line="240" w:lineRule="auto"/>
              <w:jc w:val="center"/>
              <w:rPr>
                <w:rFonts w:eastAsia="Times New Roman"/>
                <w:b/>
                <w:bCs/>
                <w:color w:val="000000"/>
                <w:lang w:eastAsia="en-GB"/>
              </w:rPr>
            </w:pPr>
            <w:r w:rsidRPr="0038767A">
              <w:rPr>
                <w:rFonts w:eastAsia="Times New Roman"/>
                <w:b/>
                <w:bCs/>
                <w:color w:val="000000"/>
                <w:lang w:eastAsia="en-GB"/>
              </w:rPr>
              <w:t>£</w:t>
            </w:r>
          </w:p>
        </w:tc>
      </w:tr>
      <w:tr w:rsidR="006059DB" w:rsidRPr="0038767A" w14:paraId="6E679D40"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59D9B74F"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Clinical Negligence</w:t>
            </w:r>
          </w:p>
        </w:tc>
        <w:tc>
          <w:tcPr>
            <w:tcW w:w="2157" w:type="dxa"/>
            <w:tcBorders>
              <w:top w:val="nil"/>
              <w:left w:val="nil"/>
              <w:bottom w:val="single" w:sz="8" w:space="0" w:color="000000"/>
              <w:right w:val="single" w:sz="8" w:space="0" w:color="000000"/>
            </w:tcBorders>
            <w:vAlign w:val="center"/>
            <w:hideMark/>
          </w:tcPr>
          <w:p w14:paraId="105A2C71" w14:textId="0E231285" w:rsidR="006059DB" w:rsidRPr="0038767A" w:rsidRDefault="00DF4F14"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22,179,877</w:t>
            </w:r>
          </w:p>
        </w:tc>
      </w:tr>
      <w:tr w:rsidR="006059DB" w:rsidRPr="0038767A" w14:paraId="374358A9"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180894EB"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Personal Injury</w:t>
            </w:r>
          </w:p>
        </w:tc>
        <w:tc>
          <w:tcPr>
            <w:tcW w:w="2157" w:type="dxa"/>
            <w:tcBorders>
              <w:top w:val="nil"/>
              <w:left w:val="nil"/>
              <w:bottom w:val="single" w:sz="8" w:space="0" w:color="000000"/>
              <w:right w:val="single" w:sz="8" w:space="0" w:color="000000"/>
            </w:tcBorders>
            <w:vAlign w:val="center"/>
            <w:hideMark/>
          </w:tcPr>
          <w:p w14:paraId="1C45A7CE" w14:textId="424E09D4" w:rsidR="006059DB" w:rsidRPr="0038767A" w:rsidRDefault="00DF4F14"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540,023</w:t>
            </w:r>
          </w:p>
        </w:tc>
      </w:tr>
      <w:tr w:rsidR="006059DB" w:rsidRPr="0038767A" w14:paraId="6F22482B"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2DAD2888"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Redress Payments</w:t>
            </w:r>
          </w:p>
        </w:tc>
        <w:tc>
          <w:tcPr>
            <w:tcW w:w="2157" w:type="dxa"/>
            <w:tcBorders>
              <w:top w:val="nil"/>
              <w:left w:val="nil"/>
              <w:bottom w:val="single" w:sz="8" w:space="0" w:color="000000"/>
              <w:right w:val="single" w:sz="8" w:space="0" w:color="000000"/>
            </w:tcBorders>
            <w:vAlign w:val="center"/>
            <w:hideMark/>
          </w:tcPr>
          <w:p w14:paraId="66F8BAC7" w14:textId="2E227885" w:rsidR="006059DB" w:rsidRPr="0038767A" w:rsidRDefault="00E27E04"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423,372</w:t>
            </w:r>
          </w:p>
        </w:tc>
      </w:tr>
      <w:tr w:rsidR="006059DB" w:rsidRPr="0038767A" w14:paraId="4A5AFD6F"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11379EB2"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GP Indemnity</w:t>
            </w:r>
          </w:p>
        </w:tc>
        <w:tc>
          <w:tcPr>
            <w:tcW w:w="2157" w:type="dxa"/>
            <w:tcBorders>
              <w:top w:val="nil"/>
              <w:left w:val="nil"/>
              <w:bottom w:val="single" w:sz="8" w:space="0" w:color="000000"/>
              <w:right w:val="single" w:sz="8" w:space="0" w:color="000000"/>
            </w:tcBorders>
            <w:vAlign w:val="center"/>
            <w:hideMark/>
          </w:tcPr>
          <w:p w14:paraId="1DCFDCEC" w14:textId="458A5DA6" w:rsidR="006059DB" w:rsidRPr="0038767A" w:rsidRDefault="00E27E04"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255,492</w:t>
            </w:r>
          </w:p>
        </w:tc>
      </w:tr>
      <w:tr w:rsidR="006059DB" w:rsidRPr="0038767A" w14:paraId="252D4E44"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1FB971E7"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Obsolete Drug Stock</w:t>
            </w:r>
          </w:p>
        </w:tc>
        <w:tc>
          <w:tcPr>
            <w:tcW w:w="2157" w:type="dxa"/>
            <w:tcBorders>
              <w:top w:val="nil"/>
              <w:left w:val="nil"/>
              <w:bottom w:val="single" w:sz="8" w:space="0" w:color="000000"/>
              <w:right w:val="single" w:sz="8" w:space="0" w:color="000000"/>
            </w:tcBorders>
            <w:vAlign w:val="center"/>
            <w:hideMark/>
          </w:tcPr>
          <w:p w14:paraId="285377F2" w14:textId="49840AA9" w:rsidR="006059DB" w:rsidRPr="0038767A" w:rsidRDefault="008A17E8"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6,613</w:t>
            </w:r>
          </w:p>
        </w:tc>
      </w:tr>
      <w:tr w:rsidR="006059DB" w:rsidRPr="0038767A" w14:paraId="62BDE2FB"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562047E4"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Ex Gratia Payments</w:t>
            </w:r>
          </w:p>
        </w:tc>
        <w:tc>
          <w:tcPr>
            <w:tcW w:w="2157" w:type="dxa"/>
            <w:tcBorders>
              <w:top w:val="nil"/>
              <w:left w:val="nil"/>
              <w:bottom w:val="single" w:sz="8" w:space="0" w:color="000000"/>
              <w:right w:val="single" w:sz="8" w:space="0" w:color="000000"/>
            </w:tcBorders>
            <w:vAlign w:val="center"/>
            <w:hideMark/>
          </w:tcPr>
          <w:p w14:paraId="2F72D0B8" w14:textId="3D609999" w:rsidR="006059DB" w:rsidRPr="0038767A" w:rsidRDefault="008A17E8"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4,062,645</w:t>
            </w:r>
          </w:p>
        </w:tc>
      </w:tr>
      <w:tr w:rsidR="006059DB" w:rsidRPr="0038767A" w14:paraId="3E496D78"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29B9A39B"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Bad Debts Written Off</w:t>
            </w:r>
          </w:p>
        </w:tc>
        <w:tc>
          <w:tcPr>
            <w:tcW w:w="2157" w:type="dxa"/>
            <w:tcBorders>
              <w:top w:val="nil"/>
              <w:left w:val="nil"/>
              <w:bottom w:val="single" w:sz="8" w:space="0" w:color="000000"/>
              <w:right w:val="single" w:sz="8" w:space="0" w:color="000000"/>
            </w:tcBorders>
            <w:vAlign w:val="center"/>
            <w:hideMark/>
          </w:tcPr>
          <w:p w14:paraId="51C644C7" w14:textId="1FABBDA4" w:rsidR="006059DB" w:rsidRPr="0038767A" w:rsidRDefault="008A17E8" w:rsidP="00335B0F">
            <w:pPr>
              <w:spacing w:after="0" w:line="240" w:lineRule="auto"/>
              <w:ind w:firstLineChars="200" w:firstLine="480"/>
              <w:jc w:val="right"/>
              <w:rPr>
                <w:rFonts w:eastAsia="Times New Roman"/>
                <w:color w:val="000000"/>
                <w:lang w:eastAsia="en-GB"/>
              </w:rPr>
            </w:pPr>
            <w:r>
              <w:rPr>
                <w:rFonts w:eastAsia="Times New Roman"/>
                <w:color w:val="000000"/>
                <w:lang w:eastAsia="en-GB"/>
              </w:rPr>
              <w:t>8,774</w:t>
            </w:r>
          </w:p>
        </w:tc>
      </w:tr>
      <w:tr w:rsidR="006059DB" w:rsidRPr="0038767A" w14:paraId="7FCC705A"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21F97301" w14:textId="77777777" w:rsidR="006059DB" w:rsidRPr="0038767A" w:rsidRDefault="006059DB" w:rsidP="00335B0F">
            <w:pPr>
              <w:spacing w:after="0" w:line="240" w:lineRule="auto"/>
              <w:rPr>
                <w:rFonts w:eastAsia="Times New Roman"/>
                <w:b/>
                <w:bCs/>
                <w:color w:val="000000"/>
                <w:lang w:eastAsia="en-GB"/>
              </w:rPr>
            </w:pPr>
            <w:r w:rsidRPr="0038767A">
              <w:rPr>
                <w:rFonts w:eastAsia="Times New Roman"/>
                <w:b/>
                <w:bCs/>
                <w:color w:val="000000"/>
                <w:lang w:eastAsia="en-GB"/>
              </w:rPr>
              <w:t>Sub Total</w:t>
            </w:r>
          </w:p>
        </w:tc>
        <w:tc>
          <w:tcPr>
            <w:tcW w:w="2157" w:type="dxa"/>
            <w:tcBorders>
              <w:top w:val="nil"/>
              <w:left w:val="nil"/>
              <w:bottom w:val="single" w:sz="8" w:space="0" w:color="000000"/>
              <w:right w:val="single" w:sz="8" w:space="0" w:color="000000"/>
            </w:tcBorders>
            <w:vAlign w:val="center"/>
            <w:hideMark/>
          </w:tcPr>
          <w:p w14:paraId="79BDC21B" w14:textId="14A28F34" w:rsidR="006059DB" w:rsidRPr="0038767A" w:rsidRDefault="002828A7" w:rsidP="00335B0F">
            <w:pPr>
              <w:spacing w:after="0" w:line="240" w:lineRule="auto"/>
              <w:ind w:firstLineChars="200" w:firstLine="482"/>
              <w:jc w:val="right"/>
              <w:rPr>
                <w:rFonts w:eastAsia="Times New Roman"/>
                <w:b/>
                <w:bCs/>
                <w:color w:val="000000"/>
                <w:lang w:eastAsia="en-GB"/>
              </w:rPr>
            </w:pPr>
            <w:r>
              <w:rPr>
                <w:rFonts w:eastAsia="Times New Roman"/>
                <w:b/>
                <w:bCs/>
                <w:color w:val="000000"/>
                <w:lang w:eastAsia="en-GB"/>
              </w:rPr>
              <w:t>27,476,796</w:t>
            </w:r>
          </w:p>
        </w:tc>
      </w:tr>
      <w:tr w:rsidR="006059DB" w:rsidRPr="0038767A" w14:paraId="59C05AB6"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hideMark/>
          </w:tcPr>
          <w:p w14:paraId="60FF3849" w14:textId="77777777" w:rsidR="006059DB" w:rsidRPr="0038767A" w:rsidRDefault="006059DB" w:rsidP="00335B0F">
            <w:pPr>
              <w:spacing w:after="0" w:line="240" w:lineRule="auto"/>
              <w:rPr>
                <w:rFonts w:eastAsia="Times New Roman"/>
                <w:color w:val="000000"/>
                <w:lang w:eastAsia="en-GB"/>
              </w:rPr>
            </w:pPr>
            <w:r w:rsidRPr="0038767A">
              <w:rPr>
                <w:rFonts w:eastAsia="Times New Roman"/>
                <w:color w:val="000000"/>
                <w:lang w:eastAsia="en-GB"/>
              </w:rPr>
              <w:t>Less WRP Recovery</w:t>
            </w:r>
          </w:p>
        </w:tc>
        <w:tc>
          <w:tcPr>
            <w:tcW w:w="2157" w:type="dxa"/>
            <w:tcBorders>
              <w:top w:val="nil"/>
              <w:left w:val="nil"/>
              <w:bottom w:val="single" w:sz="8" w:space="0" w:color="000000"/>
              <w:right w:val="single" w:sz="8" w:space="0" w:color="000000"/>
            </w:tcBorders>
            <w:vAlign w:val="center"/>
            <w:hideMark/>
          </w:tcPr>
          <w:p w14:paraId="3A1F31A5" w14:textId="7DFE0857" w:rsidR="006059DB" w:rsidRPr="0038767A" w:rsidRDefault="006059DB" w:rsidP="00335B0F">
            <w:pPr>
              <w:spacing w:after="0" w:line="240" w:lineRule="auto"/>
              <w:ind w:firstLineChars="200" w:firstLine="480"/>
              <w:jc w:val="right"/>
              <w:rPr>
                <w:rFonts w:eastAsia="Times New Roman"/>
                <w:color w:val="FF0000"/>
                <w:lang w:eastAsia="en-GB"/>
              </w:rPr>
            </w:pPr>
            <w:r w:rsidRPr="0038767A">
              <w:rPr>
                <w:rFonts w:eastAsia="Times New Roman"/>
                <w:color w:val="FF0000"/>
                <w:lang w:eastAsia="en-GB"/>
              </w:rPr>
              <w:t>(</w:t>
            </w:r>
            <w:r w:rsidR="007B7327">
              <w:rPr>
                <w:rFonts w:eastAsia="Times New Roman"/>
                <w:color w:val="FF0000"/>
                <w:lang w:eastAsia="en-GB"/>
              </w:rPr>
              <w:t>22,</w:t>
            </w:r>
            <w:r w:rsidR="00136053">
              <w:rPr>
                <w:rFonts w:eastAsia="Times New Roman"/>
                <w:color w:val="FF0000"/>
                <w:lang w:eastAsia="en-GB"/>
              </w:rPr>
              <w:t>129,587</w:t>
            </w:r>
            <w:r w:rsidRPr="0038767A">
              <w:rPr>
                <w:rFonts w:eastAsia="Times New Roman"/>
                <w:color w:val="FF0000"/>
                <w:lang w:eastAsia="en-GB"/>
              </w:rPr>
              <w:t>)</w:t>
            </w:r>
          </w:p>
        </w:tc>
      </w:tr>
      <w:tr w:rsidR="007F452A" w:rsidRPr="0038767A" w14:paraId="6495B8C7" w14:textId="77777777" w:rsidTr="007F452A">
        <w:trPr>
          <w:trHeight w:val="320"/>
        </w:trPr>
        <w:tc>
          <w:tcPr>
            <w:tcW w:w="6114" w:type="dxa"/>
            <w:tcBorders>
              <w:top w:val="nil"/>
              <w:left w:val="single" w:sz="8" w:space="0" w:color="000000"/>
              <w:bottom w:val="single" w:sz="8" w:space="0" w:color="000000"/>
              <w:right w:val="single" w:sz="8" w:space="0" w:color="000000"/>
            </w:tcBorders>
            <w:vAlign w:val="center"/>
          </w:tcPr>
          <w:p w14:paraId="7FAD0CCC" w14:textId="34351298" w:rsidR="007F452A" w:rsidRPr="0038767A" w:rsidRDefault="007F452A" w:rsidP="00335B0F">
            <w:pPr>
              <w:spacing w:after="0" w:line="240" w:lineRule="auto"/>
              <w:rPr>
                <w:rFonts w:eastAsia="Times New Roman"/>
                <w:color w:val="000000"/>
                <w:lang w:eastAsia="en-GB"/>
              </w:rPr>
            </w:pPr>
            <w:r>
              <w:rPr>
                <w:rFonts w:eastAsia="Times New Roman"/>
                <w:color w:val="000000"/>
                <w:lang w:eastAsia="en-GB"/>
              </w:rPr>
              <w:t xml:space="preserve">Less B2-3 Recognition </w:t>
            </w:r>
            <w:r w:rsidR="00AB5F3D">
              <w:rPr>
                <w:rFonts w:eastAsia="Times New Roman"/>
                <w:color w:val="000000"/>
                <w:lang w:eastAsia="en-GB"/>
              </w:rPr>
              <w:t>Payment Funding</w:t>
            </w:r>
          </w:p>
        </w:tc>
        <w:tc>
          <w:tcPr>
            <w:tcW w:w="2157" w:type="dxa"/>
            <w:tcBorders>
              <w:top w:val="nil"/>
              <w:left w:val="nil"/>
              <w:bottom w:val="single" w:sz="8" w:space="0" w:color="000000"/>
              <w:right w:val="single" w:sz="8" w:space="0" w:color="000000"/>
            </w:tcBorders>
            <w:vAlign w:val="center"/>
          </w:tcPr>
          <w:p w14:paraId="2CD0E2B3" w14:textId="43142985" w:rsidR="007F452A" w:rsidRPr="0038767A" w:rsidRDefault="002828A7" w:rsidP="00335B0F">
            <w:pPr>
              <w:spacing w:after="0" w:line="240" w:lineRule="auto"/>
              <w:ind w:firstLineChars="200" w:firstLine="480"/>
              <w:jc w:val="right"/>
              <w:rPr>
                <w:rFonts w:eastAsia="Times New Roman"/>
                <w:color w:val="FF0000"/>
                <w:lang w:eastAsia="en-GB"/>
              </w:rPr>
            </w:pPr>
            <w:r>
              <w:rPr>
                <w:rFonts w:eastAsia="Times New Roman"/>
                <w:color w:val="FF0000"/>
                <w:lang w:eastAsia="en-GB"/>
              </w:rPr>
              <w:t>(</w:t>
            </w:r>
            <w:r w:rsidR="007B7327">
              <w:rPr>
                <w:rFonts w:eastAsia="Times New Roman"/>
                <w:color w:val="FF0000"/>
                <w:lang w:eastAsia="en-GB"/>
              </w:rPr>
              <w:t>4,045,408)</w:t>
            </w:r>
          </w:p>
        </w:tc>
      </w:tr>
      <w:tr w:rsidR="006059DB" w:rsidRPr="0038767A" w14:paraId="7C3DFF14" w14:textId="77777777" w:rsidTr="007F452A">
        <w:trPr>
          <w:trHeight w:val="300"/>
        </w:trPr>
        <w:tc>
          <w:tcPr>
            <w:tcW w:w="6114" w:type="dxa"/>
            <w:tcBorders>
              <w:top w:val="nil"/>
              <w:left w:val="single" w:sz="8" w:space="0" w:color="000000"/>
              <w:bottom w:val="single" w:sz="8" w:space="0" w:color="000000"/>
              <w:right w:val="single" w:sz="8" w:space="0" w:color="000000"/>
            </w:tcBorders>
            <w:shd w:val="clear" w:color="000000" w:fill="BFBFBF"/>
            <w:vAlign w:val="center"/>
            <w:hideMark/>
          </w:tcPr>
          <w:p w14:paraId="4364D4CE" w14:textId="77777777" w:rsidR="006059DB" w:rsidRPr="0038767A" w:rsidRDefault="006059DB" w:rsidP="00335B0F">
            <w:pPr>
              <w:spacing w:after="0" w:line="240" w:lineRule="auto"/>
              <w:rPr>
                <w:rFonts w:eastAsia="Times New Roman"/>
                <w:b/>
                <w:bCs/>
                <w:color w:val="000000"/>
                <w:lang w:eastAsia="en-GB"/>
              </w:rPr>
            </w:pPr>
            <w:r w:rsidRPr="0038767A">
              <w:rPr>
                <w:rFonts w:eastAsia="Times New Roman"/>
                <w:b/>
                <w:bCs/>
                <w:color w:val="000000"/>
                <w:lang w:eastAsia="en-GB"/>
              </w:rPr>
              <w:t>Health Board Losses in the Period</w:t>
            </w:r>
          </w:p>
        </w:tc>
        <w:tc>
          <w:tcPr>
            <w:tcW w:w="2157" w:type="dxa"/>
            <w:tcBorders>
              <w:top w:val="nil"/>
              <w:left w:val="nil"/>
              <w:bottom w:val="single" w:sz="8" w:space="0" w:color="000000"/>
              <w:right w:val="single" w:sz="8" w:space="0" w:color="000000"/>
            </w:tcBorders>
            <w:shd w:val="clear" w:color="000000" w:fill="BFBFBF"/>
            <w:vAlign w:val="center"/>
            <w:hideMark/>
          </w:tcPr>
          <w:p w14:paraId="0E44B0C4" w14:textId="5786C1C9" w:rsidR="006059DB" w:rsidRPr="0038767A" w:rsidRDefault="00641E15" w:rsidP="00335B0F">
            <w:pPr>
              <w:spacing w:after="0" w:line="240" w:lineRule="auto"/>
              <w:ind w:firstLineChars="200" w:firstLine="482"/>
              <w:jc w:val="right"/>
              <w:rPr>
                <w:rFonts w:eastAsia="Times New Roman"/>
                <w:b/>
                <w:bCs/>
                <w:color w:val="000000"/>
                <w:lang w:eastAsia="en-GB"/>
              </w:rPr>
            </w:pPr>
            <w:r>
              <w:rPr>
                <w:rFonts w:eastAsia="Times New Roman"/>
                <w:b/>
                <w:bCs/>
                <w:color w:val="000000"/>
                <w:lang w:eastAsia="en-GB"/>
              </w:rPr>
              <w:t>1,301,801</w:t>
            </w:r>
          </w:p>
        </w:tc>
      </w:tr>
    </w:tbl>
    <w:p w14:paraId="716FA516" w14:textId="77777777" w:rsidR="006059DB" w:rsidRPr="0038767A" w:rsidRDefault="006059DB" w:rsidP="006059DB">
      <w:pPr>
        <w:pStyle w:val="ListParagraph"/>
        <w:spacing w:after="0" w:line="240" w:lineRule="auto"/>
        <w:jc w:val="both"/>
      </w:pPr>
    </w:p>
    <w:p w14:paraId="631D42E3" w14:textId="455B6B1A" w:rsidR="006059DB" w:rsidRDefault="006059DB" w:rsidP="006059DB">
      <w:pPr>
        <w:pStyle w:val="ListParagraph"/>
        <w:numPr>
          <w:ilvl w:val="1"/>
          <w:numId w:val="13"/>
        </w:numPr>
        <w:spacing w:after="0" w:line="240" w:lineRule="auto"/>
        <w:jc w:val="both"/>
      </w:pPr>
      <w:r w:rsidRPr="0038767A">
        <w:t>Analysing this by location, the net cost to the Health Board split between those cases which are Swansea Bay cases and those pre 31</w:t>
      </w:r>
      <w:r w:rsidRPr="0038767A">
        <w:rPr>
          <w:vertAlign w:val="superscript"/>
        </w:rPr>
        <w:t>st</w:t>
      </w:r>
      <w:r w:rsidRPr="0038767A">
        <w:t xml:space="preserve"> March 2019 cases relating to locations which have transferred to Cwm Taf Morgannwg Health Board is as detailed in the table below, which shows </w:t>
      </w:r>
      <w:r w:rsidRPr="00BA2778">
        <w:t>that £</w:t>
      </w:r>
      <w:r w:rsidR="00BA2778">
        <w:t>3</w:t>
      </w:r>
      <w:r w:rsidRPr="00BA2778">
        <w:t>7,1</w:t>
      </w:r>
      <w:r w:rsidR="00BA2778">
        <w:t>96</w:t>
      </w:r>
      <w:r w:rsidRPr="0038767A">
        <w:t xml:space="preserve"> relates to cases prior to 31</w:t>
      </w:r>
      <w:r w:rsidRPr="0038767A">
        <w:rPr>
          <w:vertAlign w:val="superscript"/>
        </w:rPr>
        <w:t>st</w:t>
      </w:r>
      <w:r w:rsidRPr="0038767A">
        <w:t xml:space="preserve"> March 2019 for locations which transferred to Cwm Taf Morgannwg Health Board on 1</w:t>
      </w:r>
      <w:r w:rsidRPr="0038767A">
        <w:rPr>
          <w:vertAlign w:val="superscript"/>
        </w:rPr>
        <w:t>st</w:t>
      </w:r>
      <w:r w:rsidRPr="0038767A">
        <w:t xml:space="preserve"> April 2019.</w:t>
      </w:r>
    </w:p>
    <w:p w14:paraId="035007B2" w14:textId="77777777" w:rsidR="004C5ADF" w:rsidRDefault="004C5ADF" w:rsidP="004C5ADF">
      <w:pPr>
        <w:spacing w:after="0" w:line="240" w:lineRule="auto"/>
        <w:jc w:val="both"/>
      </w:pPr>
    </w:p>
    <w:p w14:paraId="79A6DE70" w14:textId="77777777" w:rsidR="004C5ADF" w:rsidRPr="0038767A" w:rsidRDefault="004C5ADF" w:rsidP="004C5ADF">
      <w:pPr>
        <w:spacing w:after="0" w:line="240" w:lineRule="auto"/>
        <w:jc w:val="both"/>
      </w:pPr>
    </w:p>
    <w:p w14:paraId="749BEF14" w14:textId="77777777" w:rsidR="006059DB" w:rsidRPr="0038767A" w:rsidRDefault="006059DB" w:rsidP="006059DB">
      <w:pPr>
        <w:pStyle w:val="ListParagraph"/>
        <w:spacing w:after="0" w:line="240" w:lineRule="auto"/>
        <w:jc w:val="both"/>
      </w:pPr>
    </w:p>
    <w:tbl>
      <w:tblPr>
        <w:tblW w:w="9260" w:type="dxa"/>
        <w:tblInd w:w="108" w:type="dxa"/>
        <w:tblLook w:val="04A0" w:firstRow="1" w:lastRow="0" w:firstColumn="1" w:lastColumn="0" w:noHBand="0" w:noVBand="1"/>
      </w:tblPr>
      <w:tblGrid>
        <w:gridCol w:w="2840"/>
        <w:gridCol w:w="2620"/>
        <w:gridCol w:w="1820"/>
        <w:gridCol w:w="1980"/>
      </w:tblGrid>
      <w:tr w:rsidR="006059DB" w:rsidRPr="0038767A" w14:paraId="1788912F" w14:textId="77777777" w:rsidTr="00335B0F">
        <w:trPr>
          <w:trHeight w:val="300"/>
        </w:trPr>
        <w:tc>
          <w:tcPr>
            <w:tcW w:w="284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1D2FD2B2" w14:textId="77777777" w:rsidR="006059DB" w:rsidRPr="0038767A" w:rsidRDefault="006059DB" w:rsidP="00335B0F">
            <w:pPr>
              <w:spacing w:after="0" w:line="240" w:lineRule="auto"/>
              <w:jc w:val="both"/>
              <w:rPr>
                <w:rFonts w:eastAsia="Times New Roman"/>
                <w:b/>
                <w:bCs/>
                <w:color w:val="000000"/>
                <w:lang w:eastAsia="en-GB"/>
              </w:rPr>
            </w:pPr>
            <w:r w:rsidRPr="0038767A">
              <w:rPr>
                <w:rFonts w:eastAsia="Times New Roman"/>
                <w:b/>
                <w:bCs/>
                <w:color w:val="000000"/>
                <w:lang w:eastAsia="en-GB"/>
              </w:rPr>
              <w:lastRenderedPageBreak/>
              <w:t>Loss Type</w:t>
            </w:r>
          </w:p>
        </w:tc>
        <w:tc>
          <w:tcPr>
            <w:tcW w:w="2620" w:type="dxa"/>
            <w:tcBorders>
              <w:top w:val="single" w:sz="8" w:space="0" w:color="auto"/>
              <w:left w:val="nil"/>
              <w:bottom w:val="single" w:sz="8" w:space="0" w:color="auto"/>
              <w:right w:val="single" w:sz="8" w:space="0" w:color="auto"/>
            </w:tcBorders>
            <w:shd w:val="clear" w:color="000000" w:fill="BFBFBF"/>
            <w:vAlign w:val="center"/>
            <w:hideMark/>
          </w:tcPr>
          <w:p w14:paraId="4EB2B707" w14:textId="77777777" w:rsidR="006059DB" w:rsidRPr="0038767A" w:rsidRDefault="006059DB" w:rsidP="00335B0F">
            <w:pPr>
              <w:spacing w:after="0" w:line="240" w:lineRule="auto"/>
              <w:jc w:val="center"/>
              <w:rPr>
                <w:rFonts w:eastAsia="Times New Roman"/>
                <w:b/>
                <w:bCs/>
                <w:color w:val="000000"/>
                <w:lang w:eastAsia="en-GB"/>
              </w:rPr>
            </w:pPr>
            <w:r w:rsidRPr="0038767A">
              <w:rPr>
                <w:rFonts w:eastAsia="Times New Roman"/>
                <w:b/>
                <w:bCs/>
                <w:color w:val="000000"/>
                <w:lang w:eastAsia="en-GB"/>
              </w:rPr>
              <w:t>Total (£)</w:t>
            </w:r>
          </w:p>
        </w:tc>
        <w:tc>
          <w:tcPr>
            <w:tcW w:w="1820" w:type="dxa"/>
            <w:tcBorders>
              <w:top w:val="single" w:sz="8" w:space="0" w:color="auto"/>
              <w:left w:val="nil"/>
              <w:bottom w:val="single" w:sz="8" w:space="0" w:color="auto"/>
              <w:right w:val="single" w:sz="8" w:space="0" w:color="auto"/>
            </w:tcBorders>
            <w:shd w:val="clear" w:color="auto" w:fill="BFBFBF"/>
            <w:vAlign w:val="center"/>
            <w:hideMark/>
          </w:tcPr>
          <w:p w14:paraId="39246282" w14:textId="77777777" w:rsidR="006059DB" w:rsidRPr="0038767A" w:rsidRDefault="006059DB" w:rsidP="00335B0F">
            <w:pPr>
              <w:spacing w:after="0" w:line="240" w:lineRule="auto"/>
              <w:jc w:val="center"/>
              <w:rPr>
                <w:rFonts w:eastAsia="Times New Roman"/>
                <w:b/>
                <w:bCs/>
                <w:color w:val="000000"/>
                <w:lang w:eastAsia="en-GB"/>
              </w:rPr>
            </w:pPr>
            <w:r w:rsidRPr="0038767A">
              <w:rPr>
                <w:rFonts w:eastAsia="Times New Roman"/>
                <w:b/>
                <w:bCs/>
                <w:color w:val="000000"/>
                <w:lang w:eastAsia="en-GB"/>
              </w:rPr>
              <w:t>Swansea Bay Locations (£)</w:t>
            </w:r>
          </w:p>
        </w:tc>
        <w:tc>
          <w:tcPr>
            <w:tcW w:w="1980" w:type="dxa"/>
            <w:tcBorders>
              <w:top w:val="single" w:sz="8" w:space="0" w:color="auto"/>
              <w:left w:val="nil"/>
              <w:bottom w:val="single" w:sz="8" w:space="0" w:color="auto"/>
              <w:right w:val="single" w:sz="8" w:space="0" w:color="auto"/>
            </w:tcBorders>
            <w:shd w:val="clear" w:color="auto" w:fill="BFBFBF"/>
            <w:vAlign w:val="center"/>
            <w:hideMark/>
          </w:tcPr>
          <w:p w14:paraId="43E3DC55" w14:textId="77777777" w:rsidR="006059DB" w:rsidRPr="0038767A" w:rsidRDefault="006059DB" w:rsidP="00335B0F">
            <w:pPr>
              <w:spacing w:after="0" w:line="240" w:lineRule="auto"/>
              <w:jc w:val="center"/>
              <w:rPr>
                <w:rFonts w:eastAsia="Times New Roman"/>
                <w:b/>
                <w:bCs/>
                <w:color w:val="000000"/>
                <w:lang w:eastAsia="en-GB"/>
              </w:rPr>
            </w:pPr>
            <w:r w:rsidRPr="0038767A">
              <w:rPr>
                <w:rFonts w:eastAsia="Times New Roman"/>
                <w:b/>
                <w:bCs/>
                <w:color w:val="000000"/>
                <w:lang w:eastAsia="en-GB"/>
              </w:rPr>
              <w:t>Cwm Taf Morgannwg Locations (£)</w:t>
            </w:r>
          </w:p>
        </w:tc>
      </w:tr>
      <w:tr w:rsidR="006059DB" w:rsidRPr="0038767A" w14:paraId="69715E12" w14:textId="77777777" w:rsidTr="00335B0F">
        <w:trPr>
          <w:trHeight w:val="300"/>
        </w:trPr>
        <w:tc>
          <w:tcPr>
            <w:tcW w:w="2840" w:type="dxa"/>
            <w:tcBorders>
              <w:top w:val="nil"/>
              <w:left w:val="single" w:sz="8" w:space="0" w:color="auto"/>
              <w:bottom w:val="single" w:sz="8" w:space="0" w:color="auto"/>
              <w:right w:val="single" w:sz="8" w:space="0" w:color="auto"/>
            </w:tcBorders>
            <w:vAlign w:val="center"/>
            <w:hideMark/>
          </w:tcPr>
          <w:p w14:paraId="6D36658E"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Clinical Negligence</w:t>
            </w:r>
          </w:p>
        </w:tc>
        <w:tc>
          <w:tcPr>
            <w:tcW w:w="2620" w:type="dxa"/>
            <w:tcBorders>
              <w:top w:val="nil"/>
              <w:left w:val="nil"/>
              <w:bottom w:val="single" w:sz="8" w:space="0" w:color="auto"/>
              <w:right w:val="single" w:sz="8" w:space="0" w:color="auto"/>
            </w:tcBorders>
            <w:vAlign w:val="center"/>
          </w:tcPr>
          <w:p w14:paraId="5AE2DC3D" w14:textId="0928F152" w:rsidR="006059DB" w:rsidRPr="0038767A" w:rsidRDefault="00237778" w:rsidP="00335B0F">
            <w:pPr>
              <w:spacing w:after="0" w:line="240" w:lineRule="auto"/>
              <w:jc w:val="right"/>
              <w:rPr>
                <w:rFonts w:eastAsia="Times New Roman"/>
                <w:color w:val="000000"/>
                <w:lang w:eastAsia="en-GB"/>
              </w:rPr>
            </w:pPr>
            <w:r>
              <w:rPr>
                <w:rFonts w:eastAsia="Times New Roman"/>
                <w:color w:val="000000"/>
                <w:lang w:eastAsia="en-GB"/>
              </w:rPr>
              <w:t>918,426</w:t>
            </w:r>
          </w:p>
        </w:tc>
        <w:tc>
          <w:tcPr>
            <w:tcW w:w="1820" w:type="dxa"/>
            <w:tcBorders>
              <w:top w:val="nil"/>
              <w:left w:val="nil"/>
              <w:bottom w:val="single" w:sz="8" w:space="0" w:color="auto"/>
              <w:right w:val="single" w:sz="8" w:space="0" w:color="auto"/>
            </w:tcBorders>
            <w:vAlign w:val="center"/>
          </w:tcPr>
          <w:p w14:paraId="4C28007A" w14:textId="5CEC7970" w:rsidR="006059DB" w:rsidRPr="0038767A" w:rsidRDefault="00F84B8E" w:rsidP="00335B0F">
            <w:pPr>
              <w:spacing w:after="0" w:line="240" w:lineRule="auto"/>
              <w:jc w:val="right"/>
              <w:rPr>
                <w:rFonts w:eastAsia="Times New Roman"/>
                <w:color w:val="000000"/>
                <w:lang w:eastAsia="en-GB"/>
              </w:rPr>
            </w:pPr>
            <w:r>
              <w:rPr>
                <w:rFonts w:eastAsia="Times New Roman"/>
                <w:color w:val="000000"/>
                <w:lang w:eastAsia="en-GB"/>
              </w:rPr>
              <w:t>881,230</w:t>
            </w:r>
          </w:p>
        </w:tc>
        <w:tc>
          <w:tcPr>
            <w:tcW w:w="1980" w:type="dxa"/>
            <w:tcBorders>
              <w:top w:val="nil"/>
              <w:left w:val="nil"/>
              <w:bottom w:val="single" w:sz="8" w:space="0" w:color="auto"/>
              <w:right w:val="single" w:sz="8" w:space="0" w:color="auto"/>
            </w:tcBorders>
            <w:vAlign w:val="center"/>
            <w:hideMark/>
          </w:tcPr>
          <w:p w14:paraId="35A72CE0" w14:textId="67C4CB19" w:rsidR="006059DB" w:rsidRPr="0038767A" w:rsidRDefault="00BA2778" w:rsidP="00335B0F">
            <w:pPr>
              <w:spacing w:after="0" w:line="240" w:lineRule="auto"/>
              <w:jc w:val="right"/>
              <w:rPr>
                <w:rFonts w:eastAsia="Times New Roman"/>
                <w:color w:val="000000"/>
                <w:lang w:eastAsia="en-GB"/>
              </w:rPr>
            </w:pPr>
            <w:r>
              <w:rPr>
                <w:rFonts w:eastAsia="Times New Roman"/>
                <w:color w:val="000000"/>
                <w:lang w:eastAsia="en-GB"/>
              </w:rPr>
              <w:t>3</w:t>
            </w:r>
            <w:r w:rsidR="006059DB" w:rsidRPr="0038767A">
              <w:rPr>
                <w:rFonts w:eastAsia="Times New Roman"/>
                <w:color w:val="000000"/>
                <w:lang w:eastAsia="en-GB"/>
              </w:rPr>
              <w:t>7,1</w:t>
            </w:r>
            <w:r>
              <w:rPr>
                <w:rFonts w:eastAsia="Times New Roman"/>
                <w:color w:val="000000"/>
                <w:lang w:eastAsia="en-GB"/>
              </w:rPr>
              <w:t>96</w:t>
            </w:r>
          </w:p>
        </w:tc>
      </w:tr>
      <w:tr w:rsidR="006059DB" w:rsidRPr="0038767A" w14:paraId="60CB0456" w14:textId="77777777" w:rsidTr="00335B0F">
        <w:trPr>
          <w:trHeight w:val="300"/>
        </w:trPr>
        <w:tc>
          <w:tcPr>
            <w:tcW w:w="2840" w:type="dxa"/>
            <w:tcBorders>
              <w:top w:val="nil"/>
              <w:left w:val="single" w:sz="8" w:space="0" w:color="auto"/>
              <w:bottom w:val="single" w:sz="8" w:space="0" w:color="auto"/>
              <w:right w:val="single" w:sz="8" w:space="0" w:color="auto"/>
            </w:tcBorders>
            <w:vAlign w:val="center"/>
            <w:hideMark/>
          </w:tcPr>
          <w:p w14:paraId="3D32CA6E"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Personal Injury</w:t>
            </w:r>
          </w:p>
        </w:tc>
        <w:tc>
          <w:tcPr>
            <w:tcW w:w="2620" w:type="dxa"/>
            <w:tcBorders>
              <w:top w:val="nil"/>
              <w:left w:val="nil"/>
              <w:bottom w:val="single" w:sz="8" w:space="0" w:color="auto"/>
              <w:right w:val="single" w:sz="8" w:space="0" w:color="auto"/>
            </w:tcBorders>
            <w:vAlign w:val="center"/>
          </w:tcPr>
          <w:p w14:paraId="608CBB65" w14:textId="53FF49DE" w:rsidR="006059DB" w:rsidRPr="0038767A" w:rsidRDefault="00237778" w:rsidP="00335B0F">
            <w:pPr>
              <w:spacing w:after="0" w:line="240" w:lineRule="auto"/>
              <w:jc w:val="right"/>
              <w:rPr>
                <w:rFonts w:eastAsia="Times New Roman"/>
                <w:color w:val="000000"/>
                <w:lang w:eastAsia="en-GB"/>
              </w:rPr>
            </w:pPr>
            <w:r>
              <w:rPr>
                <w:rFonts w:eastAsia="Times New Roman"/>
                <w:color w:val="000000"/>
                <w:lang w:eastAsia="en-GB"/>
              </w:rPr>
              <w:t>286,529</w:t>
            </w:r>
          </w:p>
        </w:tc>
        <w:tc>
          <w:tcPr>
            <w:tcW w:w="1820" w:type="dxa"/>
            <w:tcBorders>
              <w:top w:val="nil"/>
              <w:left w:val="nil"/>
              <w:bottom w:val="single" w:sz="8" w:space="0" w:color="auto"/>
              <w:right w:val="single" w:sz="8" w:space="0" w:color="auto"/>
            </w:tcBorders>
            <w:vAlign w:val="center"/>
          </w:tcPr>
          <w:p w14:paraId="11FDFEF1" w14:textId="2D6D5AF9" w:rsidR="006059DB" w:rsidRPr="0038767A" w:rsidRDefault="00F84B8E" w:rsidP="00335B0F">
            <w:pPr>
              <w:spacing w:after="0" w:line="240" w:lineRule="auto"/>
              <w:jc w:val="right"/>
              <w:rPr>
                <w:rFonts w:eastAsia="Times New Roman"/>
                <w:color w:val="000000"/>
                <w:lang w:eastAsia="en-GB"/>
              </w:rPr>
            </w:pPr>
            <w:r>
              <w:rPr>
                <w:rFonts w:eastAsia="Times New Roman"/>
                <w:color w:val="000000"/>
                <w:lang w:eastAsia="en-GB"/>
              </w:rPr>
              <w:t>286,529</w:t>
            </w:r>
          </w:p>
        </w:tc>
        <w:tc>
          <w:tcPr>
            <w:tcW w:w="1980" w:type="dxa"/>
            <w:tcBorders>
              <w:top w:val="nil"/>
              <w:left w:val="nil"/>
              <w:bottom w:val="single" w:sz="8" w:space="0" w:color="auto"/>
              <w:right w:val="single" w:sz="8" w:space="0" w:color="auto"/>
            </w:tcBorders>
            <w:vAlign w:val="center"/>
            <w:hideMark/>
          </w:tcPr>
          <w:p w14:paraId="582A1095" w14:textId="77777777" w:rsidR="006059DB" w:rsidRPr="0038767A" w:rsidRDefault="006059DB" w:rsidP="00335B0F">
            <w:pPr>
              <w:spacing w:after="0" w:line="240" w:lineRule="auto"/>
              <w:jc w:val="right"/>
              <w:rPr>
                <w:rFonts w:eastAsia="Times New Roman"/>
                <w:color w:val="000000"/>
                <w:lang w:eastAsia="en-GB"/>
              </w:rPr>
            </w:pPr>
            <w:r w:rsidRPr="0038767A">
              <w:rPr>
                <w:rFonts w:eastAsia="Times New Roman"/>
                <w:color w:val="000000"/>
                <w:lang w:eastAsia="en-GB"/>
              </w:rPr>
              <w:t>-</w:t>
            </w:r>
          </w:p>
        </w:tc>
      </w:tr>
      <w:tr w:rsidR="006059DB" w:rsidRPr="0038767A" w14:paraId="2C4F6AA6" w14:textId="77777777" w:rsidTr="00335B0F">
        <w:trPr>
          <w:trHeight w:val="300"/>
        </w:trPr>
        <w:tc>
          <w:tcPr>
            <w:tcW w:w="2840" w:type="dxa"/>
            <w:tcBorders>
              <w:top w:val="nil"/>
              <w:left w:val="single" w:sz="8" w:space="0" w:color="auto"/>
              <w:bottom w:val="single" w:sz="8" w:space="0" w:color="auto"/>
              <w:right w:val="single" w:sz="8" w:space="0" w:color="auto"/>
            </w:tcBorders>
            <w:vAlign w:val="center"/>
            <w:hideMark/>
          </w:tcPr>
          <w:p w14:paraId="677239C5"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Redress</w:t>
            </w:r>
          </w:p>
        </w:tc>
        <w:tc>
          <w:tcPr>
            <w:tcW w:w="2620" w:type="dxa"/>
            <w:tcBorders>
              <w:top w:val="nil"/>
              <w:left w:val="nil"/>
              <w:bottom w:val="single" w:sz="8" w:space="0" w:color="auto"/>
              <w:right w:val="single" w:sz="8" w:space="0" w:color="auto"/>
            </w:tcBorders>
            <w:vAlign w:val="center"/>
          </w:tcPr>
          <w:p w14:paraId="241F354D" w14:textId="7AF17688" w:rsidR="006059DB" w:rsidRPr="0038767A" w:rsidRDefault="007F5FFB" w:rsidP="00335B0F">
            <w:pPr>
              <w:spacing w:after="0" w:line="240" w:lineRule="auto"/>
              <w:jc w:val="right"/>
              <w:rPr>
                <w:rFonts w:eastAsia="Times New Roman"/>
                <w:color w:val="000000"/>
                <w:lang w:eastAsia="en-GB"/>
              </w:rPr>
            </w:pPr>
            <w:r>
              <w:rPr>
                <w:rFonts w:eastAsia="Times New Roman"/>
                <w:color w:val="000000"/>
                <w:lang w:eastAsia="en-GB"/>
              </w:rPr>
              <w:t>64,223</w:t>
            </w:r>
          </w:p>
        </w:tc>
        <w:tc>
          <w:tcPr>
            <w:tcW w:w="1820" w:type="dxa"/>
            <w:tcBorders>
              <w:top w:val="nil"/>
              <w:left w:val="nil"/>
              <w:bottom w:val="single" w:sz="8" w:space="0" w:color="auto"/>
              <w:right w:val="single" w:sz="8" w:space="0" w:color="auto"/>
            </w:tcBorders>
            <w:vAlign w:val="center"/>
          </w:tcPr>
          <w:p w14:paraId="5C4C92AD" w14:textId="7E720369" w:rsidR="006059DB" w:rsidRPr="0038767A" w:rsidRDefault="00F84B8E" w:rsidP="00335B0F">
            <w:pPr>
              <w:spacing w:after="0" w:line="240" w:lineRule="auto"/>
              <w:jc w:val="right"/>
              <w:rPr>
                <w:rFonts w:eastAsia="Times New Roman"/>
                <w:color w:val="000000"/>
                <w:lang w:eastAsia="en-GB"/>
              </w:rPr>
            </w:pPr>
            <w:r>
              <w:rPr>
                <w:rFonts w:eastAsia="Times New Roman"/>
                <w:color w:val="000000"/>
                <w:lang w:eastAsia="en-GB"/>
              </w:rPr>
              <w:t>64,223</w:t>
            </w:r>
          </w:p>
        </w:tc>
        <w:tc>
          <w:tcPr>
            <w:tcW w:w="1980" w:type="dxa"/>
            <w:tcBorders>
              <w:top w:val="nil"/>
              <w:left w:val="nil"/>
              <w:bottom w:val="single" w:sz="8" w:space="0" w:color="auto"/>
              <w:right w:val="single" w:sz="8" w:space="0" w:color="auto"/>
            </w:tcBorders>
            <w:vAlign w:val="center"/>
            <w:hideMark/>
          </w:tcPr>
          <w:p w14:paraId="00A3F089" w14:textId="77777777" w:rsidR="006059DB" w:rsidRPr="0038767A" w:rsidRDefault="006059DB" w:rsidP="00335B0F">
            <w:pPr>
              <w:spacing w:after="0" w:line="240" w:lineRule="auto"/>
              <w:jc w:val="right"/>
              <w:rPr>
                <w:rFonts w:eastAsia="Times New Roman"/>
                <w:color w:val="000000"/>
                <w:lang w:eastAsia="en-GB"/>
              </w:rPr>
            </w:pPr>
            <w:r w:rsidRPr="0038767A">
              <w:rPr>
                <w:rFonts w:eastAsia="Times New Roman"/>
                <w:color w:val="000000"/>
                <w:lang w:eastAsia="en-GB"/>
              </w:rPr>
              <w:t xml:space="preserve">                      -   </w:t>
            </w:r>
          </w:p>
        </w:tc>
      </w:tr>
      <w:tr w:rsidR="006059DB" w:rsidRPr="0038767A" w14:paraId="35F0210A" w14:textId="77777777" w:rsidTr="00335B0F">
        <w:trPr>
          <w:trHeight w:val="300"/>
        </w:trPr>
        <w:tc>
          <w:tcPr>
            <w:tcW w:w="2840" w:type="dxa"/>
            <w:tcBorders>
              <w:top w:val="nil"/>
              <w:left w:val="single" w:sz="8" w:space="0" w:color="auto"/>
              <w:bottom w:val="single" w:sz="8" w:space="0" w:color="auto"/>
              <w:right w:val="single" w:sz="8" w:space="0" w:color="auto"/>
            </w:tcBorders>
            <w:vAlign w:val="center"/>
            <w:hideMark/>
          </w:tcPr>
          <w:p w14:paraId="7DBB2297" w14:textId="77777777" w:rsidR="006059DB" w:rsidRPr="0038767A" w:rsidRDefault="006059DB" w:rsidP="00335B0F">
            <w:pPr>
              <w:spacing w:after="0" w:line="240" w:lineRule="auto"/>
              <w:jc w:val="both"/>
              <w:rPr>
                <w:rFonts w:eastAsia="Times New Roman"/>
                <w:color w:val="000000"/>
                <w:lang w:eastAsia="en-GB"/>
              </w:rPr>
            </w:pPr>
            <w:r w:rsidRPr="0038767A">
              <w:rPr>
                <w:rFonts w:eastAsia="Times New Roman"/>
                <w:color w:val="000000"/>
                <w:lang w:eastAsia="en-GB"/>
              </w:rPr>
              <w:t>Other Losses</w:t>
            </w:r>
          </w:p>
        </w:tc>
        <w:tc>
          <w:tcPr>
            <w:tcW w:w="2620" w:type="dxa"/>
            <w:tcBorders>
              <w:top w:val="nil"/>
              <w:left w:val="nil"/>
              <w:bottom w:val="single" w:sz="8" w:space="0" w:color="auto"/>
              <w:right w:val="single" w:sz="8" w:space="0" w:color="auto"/>
            </w:tcBorders>
            <w:vAlign w:val="center"/>
          </w:tcPr>
          <w:p w14:paraId="0F2B00B8" w14:textId="1828BF59" w:rsidR="006059DB" w:rsidRPr="0038767A" w:rsidRDefault="009F7168" w:rsidP="00335B0F">
            <w:pPr>
              <w:spacing w:after="0" w:line="240" w:lineRule="auto"/>
              <w:jc w:val="right"/>
              <w:rPr>
                <w:rFonts w:eastAsia="Times New Roman"/>
                <w:color w:val="000000"/>
                <w:lang w:eastAsia="en-GB"/>
              </w:rPr>
            </w:pPr>
            <w:r>
              <w:rPr>
                <w:rFonts w:eastAsia="Times New Roman"/>
                <w:color w:val="000000"/>
                <w:lang w:eastAsia="en-GB"/>
              </w:rPr>
              <w:t>32,623</w:t>
            </w:r>
          </w:p>
        </w:tc>
        <w:tc>
          <w:tcPr>
            <w:tcW w:w="1820" w:type="dxa"/>
            <w:tcBorders>
              <w:top w:val="nil"/>
              <w:left w:val="nil"/>
              <w:bottom w:val="single" w:sz="8" w:space="0" w:color="auto"/>
              <w:right w:val="single" w:sz="8" w:space="0" w:color="auto"/>
            </w:tcBorders>
            <w:vAlign w:val="center"/>
          </w:tcPr>
          <w:p w14:paraId="7FC74677" w14:textId="60DA04CA" w:rsidR="006059DB" w:rsidRPr="0038767A" w:rsidRDefault="00F84B8E" w:rsidP="00335B0F">
            <w:pPr>
              <w:spacing w:after="0" w:line="240" w:lineRule="auto"/>
              <w:jc w:val="right"/>
              <w:rPr>
                <w:rFonts w:eastAsia="Times New Roman"/>
                <w:color w:val="000000"/>
                <w:lang w:eastAsia="en-GB"/>
              </w:rPr>
            </w:pPr>
            <w:r>
              <w:rPr>
                <w:rFonts w:eastAsia="Times New Roman"/>
                <w:color w:val="000000"/>
                <w:lang w:eastAsia="en-GB"/>
              </w:rPr>
              <w:t>32,623</w:t>
            </w:r>
          </w:p>
        </w:tc>
        <w:tc>
          <w:tcPr>
            <w:tcW w:w="1980" w:type="dxa"/>
            <w:tcBorders>
              <w:top w:val="nil"/>
              <w:left w:val="nil"/>
              <w:bottom w:val="single" w:sz="8" w:space="0" w:color="auto"/>
              <w:right w:val="single" w:sz="8" w:space="0" w:color="auto"/>
            </w:tcBorders>
            <w:vAlign w:val="center"/>
            <w:hideMark/>
          </w:tcPr>
          <w:p w14:paraId="1AE74934" w14:textId="77777777" w:rsidR="006059DB" w:rsidRPr="0038767A" w:rsidRDefault="006059DB" w:rsidP="00335B0F">
            <w:pPr>
              <w:spacing w:after="0" w:line="240" w:lineRule="auto"/>
              <w:jc w:val="right"/>
              <w:rPr>
                <w:rFonts w:eastAsia="Times New Roman"/>
                <w:color w:val="000000"/>
                <w:lang w:eastAsia="en-GB"/>
              </w:rPr>
            </w:pPr>
            <w:r w:rsidRPr="0038767A">
              <w:rPr>
                <w:rFonts w:eastAsia="Times New Roman"/>
                <w:color w:val="000000"/>
                <w:lang w:eastAsia="en-GB"/>
              </w:rPr>
              <w:t>-</w:t>
            </w:r>
          </w:p>
        </w:tc>
      </w:tr>
      <w:tr w:rsidR="006059DB" w:rsidRPr="0038767A" w14:paraId="351B99FB" w14:textId="77777777" w:rsidTr="00335B0F">
        <w:trPr>
          <w:trHeight w:val="300"/>
        </w:trPr>
        <w:tc>
          <w:tcPr>
            <w:tcW w:w="2840" w:type="dxa"/>
            <w:tcBorders>
              <w:top w:val="nil"/>
              <w:left w:val="single" w:sz="8" w:space="0" w:color="auto"/>
              <w:bottom w:val="single" w:sz="8" w:space="0" w:color="auto"/>
              <w:right w:val="single" w:sz="8" w:space="0" w:color="auto"/>
            </w:tcBorders>
            <w:shd w:val="clear" w:color="000000" w:fill="BFBFBF"/>
            <w:vAlign w:val="center"/>
            <w:hideMark/>
          </w:tcPr>
          <w:p w14:paraId="58304B9B" w14:textId="77777777" w:rsidR="006059DB" w:rsidRPr="0038767A" w:rsidRDefault="006059DB" w:rsidP="00335B0F">
            <w:pPr>
              <w:spacing w:after="0" w:line="240" w:lineRule="auto"/>
              <w:jc w:val="both"/>
              <w:rPr>
                <w:rFonts w:eastAsia="Times New Roman"/>
                <w:b/>
                <w:bCs/>
                <w:color w:val="000000"/>
                <w:lang w:eastAsia="en-GB"/>
              </w:rPr>
            </w:pPr>
            <w:r w:rsidRPr="0038767A">
              <w:rPr>
                <w:rFonts w:eastAsia="Times New Roman"/>
                <w:b/>
                <w:bCs/>
                <w:color w:val="000000"/>
                <w:lang w:eastAsia="en-GB"/>
              </w:rPr>
              <w:t>Total</w:t>
            </w:r>
          </w:p>
        </w:tc>
        <w:tc>
          <w:tcPr>
            <w:tcW w:w="2620" w:type="dxa"/>
            <w:tcBorders>
              <w:top w:val="nil"/>
              <w:left w:val="nil"/>
              <w:bottom w:val="single" w:sz="8" w:space="0" w:color="auto"/>
              <w:right w:val="single" w:sz="8" w:space="0" w:color="auto"/>
            </w:tcBorders>
            <w:shd w:val="clear" w:color="000000" w:fill="BFBFBF"/>
            <w:vAlign w:val="center"/>
          </w:tcPr>
          <w:p w14:paraId="4FD16461" w14:textId="12B16C3F" w:rsidR="006059DB" w:rsidRPr="0038767A" w:rsidRDefault="007C0825" w:rsidP="00335B0F">
            <w:pPr>
              <w:spacing w:after="0" w:line="240" w:lineRule="auto"/>
              <w:jc w:val="right"/>
              <w:rPr>
                <w:rFonts w:eastAsia="Times New Roman"/>
                <w:b/>
                <w:bCs/>
                <w:color w:val="000000"/>
                <w:lang w:eastAsia="en-GB"/>
              </w:rPr>
            </w:pPr>
            <w:r>
              <w:rPr>
                <w:rFonts w:eastAsia="Times New Roman"/>
                <w:b/>
                <w:bCs/>
                <w:color w:val="000000"/>
                <w:lang w:eastAsia="en-GB"/>
              </w:rPr>
              <w:t>1,301,801</w:t>
            </w:r>
          </w:p>
        </w:tc>
        <w:tc>
          <w:tcPr>
            <w:tcW w:w="1820" w:type="dxa"/>
            <w:tcBorders>
              <w:top w:val="nil"/>
              <w:left w:val="nil"/>
              <w:bottom w:val="single" w:sz="8" w:space="0" w:color="auto"/>
              <w:right w:val="single" w:sz="8" w:space="0" w:color="auto"/>
            </w:tcBorders>
            <w:shd w:val="clear" w:color="000000" w:fill="BFBFBF"/>
            <w:vAlign w:val="center"/>
          </w:tcPr>
          <w:p w14:paraId="2F04CCBC" w14:textId="2A79753F" w:rsidR="006059DB" w:rsidRPr="0038767A" w:rsidRDefault="00DE6AEC" w:rsidP="00335B0F">
            <w:pPr>
              <w:spacing w:after="0" w:line="240" w:lineRule="auto"/>
              <w:jc w:val="right"/>
              <w:rPr>
                <w:rFonts w:eastAsia="Times New Roman"/>
                <w:b/>
                <w:bCs/>
                <w:color w:val="000000"/>
                <w:lang w:eastAsia="en-GB"/>
              </w:rPr>
            </w:pPr>
            <w:r>
              <w:rPr>
                <w:rFonts w:eastAsia="Times New Roman"/>
                <w:b/>
                <w:bCs/>
                <w:color w:val="000000"/>
                <w:lang w:eastAsia="en-GB"/>
              </w:rPr>
              <w:t>1,264,605</w:t>
            </w:r>
          </w:p>
        </w:tc>
        <w:tc>
          <w:tcPr>
            <w:tcW w:w="1980" w:type="dxa"/>
            <w:tcBorders>
              <w:top w:val="nil"/>
              <w:left w:val="nil"/>
              <w:bottom w:val="single" w:sz="8" w:space="0" w:color="auto"/>
              <w:right w:val="single" w:sz="8" w:space="0" w:color="auto"/>
            </w:tcBorders>
            <w:shd w:val="clear" w:color="000000" w:fill="BFBFBF"/>
            <w:vAlign w:val="center"/>
            <w:hideMark/>
          </w:tcPr>
          <w:p w14:paraId="662F068F" w14:textId="6C76F095" w:rsidR="006059DB" w:rsidRPr="0038767A" w:rsidRDefault="00BA2778" w:rsidP="00335B0F">
            <w:pPr>
              <w:spacing w:after="0" w:line="240" w:lineRule="auto"/>
              <w:jc w:val="right"/>
              <w:rPr>
                <w:rFonts w:eastAsia="Times New Roman"/>
                <w:b/>
                <w:bCs/>
                <w:color w:val="000000"/>
                <w:lang w:eastAsia="en-GB"/>
              </w:rPr>
            </w:pPr>
            <w:r>
              <w:rPr>
                <w:rFonts w:eastAsia="Times New Roman"/>
                <w:b/>
                <w:bCs/>
                <w:color w:val="000000"/>
                <w:lang w:eastAsia="en-GB"/>
              </w:rPr>
              <w:t>3</w:t>
            </w:r>
            <w:r w:rsidR="006059DB" w:rsidRPr="0038767A">
              <w:rPr>
                <w:rFonts w:eastAsia="Times New Roman"/>
                <w:b/>
                <w:bCs/>
                <w:color w:val="000000"/>
                <w:lang w:eastAsia="en-GB"/>
              </w:rPr>
              <w:t>7,1</w:t>
            </w:r>
            <w:r>
              <w:rPr>
                <w:rFonts w:eastAsia="Times New Roman"/>
                <w:b/>
                <w:bCs/>
                <w:color w:val="000000"/>
                <w:lang w:eastAsia="en-GB"/>
              </w:rPr>
              <w:t>96</w:t>
            </w:r>
          </w:p>
        </w:tc>
      </w:tr>
    </w:tbl>
    <w:p w14:paraId="7EEEF996" w14:textId="77777777" w:rsidR="006059DB" w:rsidRPr="0038767A" w:rsidRDefault="006059DB" w:rsidP="006059DB">
      <w:pPr>
        <w:pStyle w:val="ListParagraph"/>
        <w:spacing w:after="0" w:line="240" w:lineRule="auto"/>
      </w:pPr>
    </w:p>
    <w:p w14:paraId="6D290429" w14:textId="22F1C5C9" w:rsidR="00653AEC" w:rsidRDefault="006059DB" w:rsidP="006059DB">
      <w:pPr>
        <w:pStyle w:val="ListParagraph"/>
        <w:spacing w:after="0" w:line="240" w:lineRule="auto"/>
      </w:pPr>
      <w:r w:rsidRPr="0038767A">
        <w:t xml:space="preserve">After the recoveries from Welsh Risk Pool </w:t>
      </w:r>
      <w:r w:rsidR="0063431E">
        <w:t xml:space="preserve">and Welsh Government funding </w:t>
      </w:r>
      <w:r w:rsidRPr="0038767A">
        <w:t>are taken into account, the net loss totals £</w:t>
      </w:r>
      <w:r w:rsidR="00DE6AEC">
        <w:t>1,301,801</w:t>
      </w:r>
      <w:r w:rsidRPr="0038767A">
        <w:t xml:space="preserve"> for the period 1</w:t>
      </w:r>
      <w:r w:rsidRPr="0038767A">
        <w:rPr>
          <w:vertAlign w:val="superscript"/>
        </w:rPr>
        <w:t>st</w:t>
      </w:r>
      <w:r w:rsidRPr="0038767A">
        <w:t xml:space="preserve"> A</w:t>
      </w:r>
      <w:r w:rsidR="00DE6AEC">
        <w:t>ugust</w:t>
      </w:r>
      <w:r w:rsidRPr="0038767A">
        <w:t xml:space="preserve"> 2025 to 31</w:t>
      </w:r>
      <w:r w:rsidRPr="0038767A">
        <w:rPr>
          <w:vertAlign w:val="superscript"/>
        </w:rPr>
        <w:t>st</w:t>
      </w:r>
      <w:r w:rsidRPr="0038767A">
        <w:t xml:space="preserve"> </w:t>
      </w:r>
      <w:r w:rsidR="00DE6AEC">
        <w:t>March</w:t>
      </w:r>
      <w:r w:rsidRPr="0038767A">
        <w:t xml:space="preserve"> 202</w:t>
      </w:r>
      <w:r w:rsidR="00DE6AEC">
        <w:t>6.</w:t>
      </w:r>
    </w:p>
    <w:p w14:paraId="62ED173D" w14:textId="77777777" w:rsidR="006059DB" w:rsidRDefault="006059DB" w:rsidP="006059DB">
      <w:pPr>
        <w:pStyle w:val="ListParagraph"/>
        <w:spacing w:after="0" w:line="240" w:lineRule="auto"/>
      </w:pPr>
    </w:p>
    <w:p w14:paraId="1A15EAAB" w14:textId="77777777" w:rsidR="006059DB" w:rsidRPr="00F8567E" w:rsidRDefault="006059DB" w:rsidP="006059DB">
      <w:pPr>
        <w:pStyle w:val="ListParagraph"/>
        <w:spacing w:after="0" w:line="240" w:lineRule="auto"/>
        <w:rPr>
          <w:b/>
        </w:rPr>
      </w:pPr>
    </w:p>
    <w:p w14:paraId="6D29042A" w14:textId="77777777" w:rsidR="00653AEC" w:rsidRPr="00F8567E" w:rsidRDefault="00653AEC" w:rsidP="008671BB">
      <w:pPr>
        <w:pStyle w:val="ListParagraph"/>
        <w:numPr>
          <w:ilvl w:val="0"/>
          <w:numId w:val="13"/>
        </w:numPr>
        <w:spacing w:after="0" w:line="240" w:lineRule="auto"/>
        <w:rPr>
          <w:b/>
        </w:rPr>
      </w:pPr>
      <w:r w:rsidRPr="00F8567E">
        <w:rPr>
          <w:b/>
        </w:rPr>
        <w:t>RECOMMENDATION</w:t>
      </w:r>
    </w:p>
    <w:p w14:paraId="02B1EAAE" w14:textId="77777777" w:rsidR="003C18E0" w:rsidRPr="0038767A" w:rsidRDefault="003C18E0" w:rsidP="003C18E0">
      <w:pPr>
        <w:spacing w:after="0" w:line="240" w:lineRule="auto"/>
        <w:ind w:right="96"/>
      </w:pPr>
      <w:r w:rsidRPr="0038767A">
        <w:t>Members are asked to:</w:t>
      </w:r>
    </w:p>
    <w:p w14:paraId="7E84C66F" w14:textId="285C6630" w:rsidR="003C18E0" w:rsidRPr="0038767A" w:rsidRDefault="003C18E0" w:rsidP="003C18E0">
      <w:pPr>
        <w:pStyle w:val="ListParagraph"/>
        <w:numPr>
          <w:ilvl w:val="0"/>
          <w:numId w:val="16"/>
        </w:numPr>
        <w:spacing w:after="0" w:line="240" w:lineRule="auto"/>
      </w:pPr>
      <w:r w:rsidRPr="0038767A">
        <w:rPr>
          <w:b/>
        </w:rPr>
        <w:t>R</w:t>
      </w:r>
      <w:r>
        <w:rPr>
          <w:b/>
        </w:rPr>
        <w:t xml:space="preserve">eceive for Assurance </w:t>
      </w:r>
      <w:r w:rsidRPr="0038767A">
        <w:t>the losses and special payments made in the period which will need to be reported to the Board</w:t>
      </w:r>
      <w:r w:rsidR="0063431E">
        <w:t>.</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2D565510" w:rsidR="00F5324A" w:rsidRPr="00F8567E" w:rsidRDefault="00304214"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29FD75B0" w:rsidR="00F5324A" w:rsidRPr="00F8567E" w:rsidRDefault="00304214"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7E35B649" w:rsidR="00C43F7B" w:rsidRPr="00F8567E" w:rsidRDefault="006600EC"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0B914F1C" w:rsidR="00C43F7B" w:rsidRPr="00F8567E" w:rsidRDefault="006600EC"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41B092F5" w:rsidR="00C43F7B" w:rsidRPr="00F8567E" w:rsidRDefault="006600EC"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3437AAF0" w:rsidR="00C43F7B" w:rsidRPr="00F8567E" w:rsidRDefault="006600EC"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24F5B408" w:rsidR="00C43F7B" w:rsidRPr="00F8567E" w:rsidRDefault="006600EC"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3B222956" w:rsidR="00C43F7B" w:rsidRPr="00F8567E" w:rsidRDefault="006600EC"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01C5A5D2" w:rsidR="00C43F7B" w:rsidRPr="00F8567E" w:rsidRDefault="006600EC"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454844CC" w:rsidR="00925DA1" w:rsidRDefault="00EF7A66"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41D35A88" w:rsidR="00925DA1" w:rsidRDefault="00EF7A66"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68433984" w:rsidR="00925DA1" w:rsidRDefault="00EF7A66"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5C6A6ED1" w:rsidR="00925DA1" w:rsidRDefault="00EF7A66"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2944FDDC" w:rsidR="00925DA1" w:rsidRDefault="00EF7A66"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2AE66909" w:rsidR="00925DA1" w:rsidRDefault="00EF7A66"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73D5EB0B" w14:textId="77777777" w:rsidR="00DE0BD1" w:rsidRPr="0038767A" w:rsidRDefault="00DE0BD1" w:rsidP="00DE0BD1">
            <w:r w:rsidRPr="0038767A">
              <w:t>Expenditure on losses and special payments arises as a result of clinical negligence resulting in harm to patients and is therefore reflective of poor quality and safety and patient experience. Similarly personal injury payments to patients, visitors and staff reflects poor procedures and management of the hospital environment. Ex-gratia payments also result in poor patient experience through the loss or damage to personal items.</w:t>
            </w:r>
          </w:p>
          <w:p w14:paraId="70A6F310" w14:textId="77777777" w:rsidR="00DE0BD1" w:rsidRPr="0038767A" w:rsidRDefault="00DE0BD1" w:rsidP="00DE0BD1"/>
          <w:p w14:paraId="4FC7A692" w14:textId="77777777" w:rsidR="00DE0BD1" w:rsidRPr="0038767A" w:rsidRDefault="00DE0BD1" w:rsidP="00DE0BD1">
            <w:pPr>
              <w:rPr>
                <w:b/>
              </w:rPr>
            </w:pPr>
            <w:r w:rsidRPr="0038767A">
              <w:t>It is therefore imperative that the number and value of losses payments is reduced and the achievement of this reduction will result in improved quality, safety and patient experience.</w:t>
            </w:r>
          </w:p>
          <w:p w14:paraId="6D29047F" w14:textId="77777777" w:rsidR="00925DA1" w:rsidRPr="00F8567E" w:rsidRDefault="00925DA1" w:rsidP="00925DA1">
            <w:pPr>
              <w:jc w:val="cente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5F9F719D" w14:textId="77777777" w:rsidR="00C358A0" w:rsidRPr="0038767A" w:rsidRDefault="00C358A0" w:rsidP="00C358A0">
            <w:pPr>
              <w:ind w:right="96"/>
            </w:pPr>
            <w:r w:rsidRPr="0038767A">
              <w:t>The financial implications are detailed in the main body of the report.</w:t>
            </w:r>
          </w:p>
          <w:p w14:paraId="6D290485" w14:textId="1DD3C0FD" w:rsidR="00925DA1" w:rsidRPr="00F8567E" w:rsidRDefault="00925DA1" w:rsidP="00925DA1">
            <w:pPr>
              <w:ind w:right="96"/>
              <w:rPr>
                <w:color w:val="FF0000"/>
              </w:rPr>
            </w:pPr>
            <w:r w:rsidRPr="00F8567E">
              <w:rPr>
                <w:color w:val="FF0000"/>
              </w:rPr>
              <w:t>.</w:t>
            </w:r>
          </w:p>
          <w:p w14:paraId="6D290486" w14:textId="77777777" w:rsidR="00925DA1" w:rsidRPr="00F8567E" w:rsidRDefault="00925DA1"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lastRenderedPageBreak/>
              <w:t>Legal Implications (including equality and diversity assessment)</w:t>
            </w:r>
          </w:p>
        </w:tc>
      </w:tr>
      <w:tr w:rsidR="00925DA1" w:rsidRPr="00F8567E" w14:paraId="6D29048C" w14:textId="77777777" w:rsidTr="007B683C">
        <w:tc>
          <w:tcPr>
            <w:tcW w:w="9245" w:type="dxa"/>
            <w:gridSpan w:val="3"/>
          </w:tcPr>
          <w:p w14:paraId="3E470BD5" w14:textId="77777777" w:rsidR="00E46629" w:rsidRPr="0038767A" w:rsidRDefault="00E46629" w:rsidP="00E46629">
            <w:pPr>
              <w:ind w:right="96"/>
            </w:pPr>
            <w:r w:rsidRPr="0038767A">
              <w:t xml:space="preserve">The legal aspects of clinical negligence, personal injury and redress cases are managed through the solicitors employed by Legal and Risk Services who form part of the NHS Wales Shared Services Partnership. The day to day administration of the claims is managed by the Patient Feedback Team within the health board, acting on the advice received from Legal and Risk Services.    </w:t>
            </w:r>
          </w:p>
          <w:p w14:paraId="6D29048B" w14:textId="77777777" w:rsidR="00925DA1" w:rsidRPr="00F8567E" w:rsidRDefault="00925DA1" w:rsidP="00925DA1">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E37805" w:rsidRPr="00F8567E" w14:paraId="6D290491" w14:textId="77777777" w:rsidTr="007B683C">
        <w:tc>
          <w:tcPr>
            <w:tcW w:w="9245" w:type="dxa"/>
            <w:gridSpan w:val="3"/>
          </w:tcPr>
          <w:p w14:paraId="6D290490" w14:textId="457A5DD7" w:rsidR="00E37805" w:rsidRPr="00F8567E" w:rsidRDefault="00E37805" w:rsidP="00E37805">
            <w:pPr>
              <w:ind w:right="96"/>
              <w:rPr>
                <w:color w:val="FF0000"/>
              </w:rPr>
            </w:pPr>
            <w:r w:rsidRPr="0038767A">
              <w:t xml:space="preserve">There </w:t>
            </w:r>
            <w:proofErr w:type="gramStart"/>
            <w:r w:rsidRPr="0038767A">
              <w:t>are</w:t>
            </w:r>
            <w:proofErr w:type="gramEnd"/>
            <w:r w:rsidRPr="0038767A">
              <w:t xml:space="preserve"> no direct staffing implications associated with this report</w:t>
            </w:r>
          </w:p>
        </w:tc>
      </w:tr>
      <w:tr w:rsidR="00E37805" w:rsidRPr="00F8567E" w14:paraId="6D290493" w14:textId="77777777" w:rsidTr="002432C6">
        <w:tc>
          <w:tcPr>
            <w:tcW w:w="9245" w:type="dxa"/>
            <w:gridSpan w:val="3"/>
            <w:shd w:val="clear" w:color="auto" w:fill="C1A775"/>
          </w:tcPr>
          <w:p w14:paraId="6D290492" w14:textId="77777777" w:rsidR="00E37805" w:rsidRPr="00F8567E" w:rsidRDefault="00E37805" w:rsidP="00E37805">
            <w:pPr>
              <w:ind w:right="96"/>
              <w:rPr>
                <w:b/>
                <w:color w:val="FF0000"/>
              </w:rPr>
            </w:pPr>
            <w:r w:rsidRPr="00F8567E">
              <w:rPr>
                <w:b/>
              </w:rPr>
              <w:t>Long Term Implications (including the impact of the Well-being of Future Generations (Wales) Act 2015)</w:t>
            </w:r>
          </w:p>
        </w:tc>
      </w:tr>
      <w:tr w:rsidR="00E37805" w:rsidRPr="00F8567E" w14:paraId="6D290496" w14:textId="77777777" w:rsidTr="007B683C">
        <w:tc>
          <w:tcPr>
            <w:tcW w:w="9245" w:type="dxa"/>
            <w:gridSpan w:val="3"/>
          </w:tcPr>
          <w:p w14:paraId="2DFE6B18" w14:textId="77777777" w:rsidR="002955DD" w:rsidRPr="0038767A" w:rsidRDefault="002955DD" w:rsidP="002955DD">
            <w:pPr>
              <w:ind w:right="96"/>
            </w:pPr>
            <w:r w:rsidRPr="0038767A">
              <w:t>The key issue for the “The Well-being of Future Generations (Wales) Act 2015, 5 ways of working is that loss payments and incidents of clinical negligence and personal injury reflect the fact that incidents which cause harm/loss have taken place. It is essential that the occurrence of such incidents is reduced through improved processes, governance and prevention in order to help the Health Board as a public body meet the objective of doing no harm.</w:t>
            </w:r>
          </w:p>
          <w:p w14:paraId="6D290495" w14:textId="77777777" w:rsidR="00E37805" w:rsidRPr="00F8567E" w:rsidRDefault="00E37805" w:rsidP="00E37805">
            <w:pPr>
              <w:ind w:right="96"/>
              <w:rPr>
                <w:color w:val="FF0000"/>
              </w:rPr>
            </w:pPr>
          </w:p>
        </w:tc>
      </w:tr>
      <w:tr w:rsidR="00E37805" w:rsidRPr="00F8567E" w14:paraId="4C321512" w14:textId="77777777" w:rsidTr="002432C6">
        <w:tc>
          <w:tcPr>
            <w:tcW w:w="9245" w:type="dxa"/>
            <w:gridSpan w:val="3"/>
            <w:shd w:val="clear" w:color="auto" w:fill="C1A775"/>
          </w:tcPr>
          <w:p w14:paraId="7E102395" w14:textId="5A180082" w:rsidR="00E37805" w:rsidRPr="00C40206" w:rsidRDefault="00E37805" w:rsidP="00E37805">
            <w:pPr>
              <w:ind w:right="96"/>
              <w:rPr>
                <w:b/>
              </w:rPr>
            </w:pPr>
            <w:r w:rsidRPr="00C40206">
              <w:rPr>
                <w:b/>
              </w:rPr>
              <w:t>Report History</w:t>
            </w:r>
          </w:p>
        </w:tc>
      </w:tr>
      <w:tr w:rsidR="00E37805" w:rsidRPr="00F8567E" w14:paraId="6D29049A" w14:textId="77777777" w:rsidTr="001F6386">
        <w:tc>
          <w:tcPr>
            <w:tcW w:w="9245" w:type="dxa"/>
            <w:gridSpan w:val="3"/>
          </w:tcPr>
          <w:p w14:paraId="07AF69F5" w14:textId="77777777" w:rsidR="00DA702D" w:rsidRPr="0038767A" w:rsidRDefault="00DA702D" w:rsidP="00DA702D">
            <w:pPr>
              <w:ind w:right="96"/>
            </w:pPr>
            <w:r w:rsidRPr="0038767A">
              <w:t>This is a regular report to the Audit Committee in line with the agreed work plan.</w:t>
            </w:r>
          </w:p>
          <w:p w14:paraId="6D290499" w14:textId="77777777" w:rsidR="00E37805" w:rsidRPr="00F8567E" w:rsidRDefault="00E37805" w:rsidP="00E37805">
            <w:pPr>
              <w:ind w:right="96"/>
              <w:rPr>
                <w:color w:val="FF0000"/>
              </w:rPr>
            </w:pPr>
          </w:p>
        </w:tc>
      </w:tr>
      <w:tr w:rsidR="00E37805" w:rsidRPr="00F8567E" w14:paraId="08CD5C29" w14:textId="77777777" w:rsidTr="002432C6">
        <w:tc>
          <w:tcPr>
            <w:tcW w:w="9245" w:type="dxa"/>
            <w:gridSpan w:val="3"/>
            <w:shd w:val="clear" w:color="auto" w:fill="C1A775"/>
          </w:tcPr>
          <w:p w14:paraId="6800FBEB" w14:textId="3ED5416B" w:rsidR="00E37805" w:rsidRPr="00F8567E" w:rsidRDefault="00E37805" w:rsidP="00E37805">
            <w:pPr>
              <w:ind w:right="96"/>
              <w:rPr>
                <w:color w:val="FF0000"/>
              </w:rPr>
            </w:pPr>
            <w:r w:rsidRPr="00C40206">
              <w:rPr>
                <w:b/>
              </w:rPr>
              <w:t>Appendices</w:t>
            </w:r>
          </w:p>
        </w:tc>
      </w:tr>
      <w:tr w:rsidR="00F96B76" w:rsidRPr="00F8567E" w14:paraId="6D29049F" w14:textId="77777777" w:rsidTr="00461D42">
        <w:tc>
          <w:tcPr>
            <w:tcW w:w="9245" w:type="dxa"/>
            <w:gridSpan w:val="3"/>
          </w:tcPr>
          <w:p w14:paraId="1FC6C649" w14:textId="77777777" w:rsidR="00926100" w:rsidRDefault="00F96B76" w:rsidP="00F96B76">
            <w:pPr>
              <w:ind w:right="96"/>
            </w:pPr>
            <w:r w:rsidRPr="0038767A">
              <w:t>Appendi</w:t>
            </w:r>
            <w:r w:rsidR="007F390A">
              <w:t xml:space="preserve">x 1 </w:t>
            </w:r>
            <w:r w:rsidRPr="0038767A">
              <w:t>provide</w:t>
            </w:r>
            <w:r w:rsidR="00926100">
              <w:t>s</w:t>
            </w:r>
            <w:r w:rsidRPr="0038767A">
              <w:t xml:space="preserve"> the details of all losses and special payments made in the period 1</w:t>
            </w:r>
            <w:r w:rsidRPr="0038767A">
              <w:rPr>
                <w:vertAlign w:val="superscript"/>
              </w:rPr>
              <w:t>st</w:t>
            </w:r>
            <w:r w:rsidRPr="0038767A">
              <w:t xml:space="preserve"> A</w:t>
            </w:r>
            <w:r>
              <w:t>ugust</w:t>
            </w:r>
            <w:r w:rsidRPr="0038767A">
              <w:t xml:space="preserve"> 2025 to 3</w:t>
            </w:r>
            <w:r w:rsidR="00926100">
              <w:t>0</w:t>
            </w:r>
            <w:r w:rsidR="00926100" w:rsidRPr="00926100">
              <w:rPr>
                <w:vertAlign w:val="superscript"/>
              </w:rPr>
              <w:t>th</w:t>
            </w:r>
            <w:r w:rsidR="00926100">
              <w:t xml:space="preserve"> November</w:t>
            </w:r>
            <w:r w:rsidRPr="0038767A">
              <w:t xml:space="preserve"> 202</w:t>
            </w:r>
            <w:r w:rsidR="00926100">
              <w:t>5</w:t>
            </w:r>
            <w:r w:rsidRPr="0038767A">
              <w:t>.</w:t>
            </w:r>
          </w:p>
          <w:p w14:paraId="16585C0F" w14:textId="6CB723A9" w:rsidR="00926100" w:rsidRDefault="00926100" w:rsidP="00926100">
            <w:pPr>
              <w:ind w:right="96"/>
            </w:pPr>
            <w:r>
              <w:t xml:space="preserve">Appendix 2 </w:t>
            </w:r>
            <w:r w:rsidRPr="0038767A">
              <w:t>provide</w:t>
            </w:r>
            <w:r>
              <w:t>s</w:t>
            </w:r>
            <w:r w:rsidRPr="0038767A">
              <w:t xml:space="preserve"> the details of all losses and special payments made in the period 1</w:t>
            </w:r>
            <w:r w:rsidRPr="0038767A">
              <w:rPr>
                <w:vertAlign w:val="superscript"/>
              </w:rPr>
              <w:t>st</w:t>
            </w:r>
            <w:r w:rsidRPr="0038767A">
              <w:t xml:space="preserve"> </w:t>
            </w:r>
            <w:r>
              <w:t>December</w:t>
            </w:r>
            <w:r w:rsidRPr="0038767A">
              <w:t xml:space="preserve"> 2025 to 3</w:t>
            </w:r>
            <w:r>
              <w:t>1</w:t>
            </w:r>
            <w:r w:rsidRPr="00926100">
              <w:rPr>
                <w:vertAlign w:val="superscript"/>
              </w:rPr>
              <w:t>st</w:t>
            </w:r>
            <w:r>
              <w:t xml:space="preserve"> March</w:t>
            </w:r>
            <w:r w:rsidRPr="0038767A">
              <w:t xml:space="preserve"> 202</w:t>
            </w:r>
            <w:r>
              <w:t>6</w:t>
            </w:r>
            <w:r w:rsidRPr="0038767A">
              <w:t>.</w:t>
            </w:r>
          </w:p>
          <w:p w14:paraId="3370E8E7" w14:textId="56D06059" w:rsidR="00F96B76" w:rsidRPr="0038767A" w:rsidRDefault="00F96B76" w:rsidP="00F96B76">
            <w:pPr>
              <w:ind w:right="96"/>
            </w:pPr>
          </w:p>
          <w:p w14:paraId="0DA3A72F" w14:textId="77777777" w:rsidR="00F96B76" w:rsidRPr="0038767A" w:rsidRDefault="00F96B76" w:rsidP="00F96B76">
            <w:pPr>
              <w:ind w:right="96"/>
              <w:rPr>
                <w:color w:val="FF0000"/>
              </w:rPr>
            </w:pPr>
          </w:p>
          <w:p w14:paraId="6D29049E" w14:textId="77777777" w:rsidR="00F96B76" w:rsidRPr="00F8567E" w:rsidRDefault="00F96B76" w:rsidP="00F96B76">
            <w:pPr>
              <w:ind w:right="96"/>
              <w:rPr>
                <w:color w:val="FF0000"/>
              </w:rPr>
            </w:pPr>
          </w:p>
        </w:tc>
      </w:tr>
    </w:tbl>
    <w:p w14:paraId="6D2904A0" w14:textId="77777777" w:rsidR="00034194" w:rsidRPr="00F8567E" w:rsidRDefault="00034194"/>
    <w:sectPr w:rsidR="00034194" w:rsidRPr="00F8567E"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871C6" w14:textId="77777777" w:rsidR="00AC1EA1" w:rsidRDefault="00AC1EA1" w:rsidP="00C107F2">
      <w:pPr>
        <w:spacing w:after="0" w:line="240" w:lineRule="auto"/>
      </w:pPr>
      <w:r>
        <w:separator/>
      </w:r>
    </w:p>
  </w:endnote>
  <w:endnote w:type="continuationSeparator" w:id="0">
    <w:p w14:paraId="5A10AFFB" w14:textId="77777777" w:rsidR="00AC1EA1" w:rsidRDefault="00AC1EA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3852F2E7"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8C4584">
          <w:rPr>
            <w:sz w:val="20"/>
            <w:szCs w:val="20"/>
          </w:rPr>
          <w:t>8</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0695013E" w:rsidR="003324CB" w:rsidRDefault="008C4584"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43CED1D3" w:rsidR="0031077C" w:rsidRPr="0031077C" w:rsidRDefault="008C4584"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0AF65" w14:textId="77777777" w:rsidR="00AC1EA1" w:rsidRDefault="00AC1EA1" w:rsidP="00C107F2">
      <w:pPr>
        <w:spacing w:after="0" w:line="240" w:lineRule="auto"/>
      </w:pPr>
      <w:r>
        <w:separator/>
      </w:r>
    </w:p>
  </w:footnote>
  <w:footnote w:type="continuationSeparator" w:id="0">
    <w:p w14:paraId="58C8E0A5" w14:textId="77777777" w:rsidR="00AC1EA1" w:rsidRDefault="00AC1EA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340EB"/>
    <w:multiLevelType w:val="multilevel"/>
    <w:tmpl w:val="53681990"/>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A2B43C6"/>
    <w:multiLevelType w:val="multilevel"/>
    <w:tmpl w:val="86C6BE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9748A5"/>
    <w:multiLevelType w:val="multilevel"/>
    <w:tmpl w:val="40D6AE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4D3A55"/>
    <w:multiLevelType w:val="multilevel"/>
    <w:tmpl w:val="2C26107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A7C66BD"/>
    <w:multiLevelType w:val="multilevel"/>
    <w:tmpl w:val="6D585154"/>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AA016DC"/>
    <w:multiLevelType w:val="hybridMultilevel"/>
    <w:tmpl w:val="33B61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8"/>
  </w:num>
  <w:num w:numId="3" w16cid:durableId="358313792">
    <w:abstractNumId w:val="6"/>
  </w:num>
  <w:num w:numId="4" w16cid:durableId="1144618638">
    <w:abstractNumId w:val="5"/>
  </w:num>
  <w:num w:numId="5" w16cid:durableId="211239042">
    <w:abstractNumId w:val="3"/>
  </w:num>
  <w:num w:numId="6" w16cid:durableId="1874800944">
    <w:abstractNumId w:val="14"/>
  </w:num>
  <w:num w:numId="7" w16cid:durableId="263198079">
    <w:abstractNumId w:val="15"/>
  </w:num>
  <w:num w:numId="8" w16cid:durableId="1535070366">
    <w:abstractNumId w:val="9"/>
  </w:num>
  <w:num w:numId="9" w16cid:durableId="1823614381">
    <w:abstractNumId w:val="10"/>
  </w:num>
  <w:num w:numId="10" w16cid:durableId="875429971">
    <w:abstractNumId w:val="12"/>
  </w:num>
  <w:num w:numId="11" w16cid:durableId="1857037179">
    <w:abstractNumId w:val="4"/>
  </w:num>
  <w:num w:numId="12" w16cid:durableId="604196302">
    <w:abstractNumId w:val="11"/>
  </w:num>
  <w:num w:numId="13" w16cid:durableId="87432027">
    <w:abstractNumId w:val="0"/>
  </w:num>
  <w:num w:numId="14" w16cid:durableId="464738540">
    <w:abstractNumId w:val="7"/>
  </w:num>
  <w:num w:numId="15" w16cid:durableId="652761538">
    <w:abstractNumId w:val="1"/>
  </w:num>
  <w:num w:numId="16" w16cid:durableId="15126406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738A0"/>
    <w:rsid w:val="00083FC0"/>
    <w:rsid w:val="00093E1E"/>
    <w:rsid w:val="000940E7"/>
    <w:rsid w:val="000A0751"/>
    <w:rsid w:val="000C3280"/>
    <w:rsid w:val="000D6F08"/>
    <w:rsid w:val="000E379E"/>
    <w:rsid w:val="000F361B"/>
    <w:rsid w:val="00110100"/>
    <w:rsid w:val="00133EA1"/>
    <w:rsid w:val="00136053"/>
    <w:rsid w:val="0016096B"/>
    <w:rsid w:val="0016741C"/>
    <w:rsid w:val="001707C4"/>
    <w:rsid w:val="001754AA"/>
    <w:rsid w:val="0018209C"/>
    <w:rsid w:val="00182C00"/>
    <w:rsid w:val="001A4E1B"/>
    <w:rsid w:val="001B589F"/>
    <w:rsid w:val="001C06A8"/>
    <w:rsid w:val="001C6C4F"/>
    <w:rsid w:val="001D2551"/>
    <w:rsid w:val="001E6F3B"/>
    <w:rsid w:val="001E7B10"/>
    <w:rsid w:val="001F2857"/>
    <w:rsid w:val="001F48BE"/>
    <w:rsid w:val="002010FE"/>
    <w:rsid w:val="00203F67"/>
    <w:rsid w:val="0020539A"/>
    <w:rsid w:val="00212824"/>
    <w:rsid w:val="00233330"/>
    <w:rsid w:val="00233D58"/>
    <w:rsid w:val="00234AC2"/>
    <w:rsid w:val="00237778"/>
    <w:rsid w:val="00240F00"/>
    <w:rsid w:val="00241662"/>
    <w:rsid w:val="002432C6"/>
    <w:rsid w:val="002459B5"/>
    <w:rsid w:val="002518B7"/>
    <w:rsid w:val="002554A7"/>
    <w:rsid w:val="00257475"/>
    <w:rsid w:val="0026692F"/>
    <w:rsid w:val="00272BD5"/>
    <w:rsid w:val="002828A7"/>
    <w:rsid w:val="00285BE9"/>
    <w:rsid w:val="002914E9"/>
    <w:rsid w:val="002950FF"/>
    <w:rsid w:val="002955DD"/>
    <w:rsid w:val="00296CD9"/>
    <w:rsid w:val="002A706E"/>
    <w:rsid w:val="002A7A16"/>
    <w:rsid w:val="002B7C9A"/>
    <w:rsid w:val="002C3DD6"/>
    <w:rsid w:val="002C4113"/>
    <w:rsid w:val="002D77FE"/>
    <w:rsid w:val="00304214"/>
    <w:rsid w:val="0030739E"/>
    <w:rsid w:val="0031077C"/>
    <w:rsid w:val="003261FD"/>
    <w:rsid w:val="00327324"/>
    <w:rsid w:val="0032747D"/>
    <w:rsid w:val="003324CB"/>
    <w:rsid w:val="003464BA"/>
    <w:rsid w:val="003645B7"/>
    <w:rsid w:val="00366FDD"/>
    <w:rsid w:val="00375605"/>
    <w:rsid w:val="00387A41"/>
    <w:rsid w:val="003B31B1"/>
    <w:rsid w:val="003C0FF8"/>
    <w:rsid w:val="003C18E0"/>
    <w:rsid w:val="003C24A5"/>
    <w:rsid w:val="003E5C89"/>
    <w:rsid w:val="0041314E"/>
    <w:rsid w:val="004140C9"/>
    <w:rsid w:val="00414894"/>
    <w:rsid w:val="004221DC"/>
    <w:rsid w:val="004222DD"/>
    <w:rsid w:val="00425E26"/>
    <w:rsid w:val="0042635B"/>
    <w:rsid w:val="0042687B"/>
    <w:rsid w:val="00461835"/>
    <w:rsid w:val="00466612"/>
    <w:rsid w:val="004671D2"/>
    <w:rsid w:val="00470C03"/>
    <w:rsid w:val="004754FC"/>
    <w:rsid w:val="004937D3"/>
    <w:rsid w:val="004B0F83"/>
    <w:rsid w:val="004C5ADF"/>
    <w:rsid w:val="004D5250"/>
    <w:rsid w:val="004E109D"/>
    <w:rsid w:val="004E2201"/>
    <w:rsid w:val="004E2237"/>
    <w:rsid w:val="004E5E64"/>
    <w:rsid w:val="004F40DA"/>
    <w:rsid w:val="0052297E"/>
    <w:rsid w:val="0053076A"/>
    <w:rsid w:val="00530E3B"/>
    <w:rsid w:val="00537D5A"/>
    <w:rsid w:val="005404F4"/>
    <w:rsid w:val="005468A5"/>
    <w:rsid w:val="005506AE"/>
    <w:rsid w:val="00556711"/>
    <w:rsid w:val="00574BCF"/>
    <w:rsid w:val="00576395"/>
    <w:rsid w:val="005835C5"/>
    <w:rsid w:val="00585277"/>
    <w:rsid w:val="00594E39"/>
    <w:rsid w:val="005951E2"/>
    <w:rsid w:val="005B4A80"/>
    <w:rsid w:val="005B70E9"/>
    <w:rsid w:val="005D1652"/>
    <w:rsid w:val="005D2C4A"/>
    <w:rsid w:val="005D3DF1"/>
    <w:rsid w:val="005D5AFA"/>
    <w:rsid w:val="005D5E16"/>
    <w:rsid w:val="005E584A"/>
    <w:rsid w:val="005E6797"/>
    <w:rsid w:val="005F38A1"/>
    <w:rsid w:val="005F4E71"/>
    <w:rsid w:val="006059DB"/>
    <w:rsid w:val="006201D0"/>
    <w:rsid w:val="0063431E"/>
    <w:rsid w:val="0064147E"/>
    <w:rsid w:val="00641E15"/>
    <w:rsid w:val="00645633"/>
    <w:rsid w:val="00646AAE"/>
    <w:rsid w:val="00653AEC"/>
    <w:rsid w:val="00655190"/>
    <w:rsid w:val="00656183"/>
    <w:rsid w:val="006600EC"/>
    <w:rsid w:val="00662218"/>
    <w:rsid w:val="006715A4"/>
    <w:rsid w:val="006729DA"/>
    <w:rsid w:val="00672A4C"/>
    <w:rsid w:val="00681000"/>
    <w:rsid w:val="00685AE0"/>
    <w:rsid w:val="00687037"/>
    <w:rsid w:val="006D1998"/>
    <w:rsid w:val="006F02B9"/>
    <w:rsid w:val="006F446A"/>
    <w:rsid w:val="006F549F"/>
    <w:rsid w:val="00703D77"/>
    <w:rsid w:val="00711095"/>
    <w:rsid w:val="0072604C"/>
    <w:rsid w:val="007277B5"/>
    <w:rsid w:val="00737265"/>
    <w:rsid w:val="00737883"/>
    <w:rsid w:val="0075481F"/>
    <w:rsid w:val="0075502E"/>
    <w:rsid w:val="00755194"/>
    <w:rsid w:val="00762BBE"/>
    <w:rsid w:val="0076681D"/>
    <w:rsid w:val="00767E3E"/>
    <w:rsid w:val="00777C8F"/>
    <w:rsid w:val="007A3933"/>
    <w:rsid w:val="007B683C"/>
    <w:rsid w:val="007B7327"/>
    <w:rsid w:val="007C0825"/>
    <w:rsid w:val="007D313C"/>
    <w:rsid w:val="007E5BB1"/>
    <w:rsid w:val="007F390A"/>
    <w:rsid w:val="007F452A"/>
    <w:rsid w:val="007F5FFB"/>
    <w:rsid w:val="00804324"/>
    <w:rsid w:val="008051CD"/>
    <w:rsid w:val="00814B33"/>
    <w:rsid w:val="00820546"/>
    <w:rsid w:val="008267FB"/>
    <w:rsid w:val="00845C22"/>
    <w:rsid w:val="00850C29"/>
    <w:rsid w:val="00857D93"/>
    <w:rsid w:val="00860674"/>
    <w:rsid w:val="008671BB"/>
    <w:rsid w:val="008734F7"/>
    <w:rsid w:val="00885CE9"/>
    <w:rsid w:val="0088757F"/>
    <w:rsid w:val="00891BA2"/>
    <w:rsid w:val="008A17E8"/>
    <w:rsid w:val="008A647B"/>
    <w:rsid w:val="008C15D9"/>
    <w:rsid w:val="008C1836"/>
    <w:rsid w:val="008C4584"/>
    <w:rsid w:val="008C50D5"/>
    <w:rsid w:val="008D0747"/>
    <w:rsid w:val="008D7350"/>
    <w:rsid w:val="008E13D1"/>
    <w:rsid w:val="008F442A"/>
    <w:rsid w:val="009003BD"/>
    <w:rsid w:val="00910C0A"/>
    <w:rsid w:val="009112DC"/>
    <w:rsid w:val="00925DA1"/>
    <w:rsid w:val="00926100"/>
    <w:rsid w:val="00931E6B"/>
    <w:rsid w:val="009331F3"/>
    <w:rsid w:val="00977936"/>
    <w:rsid w:val="00982988"/>
    <w:rsid w:val="00983F5E"/>
    <w:rsid w:val="009911F2"/>
    <w:rsid w:val="00996159"/>
    <w:rsid w:val="009B52E7"/>
    <w:rsid w:val="009E14BB"/>
    <w:rsid w:val="009E53B8"/>
    <w:rsid w:val="009E7AF7"/>
    <w:rsid w:val="009F0884"/>
    <w:rsid w:val="009F1A40"/>
    <w:rsid w:val="009F46E4"/>
    <w:rsid w:val="009F7168"/>
    <w:rsid w:val="00A35122"/>
    <w:rsid w:val="00A37D4B"/>
    <w:rsid w:val="00A57779"/>
    <w:rsid w:val="00A671E8"/>
    <w:rsid w:val="00A83E54"/>
    <w:rsid w:val="00A84941"/>
    <w:rsid w:val="00A97D23"/>
    <w:rsid w:val="00AA4753"/>
    <w:rsid w:val="00AB4B93"/>
    <w:rsid w:val="00AB5F3D"/>
    <w:rsid w:val="00AC1EA1"/>
    <w:rsid w:val="00AC4AD4"/>
    <w:rsid w:val="00AD064D"/>
    <w:rsid w:val="00AD40B8"/>
    <w:rsid w:val="00AD6B33"/>
    <w:rsid w:val="00AD71BC"/>
    <w:rsid w:val="00AF0989"/>
    <w:rsid w:val="00AF517D"/>
    <w:rsid w:val="00AF66FE"/>
    <w:rsid w:val="00B0479E"/>
    <w:rsid w:val="00B0564E"/>
    <w:rsid w:val="00B07D9E"/>
    <w:rsid w:val="00B105BD"/>
    <w:rsid w:val="00B10C67"/>
    <w:rsid w:val="00B1231C"/>
    <w:rsid w:val="00B14EAE"/>
    <w:rsid w:val="00B216CC"/>
    <w:rsid w:val="00B21EDC"/>
    <w:rsid w:val="00B224D7"/>
    <w:rsid w:val="00B22CF9"/>
    <w:rsid w:val="00B25C58"/>
    <w:rsid w:val="00B3430C"/>
    <w:rsid w:val="00B358DC"/>
    <w:rsid w:val="00B35ECC"/>
    <w:rsid w:val="00B50ABC"/>
    <w:rsid w:val="00B6292E"/>
    <w:rsid w:val="00B65EE4"/>
    <w:rsid w:val="00B70ED7"/>
    <w:rsid w:val="00B711B8"/>
    <w:rsid w:val="00B86229"/>
    <w:rsid w:val="00B904E5"/>
    <w:rsid w:val="00BA2507"/>
    <w:rsid w:val="00BA2778"/>
    <w:rsid w:val="00BA5EB1"/>
    <w:rsid w:val="00BB764F"/>
    <w:rsid w:val="00BC1144"/>
    <w:rsid w:val="00BC241D"/>
    <w:rsid w:val="00BF3478"/>
    <w:rsid w:val="00C107F2"/>
    <w:rsid w:val="00C2143D"/>
    <w:rsid w:val="00C24C3D"/>
    <w:rsid w:val="00C3063A"/>
    <w:rsid w:val="00C33A04"/>
    <w:rsid w:val="00C358A0"/>
    <w:rsid w:val="00C40206"/>
    <w:rsid w:val="00C43F7B"/>
    <w:rsid w:val="00C53C50"/>
    <w:rsid w:val="00C55C8E"/>
    <w:rsid w:val="00C56152"/>
    <w:rsid w:val="00C61658"/>
    <w:rsid w:val="00C74B0D"/>
    <w:rsid w:val="00C77B23"/>
    <w:rsid w:val="00C933BE"/>
    <w:rsid w:val="00C9584A"/>
    <w:rsid w:val="00C95B3C"/>
    <w:rsid w:val="00CA1009"/>
    <w:rsid w:val="00CA3F2B"/>
    <w:rsid w:val="00CA6D65"/>
    <w:rsid w:val="00CB1C7D"/>
    <w:rsid w:val="00CB57A3"/>
    <w:rsid w:val="00CC048E"/>
    <w:rsid w:val="00CC6A1E"/>
    <w:rsid w:val="00CD7AA5"/>
    <w:rsid w:val="00CE01BA"/>
    <w:rsid w:val="00CF6C61"/>
    <w:rsid w:val="00D11351"/>
    <w:rsid w:val="00D16C84"/>
    <w:rsid w:val="00D40B91"/>
    <w:rsid w:val="00D45B01"/>
    <w:rsid w:val="00D53020"/>
    <w:rsid w:val="00D6215B"/>
    <w:rsid w:val="00D914F2"/>
    <w:rsid w:val="00DA0F82"/>
    <w:rsid w:val="00DA51E0"/>
    <w:rsid w:val="00DA702D"/>
    <w:rsid w:val="00DA76AD"/>
    <w:rsid w:val="00DB4061"/>
    <w:rsid w:val="00DB76B3"/>
    <w:rsid w:val="00DC6D73"/>
    <w:rsid w:val="00DD41FA"/>
    <w:rsid w:val="00DE0BD1"/>
    <w:rsid w:val="00DE6AEC"/>
    <w:rsid w:val="00DF3645"/>
    <w:rsid w:val="00DF4F14"/>
    <w:rsid w:val="00E06294"/>
    <w:rsid w:val="00E10124"/>
    <w:rsid w:val="00E14973"/>
    <w:rsid w:val="00E242E5"/>
    <w:rsid w:val="00E27E04"/>
    <w:rsid w:val="00E31442"/>
    <w:rsid w:val="00E37805"/>
    <w:rsid w:val="00E3794C"/>
    <w:rsid w:val="00E46629"/>
    <w:rsid w:val="00E52C94"/>
    <w:rsid w:val="00E53E98"/>
    <w:rsid w:val="00E575AE"/>
    <w:rsid w:val="00E87B30"/>
    <w:rsid w:val="00E95C98"/>
    <w:rsid w:val="00EA436A"/>
    <w:rsid w:val="00EA4667"/>
    <w:rsid w:val="00EC231A"/>
    <w:rsid w:val="00EC7151"/>
    <w:rsid w:val="00EF31AD"/>
    <w:rsid w:val="00EF43EF"/>
    <w:rsid w:val="00EF7A66"/>
    <w:rsid w:val="00F06D6F"/>
    <w:rsid w:val="00F11CD2"/>
    <w:rsid w:val="00F1387A"/>
    <w:rsid w:val="00F204CE"/>
    <w:rsid w:val="00F30B3D"/>
    <w:rsid w:val="00F31EBA"/>
    <w:rsid w:val="00F368B5"/>
    <w:rsid w:val="00F5082D"/>
    <w:rsid w:val="00F531BD"/>
    <w:rsid w:val="00F5324A"/>
    <w:rsid w:val="00F55629"/>
    <w:rsid w:val="00F57042"/>
    <w:rsid w:val="00F57C68"/>
    <w:rsid w:val="00F618CD"/>
    <w:rsid w:val="00F6339A"/>
    <w:rsid w:val="00F7169E"/>
    <w:rsid w:val="00F7288F"/>
    <w:rsid w:val="00F81041"/>
    <w:rsid w:val="00F82EA6"/>
    <w:rsid w:val="00F84B8E"/>
    <w:rsid w:val="00F8567E"/>
    <w:rsid w:val="00F86656"/>
    <w:rsid w:val="00F91B06"/>
    <w:rsid w:val="00F96B76"/>
    <w:rsid w:val="00F97C38"/>
    <w:rsid w:val="00FA0CA9"/>
    <w:rsid w:val="00FA4762"/>
    <w:rsid w:val="00FA5DEC"/>
    <w:rsid w:val="00FA6004"/>
    <w:rsid w:val="00FC21DB"/>
    <w:rsid w:val="00FC5EE6"/>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https://sbushare.cymru.nhs.uk/sites/Finance/Corp/Acc/FTO/Corporate%20Accounting/2025-26/Losses/Audit%20Commitee/Working%20Papers%202025%202026.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Losses &amp; Special Payments Analysis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'BH Analysis'!$A$2</c:f>
              <c:strCache>
                <c:ptCount val="1"/>
                <c:pt idx="0">
                  <c:v>2025-26</c:v>
                </c:pt>
              </c:strCache>
            </c:strRef>
          </c:tx>
          <c:spPr>
            <a:solidFill>
              <a:schemeClr val="accent1"/>
            </a:solidFill>
            <a:ln>
              <a:noFill/>
            </a:ln>
            <a:effectLst/>
          </c:spPr>
          <c:invertIfNegative val="0"/>
          <c:cat>
            <c:strRef>
              <c:f>'BH Analysis'!$B$1:$M$1</c:f>
              <c:strCache>
                <c:ptCount val="12"/>
                <c:pt idx="0">
                  <c:v> April </c:v>
                </c:pt>
                <c:pt idx="1">
                  <c:v> May </c:v>
                </c:pt>
                <c:pt idx="2">
                  <c:v> June </c:v>
                </c:pt>
                <c:pt idx="3">
                  <c:v> July </c:v>
                </c:pt>
                <c:pt idx="4">
                  <c:v> August </c:v>
                </c:pt>
                <c:pt idx="5">
                  <c:v> September </c:v>
                </c:pt>
                <c:pt idx="6">
                  <c:v> October </c:v>
                </c:pt>
                <c:pt idx="7">
                  <c:v> November </c:v>
                </c:pt>
                <c:pt idx="8">
                  <c:v> December </c:v>
                </c:pt>
                <c:pt idx="9">
                  <c:v> January </c:v>
                </c:pt>
                <c:pt idx="10">
                  <c:v> February </c:v>
                </c:pt>
                <c:pt idx="11">
                  <c:v> March </c:v>
                </c:pt>
              </c:strCache>
            </c:strRef>
          </c:cat>
          <c:val>
            <c:numRef>
              <c:f>'BH Analysis'!$B$2:$M$2</c:f>
              <c:numCache>
                <c:formatCode>_-* #,##0_-;\-* #,##0_-;_-* "-"??_-;_-@_-</c:formatCode>
                <c:ptCount val="12"/>
                <c:pt idx="0">
                  <c:v>4556476.1800000006</c:v>
                </c:pt>
                <c:pt idx="1">
                  <c:v>1400978.77</c:v>
                </c:pt>
                <c:pt idx="2">
                  <c:v>599144.12000000011</c:v>
                </c:pt>
                <c:pt idx="3">
                  <c:v>1002786.4600000001</c:v>
                </c:pt>
                <c:pt idx="4">
                  <c:v>4180886.9939999999</c:v>
                </c:pt>
                <c:pt idx="5">
                  <c:v>4333193.96</c:v>
                </c:pt>
                <c:pt idx="6">
                  <c:v>2373851.5500000003</c:v>
                </c:pt>
                <c:pt idx="7">
                  <c:v>966580.20000000007</c:v>
                </c:pt>
                <c:pt idx="8">
                  <c:v>6443411.8100000005</c:v>
                </c:pt>
                <c:pt idx="9">
                  <c:v>1508185.26</c:v>
                </c:pt>
                <c:pt idx="10">
                  <c:v>6400043.79</c:v>
                </c:pt>
                <c:pt idx="11">
                  <c:v>1270642.3</c:v>
                </c:pt>
              </c:numCache>
            </c:numRef>
          </c:val>
          <c:extLst>
            <c:ext xmlns:c16="http://schemas.microsoft.com/office/drawing/2014/chart" uri="{C3380CC4-5D6E-409C-BE32-E72D297353CC}">
              <c16:uniqueId val="{00000000-8098-4FD3-97E1-DDFB9885F316}"/>
            </c:ext>
          </c:extLst>
        </c:ser>
        <c:ser>
          <c:idx val="1"/>
          <c:order val="1"/>
          <c:tx>
            <c:strRef>
              <c:f>'BH Analysis'!$A$3</c:f>
              <c:strCache>
                <c:ptCount val="1"/>
                <c:pt idx="0">
                  <c:v>2024-25</c:v>
                </c:pt>
              </c:strCache>
            </c:strRef>
          </c:tx>
          <c:spPr>
            <a:solidFill>
              <a:schemeClr val="accent2"/>
            </a:solidFill>
            <a:ln>
              <a:noFill/>
            </a:ln>
            <a:effectLst/>
          </c:spPr>
          <c:invertIfNegative val="0"/>
          <c:cat>
            <c:strRef>
              <c:f>'BH Analysis'!$B$1:$M$1</c:f>
              <c:strCache>
                <c:ptCount val="12"/>
                <c:pt idx="0">
                  <c:v> April </c:v>
                </c:pt>
                <c:pt idx="1">
                  <c:v> May </c:v>
                </c:pt>
                <c:pt idx="2">
                  <c:v> June </c:v>
                </c:pt>
                <c:pt idx="3">
                  <c:v> July </c:v>
                </c:pt>
                <c:pt idx="4">
                  <c:v> August </c:v>
                </c:pt>
                <c:pt idx="5">
                  <c:v> September </c:v>
                </c:pt>
                <c:pt idx="6">
                  <c:v> October </c:v>
                </c:pt>
                <c:pt idx="7">
                  <c:v> November </c:v>
                </c:pt>
                <c:pt idx="8">
                  <c:v> December </c:v>
                </c:pt>
                <c:pt idx="9">
                  <c:v> January </c:v>
                </c:pt>
                <c:pt idx="10">
                  <c:v> February </c:v>
                </c:pt>
                <c:pt idx="11">
                  <c:v> March </c:v>
                </c:pt>
              </c:strCache>
            </c:strRef>
          </c:cat>
          <c:val>
            <c:numRef>
              <c:f>'BH Analysis'!$B$3:$M$3</c:f>
              <c:numCache>
                <c:formatCode>_-* #,##0_-;\-* #,##0_-;_-* "-"??_-;_-@_-</c:formatCode>
                <c:ptCount val="12"/>
                <c:pt idx="0">
                  <c:v>1000413.3300000001</c:v>
                </c:pt>
                <c:pt idx="1">
                  <c:v>1882784.4100000001</c:v>
                </c:pt>
                <c:pt idx="2">
                  <c:v>791675.42599999998</c:v>
                </c:pt>
                <c:pt idx="3">
                  <c:v>2777754.4899999998</c:v>
                </c:pt>
                <c:pt idx="4">
                  <c:v>685413</c:v>
                </c:pt>
                <c:pt idx="5">
                  <c:v>506671</c:v>
                </c:pt>
                <c:pt idx="6">
                  <c:v>1441383</c:v>
                </c:pt>
                <c:pt idx="7">
                  <c:v>842092</c:v>
                </c:pt>
                <c:pt idx="8">
                  <c:v>976327.02</c:v>
                </c:pt>
                <c:pt idx="9">
                  <c:v>6509879.21</c:v>
                </c:pt>
                <c:pt idx="10">
                  <c:v>1473245.99</c:v>
                </c:pt>
                <c:pt idx="11">
                  <c:v>5576197.1800000006</c:v>
                </c:pt>
              </c:numCache>
            </c:numRef>
          </c:val>
          <c:extLst>
            <c:ext xmlns:c16="http://schemas.microsoft.com/office/drawing/2014/chart" uri="{C3380CC4-5D6E-409C-BE32-E72D297353CC}">
              <c16:uniqueId val="{00000001-8098-4FD3-97E1-DDFB9885F316}"/>
            </c:ext>
          </c:extLst>
        </c:ser>
        <c:ser>
          <c:idx val="2"/>
          <c:order val="2"/>
          <c:tx>
            <c:strRef>
              <c:f>'BH Analysis'!$A$4</c:f>
              <c:strCache>
                <c:ptCount val="1"/>
                <c:pt idx="0">
                  <c:v>2023-24</c:v>
                </c:pt>
              </c:strCache>
            </c:strRef>
          </c:tx>
          <c:spPr>
            <a:solidFill>
              <a:schemeClr val="accent3"/>
            </a:solidFill>
            <a:ln>
              <a:noFill/>
            </a:ln>
            <a:effectLst/>
          </c:spPr>
          <c:invertIfNegative val="0"/>
          <c:cat>
            <c:strRef>
              <c:f>'BH Analysis'!$B$1:$M$1</c:f>
              <c:strCache>
                <c:ptCount val="12"/>
                <c:pt idx="0">
                  <c:v> April </c:v>
                </c:pt>
                <c:pt idx="1">
                  <c:v> May </c:v>
                </c:pt>
                <c:pt idx="2">
                  <c:v> June </c:v>
                </c:pt>
                <c:pt idx="3">
                  <c:v> July </c:v>
                </c:pt>
                <c:pt idx="4">
                  <c:v> August </c:v>
                </c:pt>
                <c:pt idx="5">
                  <c:v> September </c:v>
                </c:pt>
                <c:pt idx="6">
                  <c:v> October </c:v>
                </c:pt>
                <c:pt idx="7">
                  <c:v> November </c:v>
                </c:pt>
                <c:pt idx="8">
                  <c:v> December </c:v>
                </c:pt>
                <c:pt idx="9">
                  <c:v> January </c:v>
                </c:pt>
                <c:pt idx="10">
                  <c:v> February </c:v>
                </c:pt>
                <c:pt idx="11">
                  <c:v> March </c:v>
                </c:pt>
              </c:strCache>
            </c:strRef>
          </c:cat>
          <c:val>
            <c:numRef>
              <c:f>'BH Analysis'!$B$4:$M$4</c:f>
              <c:numCache>
                <c:formatCode>_-* #,##0_-;\-* #,##0_-;_-* "-"??_-;_-@_-</c:formatCode>
                <c:ptCount val="12"/>
                <c:pt idx="0">
                  <c:v>1306585</c:v>
                </c:pt>
                <c:pt idx="1">
                  <c:v>-1109344</c:v>
                </c:pt>
                <c:pt idx="2">
                  <c:v>704895</c:v>
                </c:pt>
                <c:pt idx="3">
                  <c:v>193238</c:v>
                </c:pt>
                <c:pt idx="4">
                  <c:v>3760582</c:v>
                </c:pt>
                <c:pt idx="5">
                  <c:v>522261</c:v>
                </c:pt>
                <c:pt idx="6">
                  <c:v>606434</c:v>
                </c:pt>
                <c:pt idx="7">
                  <c:v>151516</c:v>
                </c:pt>
                <c:pt idx="8">
                  <c:v>737846.51</c:v>
                </c:pt>
                <c:pt idx="9">
                  <c:v>1098670.7500000002</c:v>
                </c:pt>
                <c:pt idx="10">
                  <c:v>1550415.4200000002</c:v>
                </c:pt>
                <c:pt idx="11">
                  <c:v>418518.68999999994</c:v>
                </c:pt>
              </c:numCache>
            </c:numRef>
          </c:val>
          <c:extLst>
            <c:ext xmlns:c16="http://schemas.microsoft.com/office/drawing/2014/chart" uri="{C3380CC4-5D6E-409C-BE32-E72D297353CC}">
              <c16:uniqueId val="{00000002-8098-4FD3-97E1-DDFB9885F316}"/>
            </c:ext>
          </c:extLst>
        </c:ser>
        <c:dLbls>
          <c:showLegendKey val="0"/>
          <c:showVal val="0"/>
          <c:showCatName val="0"/>
          <c:showSerName val="0"/>
          <c:showPercent val="0"/>
          <c:showBubbleSize val="0"/>
        </c:dLbls>
        <c:gapWidth val="219"/>
        <c:overlap val="-27"/>
        <c:axId val="1608207952"/>
        <c:axId val="1608200272"/>
      </c:barChart>
      <c:catAx>
        <c:axId val="1608207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8200272"/>
        <c:crosses val="autoZero"/>
        <c:auto val="1"/>
        <c:lblAlgn val="ctr"/>
        <c:lblOffset val="100"/>
        <c:noMultiLvlLbl val="0"/>
      </c:catAx>
      <c:valAx>
        <c:axId val="160820027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8207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3C24A5"/>
    <w:rsid w:val="0040753F"/>
    <w:rsid w:val="004140C9"/>
    <w:rsid w:val="00467E8C"/>
    <w:rsid w:val="00500DD2"/>
    <w:rsid w:val="00502DAC"/>
    <w:rsid w:val="00524839"/>
    <w:rsid w:val="00591655"/>
    <w:rsid w:val="00672A4C"/>
    <w:rsid w:val="00696609"/>
    <w:rsid w:val="006D0E46"/>
    <w:rsid w:val="006F549F"/>
    <w:rsid w:val="0076681D"/>
    <w:rsid w:val="007D313C"/>
    <w:rsid w:val="0088757F"/>
    <w:rsid w:val="009E14BB"/>
    <w:rsid w:val="00B06ACB"/>
    <w:rsid w:val="00B904E5"/>
    <w:rsid w:val="00BF3478"/>
    <w:rsid w:val="00C3159D"/>
    <w:rsid w:val="00CB2F21"/>
    <w:rsid w:val="00CC048E"/>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36fbb788-0394-42f2-945d-81fcbf9e95de"/>
    <ds:schemaRef ds:uri="5dabfe2a-3ba2-4d4b-ba08-4f1c2c52c3dc"/>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07C7DA4C-1947-4AD6-8A88-615498AF7C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1310</TotalTime>
  <Pages>8</Pages>
  <Words>1805</Words>
  <Characters>10006</Characters>
  <Application>Microsoft Office Word</Application>
  <DocSecurity>0</DocSecurity>
  <Lines>83</Lines>
  <Paragraphs>23</Paragraphs>
  <ScaleCrop>false</ScaleCrop>
  <Company>ABM LHB</Company>
  <LinksUpToDate>false</LinksUpToDate>
  <CharactersWithSpaces>11788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122</cp:revision>
  <dcterms:created xsi:type="dcterms:W3CDTF">2026-06-30T13:41:00Z</dcterms:created>
  <dcterms:modified xsi:type="dcterms:W3CDTF">2026-07-09T09:50:00Z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