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16DC70" w14:textId="021F339F" w:rsidR="003675EC" w:rsidRPr="00555679" w:rsidRDefault="0030330E">
      <w:pPr>
        <w:rPr>
          <w:b/>
          <w:bCs/>
          <w:u w:val="single"/>
        </w:rPr>
      </w:pPr>
      <w:r w:rsidRPr="00555679">
        <w:rPr>
          <w:b/>
          <w:bCs/>
          <w:u w:val="single"/>
        </w:rPr>
        <w:t>Review of Risk Management Group Purpose, Role, Function and Duties</w:t>
      </w:r>
      <w:r w:rsidR="00951F0B" w:rsidRPr="00555679">
        <w:rPr>
          <w:b/>
          <w:bCs/>
          <w:u w:val="single"/>
        </w:rPr>
        <w:t xml:space="preserve"> (from Terms of Reference, 2025)</w:t>
      </w:r>
    </w:p>
    <w:p w14:paraId="35AEEFB6" w14:textId="767E3070" w:rsidR="003675EC" w:rsidRDefault="003675EC"/>
    <w:tbl>
      <w:tblPr>
        <w:tblStyle w:val="TableGrid"/>
        <w:tblW w:w="0" w:type="auto"/>
        <w:tblLook w:val="04A0" w:firstRow="1" w:lastRow="0" w:firstColumn="1" w:lastColumn="0" w:noHBand="0" w:noVBand="1"/>
      </w:tblPr>
      <w:tblGrid>
        <w:gridCol w:w="421"/>
        <w:gridCol w:w="10146"/>
        <w:gridCol w:w="3381"/>
      </w:tblGrid>
      <w:tr w:rsidR="001A3EB7" w14:paraId="6E8984E1" w14:textId="77777777" w:rsidTr="001A3EB7">
        <w:tc>
          <w:tcPr>
            <w:tcW w:w="421" w:type="dxa"/>
            <w:shd w:val="clear" w:color="auto" w:fill="DEEAF6" w:themeFill="accent5" w:themeFillTint="33"/>
          </w:tcPr>
          <w:p w14:paraId="5A02A45D" w14:textId="7B0B8BBC" w:rsidR="001A3EB7" w:rsidRDefault="001A3EB7" w:rsidP="00C41142">
            <w:pPr>
              <w:rPr>
                <w:b/>
                <w:bCs/>
                <w:sz w:val="20"/>
                <w:szCs w:val="20"/>
              </w:rPr>
            </w:pPr>
            <w:r>
              <w:rPr>
                <w:b/>
                <w:bCs/>
                <w:sz w:val="20"/>
                <w:szCs w:val="20"/>
              </w:rPr>
              <w:t>1</w:t>
            </w:r>
          </w:p>
        </w:tc>
        <w:tc>
          <w:tcPr>
            <w:tcW w:w="10146" w:type="dxa"/>
            <w:shd w:val="clear" w:color="auto" w:fill="DEEAF6" w:themeFill="accent5" w:themeFillTint="33"/>
            <w:vAlign w:val="center"/>
          </w:tcPr>
          <w:p w14:paraId="3584BE6A" w14:textId="4D51E673" w:rsidR="001A3EB7" w:rsidRPr="00E4625F" w:rsidRDefault="001A3EB7" w:rsidP="00C41142">
            <w:pPr>
              <w:rPr>
                <w:b/>
                <w:bCs/>
                <w:sz w:val="20"/>
                <w:szCs w:val="20"/>
              </w:rPr>
            </w:pPr>
            <w:r>
              <w:rPr>
                <w:b/>
                <w:bCs/>
                <w:sz w:val="20"/>
                <w:szCs w:val="20"/>
              </w:rPr>
              <w:t xml:space="preserve">RMG </w:t>
            </w:r>
            <w:r w:rsidRPr="00E4625F">
              <w:rPr>
                <w:b/>
                <w:bCs/>
                <w:sz w:val="20"/>
                <w:szCs w:val="20"/>
              </w:rPr>
              <w:t>Purpose, Role and Function</w:t>
            </w:r>
          </w:p>
        </w:tc>
        <w:tc>
          <w:tcPr>
            <w:tcW w:w="3381" w:type="dxa"/>
            <w:shd w:val="clear" w:color="auto" w:fill="DEEAF6" w:themeFill="accent5" w:themeFillTint="33"/>
            <w:vAlign w:val="center"/>
          </w:tcPr>
          <w:p w14:paraId="4089ABA5" w14:textId="77777777" w:rsidR="001A3EB7" w:rsidRPr="00E4625F" w:rsidRDefault="001A3EB7" w:rsidP="00C41142">
            <w:pPr>
              <w:rPr>
                <w:b/>
                <w:bCs/>
                <w:sz w:val="20"/>
                <w:szCs w:val="20"/>
              </w:rPr>
            </w:pPr>
            <w:r>
              <w:rPr>
                <w:b/>
                <w:bCs/>
                <w:sz w:val="20"/>
                <w:szCs w:val="20"/>
              </w:rPr>
              <w:t>Responsible Forum/s</w:t>
            </w:r>
          </w:p>
        </w:tc>
      </w:tr>
      <w:tr w:rsidR="001A3EB7" w14:paraId="12BBEE70" w14:textId="77777777" w:rsidTr="002C50B5">
        <w:trPr>
          <w:trHeight w:val="546"/>
        </w:trPr>
        <w:tc>
          <w:tcPr>
            <w:tcW w:w="421" w:type="dxa"/>
          </w:tcPr>
          <w:p w14:paraId="0158DE89" w14:textId="04FC97A6" w:rsidR="001A3EB7" w:rsidRPr="00E4625F" w:rsidRDefault="001A3EB7" w:rsidP="00E24D82">
            <w:pPr>
              <w:jc w:val="both"/>
              <w:rPr>
                <w:sz w:val="20"/>
                <w:szCs w:val="20"/>
              </w:rPr>
            </w:pPr>
            <w:r>
              <w:rPr>
                <w:sz w:val="20"/>
                <w:szCs w:val="20"/>
              </w:rPr>
              <w:t>1</w:t>
            </w:r>
          </w:p>
        </w:tc>
        <w:tc>
          <w:tcPr>
            <w:tcW w:w="10146" w:type="dxa"/>
            <w:vAlign w:val="center"/>
          </w:tcPr>
          <w:p w14:paraId="2CBBA20D" w14:textId="0C42FFB8" w:rsidR="001A3EB7" w:rsidRPr="00E4625F" w:rsidRDefault="001A3EB7" w:rsidP="00E24D82">
            <w:pPr>
              <w:jc w:val="both"/>
              <w:rPr>
                <w:sz w:val="20"/>
                <w:szCs w:val="20"/>
              </w:rPr>
            </w:pPr>
            <w:r w:rsidRPr="00E4625F">
              <w:rPr>
                <w:sz w:val="20"/>
                <w:szCs w:val="20"/>
              </w:rPr>
              <w:t>Oversee the Health Board’s risk management arrangements and implementation of policy to ensure consistency across the Health Board</w:t>
            </w:r>
            <w:r>
              <w:rPr>
                <w:sz w:val="20"/>
                <w:szCs w:val="20"/>
              </w:rPr>
              <w:t>.</w:t>
            </w:r>
          </w:p>
        </w:tc>
        <w:tc>
          <w:tcPr>
            <w:tcW w:w="3381" w:type="dxa"/>
            <w:vAlign w:val="center"/>
          </w:tcPr>
          <w:p w14:paraId="35449F5F" w14:textId="77777777" w:rsidR="001A3EB7" w:rsidRPr="005E75B4" w:rsidRDefault="001A3EB7" w:rsidP="00C41142">
            <w:pPr>
              <w:spacing w:line="300" w:lineRule="atLeast"/>
              <w:rPr>
                <w:b/>
                <w:bCs/>
                <w:color w:val="1F3864" w:themeColor="accent1" w:themeShade="80"/>
                <w:sz w:val="20"/>
                <w:szCs w:val="20"/>
              </w:rPr>
            </w:pPr>
            <w:r w:rsidRPr="005E75B4">
              <w:rPr>
                <w:b/>
                <w:bCs/>
                <w:color w:val="1F3864" w:themeColor="accent1" w:themeShade="80"/>
                <w:sz w:val="20"/>
                <w:szCs w:val="20"/>
              </w:rPr>
              <w:t>Executive Board</w:t>
            </w:r>
          </w:p>
        </w:tc>
      </w:tr>
      <w:tr w:rsidR="001A3EB7" w14:paraId="1A176E9A" w14:textId="77777777" w:rsidTr="002C50B5">
        <w:tc>
          <w:tcPr>
            <w:tcW w:w="421" w:type="dxa"/>
          </w:tcPr>
          <w:p w14:paraId="4A496FB8" w14:textId="69526197" w:rsidR="001A3EB7" w:rsidRPr="00E4625F" w:rsidRDefault="001A3EB7" w:rsidP="00E24D82">
            <w:pPr>
              <w:jc w:val="both"/>
              <w:rPr>
                <w:sz w:val="20"/>
                <w:szCs w:val="20"/>
              </w:rPr>
            </w:pPr>
            <w:r>
              <w:rPr>
                <w:sz w:val="20"/>
                <w:szCs w:val="20"/>
              </w:rPr>
              <w:t>2</w:t>
            </w:r>
          </w:p>
        </w:tc>
        <w:tc>
          <w:tcPr>
            <w:tcW w:w="10146" w:type="dxa"/>
            <w:vAlign w:val="center"/>
          </w:tcPr>
          <w:p w14:paraId="4EB6E8F2" w14:textId="1EDAC878" w:rsidR="001A3EB7" w:rsidRPr="00E4625F" w:rsidRDefault="001A3EB7" w:rsidP="00E24D82">
            <w:pPr>
              <w:jc w:val="both"/>
              <w:rPr>
                <w:sz w:val="20"/>
                <w:szCs w:val="20"/>
              </w:rPr>
            </w:pPr>
            <w:r w:rsidRPr="00E4625F">
              <w:rPr>
                <w:sz w:val="20"/>
                <w:szCs w:val="20"/>
              </w:rPr>
              <w:t>Ensure that suitable processes are in place to identify, assess, monitor and manage strategic and operational risks.</w:t>
            </w:r>
          </w:p>
        </w:tc>
        <w:tc>
          <w:tcPr>
            <w:tcW w:w="3381" w:type="dxa"/>
            <w:vAlign w:val="center"/>
          </w:tcPr>
          <w:p w14:paraId="5A1376D6" w14:textId="6035A2ED" w:rsidR="001A3EB7" w:rsidRPr="005E75B4" w:rsidRDefault="001A3EB7" w:rsidP="00C41142">
            <w:pPr>
              <w:spacing w:line="300" w:lineRule="atLeast"/>
              <w:rPr>
                <w:color w:val="1F3864" w:themeColor="accent1" w:themeShade="80"/>
                <w:sz w:val="20"/>
                <w:szCs w:val="20"/>
              </w:rPr>
            </w:pPr>
            <w:r w:rsidRPr="005E75B4">
              <w:rPr>
                <w:b/>
                <w:bCs/>
                <w:color w:val="1F3864" w:themeColor="accent1" w:themeShade="80"/>
                <w:sz w:val="20"/>
                <w:szCs w:val="20"/>
              </w:rPr>
              <w:t>Executive Board</w:t>
            </w:r>
            <w:r w:rsidRPr="005E75B4">
              <w:rPr>
                <w:color w:val="1F3864" w:themeColor="accent1" w:themeShade="80"/>
                <w:sz w:val="20"/>
                <w:szCs w:val="20"/>
              </w:rPr>
              <w:t>: SRR</w:t>
            </w:r>
            <w:r w:rsidR="003266FC" w:rsidRPr="005E75B4">
              <w:rPr>
                <w:color w:val="1F3864" w:themeColor="accent1" w:themeShade="80"/>
                <w:sz w:val="20"/>
                <w:szCs w:val="20"/>
              </w:rPr>
              <w:t xml:space="preserve"> and CRR</w:t>
            </w:r>
          </w:p>
          <w:p w14:paraId="37C2D14D" w14:textId="77777777" w:rsidR="001A3EB7" w:rsidRPr="005E75B4" w:rsidRDefault="001A3EB7" w:rsidP="00C41142">
            <w:pPr>
              <w:spacing w:line="300" w:lineRule="atLeast"/>
              <w:rPr>
                <w:color w:val="1F3864" w:themeColor="accent1" w:themeShade="80"/>
                <w:sz w:val="20"/>
                <w:szCs w:val="20"/>
              </w:rPr>
            </w:pPr>
            <w:r w:rsidRPr="005E75B4">
              <w:rPr>
                <w:b/>
                <w:bCs/>
                <w:color w:val="1F3864" w:themeColor="accent1" w:themeShade="80"/>
                <w:sz w:val="20"/>
                <w:szCs w:val="20"/>
              </w:rPr>
              <w:t>Operational Executive Group (OEG)</w:t>
            </w:r>
            <w:r w:rsidRPr="005E75B4">
              <w:rPr>
                <w:color w:val="1F3864" w:themeColor="accent1" w:themeShade="80"/>
                <w:sz w:val="20"/>
                <w:szCs w:val="20"/>
              </w:rPr>
              <w:t>: CRR and ORR</w:t>
            </w:r>
          </w:p>
        </w:tc>
      </w:tr>
      <w:tr w:rsidR="001A3EB7" w14:paraId="46CECF50" w14:textId="77777777" w:rsidTr="002C50B5">
        <w:tc>
          <w:tcPr>
            <w:tcW w:w="421" w:type="dxa"/>
          </w:tcPr>
          <w:p w14:paraId="68372A88" w14:textId="1876D718" w:rsidR="001A3EB7" w:rsidRPr="00E4625F" w:rsidRDefault="001A3EB7" w:rsidP="00E24D82">
            <w:pPr>
              <w:jc w:val="both"/>
              <w:rPr>
                <w:sz w:val="20"/>
                <w:szCs w:val="20"/>
              </w:rPr>
            </w:pPr>
            <w:r>
              <w:rPr>
                <w:sz w:val="20"/>
                <w:szCs w:val="20"/>
              </w:rPr>
              <w:t>3</w:t>
            </w:r>
          </w:p>
        </w:tc>
        <w:tc>
          <w:tcPr>
            <w:tcW w:w="10146" w:type="dxa"/>
            <w:vAlign w:val="center"/>
          </w:tcPr>
          <w:p w14:paraId="0FFAD866" w14:textId="6E8B11CF" w:rsidR="001A3EB7" w:rsidRPr="00E4625F" w:rsidRDefault="001A3EB7" w:rsidP="00E24D82">
            <w:pPr>
              <w:jc w:val="both"/>
              <w:rPr>
                <w:sz w:val="20"/>
                <w:szCs w:val="20"/>
              </w:rPr>
            </w:pPr>
            <w:r w:rsidRPr="00E4625F">
              <w:rPr>
                <w:sz w:val="20"/>
                <w:szCs w:val="20"/>
              </w:rPr>
              <w:t>Ensure a cohesive functional link between the Health Board’s corporate governance and risk management arrangements and those of the Service Groups.</w:t>
            </w:r>
          </w:p>
        </w:tc>
        <w:tc>
          <w:tcPr>
            <w:tcW w:w="3381" w:type="dxa"/>
            <w:vAlign w:val="center"/>
          </w:tcPr>
          <w:p w14:paraId="74856550" w14:textId="77777777" w:rsidR="001A3EB7" w:rsidRPr="005E75B4" w:rsidRDefault="001A3EB7" w:rsidP="00E24D82">
            <w:pPr>
              <w:spacing w:line="300" w:lineRule="atLeast"/>
              <w:rPr>
                <w:b/>
                <w:bCs/>
                <w:color w:val="1F3864" w:themeColor="accent1" w:themeShade="80"/>
                <w:sz w:val="20"/>
                <w:szCs w:val="20"/>
              </w:rPr>
            </w:pPr>
            <w:r w:rsidRPr="005E75B4">
              <w:rPr>
                <w:b/>
                <w:bCs/>
                <w:color w:val="1F3864" w:themeColor="accent1" w:themeShade="80"/>
                <w:sz w:val="20"/>
                <w:szCs w:val="20"/>
              </w:rPr>
              <w:t xml:space="preserve">Performance Reviews </w:t>
            </w:r>
          </w:p>
          <w:p w14:paraId="0224EB50" w14:textId="1615B7FD" w:rsidR="001A3EB7" w:rsidRPr="005E75B4" w:rsidRDefault="00556FCD" w:rsidP="00E24D82">
            <w:pPr>
              <w:spacing w:line="300" w:lineRule="atLeast"/>
              <w:rPr>
                <w:b/>
                <w:bCs/>
                <w:color w:val="1F3864" w:themeColor="accent1" w:themeShade="80"/>
                <w:sz w:val="20"/>
                <w:szCs w:val="20"/>
              </w:rPr>
            </w:pPr>
            <w:r w:rsidRPr="005E75B4">
              <w:rPr>
                <w:b/>
                <w:bCs/>
                <w:color w:val="1F3864" w:themeColor="accent1" w:themeShade="80"/>
                <w:sz w:val="20"/>
                <w:szCs w:val="20"/>
              </w:rPr>
              <w:t>OEG</w:t>
            </w:r>
          </w:p>
        </w:tc>
      </w:tr>
      <w:tr w:rsidR="001A3EB7" w14:paraId="0B3FE6A0" w14:textId="77777777" w:rsidTr="002C50B5">
        <w:tc>
          <w:tcPr>
            <w:tcW w:w="421" w:type="dxa"/>
          </w:tcPr>
          <w:p w14:paraId="61AC3072" w14:textId="22266327" w:rsidR="001A3EB7" w:rsidRPr="00E4625F" w:rsidRDefault="001A3EB7" w:rsidP="00E24D82">
            <w:pPr>
              <w:jc w:val="both"/>
              <w:rPr>
                <w:sz w:val="20"/>
                <w:szCs w:val="20"/>
              </w:rPr>
            </w:pPr>
            <w:r>
              <w:rPr>
                <w:sz w:val="20"/>
                <w:szCs w:val="20"/>
              </w:rPr>
              <w:t>4</w:t>
            </w:r>
          </w:p>
        </w:tc>
        <w:tc>
          <w:tcPr>
            <w:tcW w:w="10146" w:type="dxa"/>
            <w:vAlign w:val="center"/>
          </w:tcPr>
          <w:p w14:paraId="06F3F7B3" w14:textId="5FC69E1A" w:rsidR="001A3EB7" w:rsidRPr="00E4625F" w:rsidRDefault="001A3EB7" w:rsidP="00E24D82">
            <w:pPr>
              <w:jc w:val="both"/>
              <w:rPr>
                <w:sz w:val="20"/>
                <w:szCs w:val="20"/>
              </w:rPr>
            </w:pPr>
            <w:r w:rsidRPr="00E4625F">
              <w:rPr>
                <w:sz w:val="20"/>
                <w:szCs w:val="20"/>
              </w:rPr>
              <w:t>Ensure risks are up to date by a 6 monthly gateway review of risks</w:t>
            </w:r>
            <w:r>
              <w:rPr>
                <w:sz w:val="20"/>
                <w:szCs w:val="20"/>
              </w:rPr>
              <w:t>.</w:t>
            </w:r>
          </w:p>
        </w:tc>
        <w:tc>
          <w:tcPr>
            <w:tcW w:w="3381" w:type="dxa"/>
            <w:vAlign w:val="center"/>
          </w:tcPr>
          <w:p w14:paraId="58723404" w14:textId="5F4B943A" w:rsidR="001A3EB7" w:rsidRPr="005E75B4" w:rsidRDefault="001A3EB7" w:rsidP="00C41142">
            <w:pPr>
              <w:spacing w:line="300" w:lineRule="atLeast"/>
              <w:rPr>
                <w:rFonts w:ascii="Segoe UI Emoji" w:hAnsi="Segoe UI Emoji" w:cs="Segoe UI Emoji"/>
                <w:color w:val="1F3864" w:themeColor="accent1" w:themeShade="80"/>
                <w:sz w:val="20"/>
                <w:szCs w:val="20"/>
              </w:rPr>
            </w:pPr>
            <w:r w:rsidRPr="005E75B4">
              <w:rPr>
                <w:b/>
                <w:bCs/>
                <w:color w:val="1F3864" w:themeColor="accent1" w:themeShade="80"/>
                <w:sz w:val="20"/>
                <w:szCs w:val="20"/>
              </w:rPr>
              <w:t xml:space="preserve">Executive Board </w:t>
            </w:r>
            <w:r w:rsidRPr="005E75B4">
              <w:rPr>
                <w:color w:val="1F3864" w:themeColor="accent1" w:themeShade="80"/>
                <w:sz w:val="20"/>
                <w:szCs w:val="20"/>
              </w:rPr>
              <w:t>(SRR</w:t>
            </w:r>
            <w:r w:rsidR="007E19B5" w:rsidRPr="005E75B4">
              <w:rPr>
                <w:color w:val="1F3864" w:themeColor="accent1" w:themeShade="80"/>
                <w:sz w:val="20"/>
                <w:szCs w:val="20"/>
              </w:rPr>
              <w:t xml:space="preserve"> &amp; CRR</w:t>
            </w:r>
            <w:r w:rsidRPr="005E75B4">
              <w:rPr>
                <w:color w:val="1F3864" w:themeColor="accent1" w:themeShade="80"/>
                <w:sz w:val="20"/>
                <w:szCs w:val="20"/>
              </w:rPr>
              <w:t>)</w:t>
            </w:r>
          </w:p>
          <w:p w14:paraId="30425AD1" w14:textId="253F93D1" w:rsidR="001A3EB7" w:rsidRPr="005E75B4" w:rsidRDefault="001A3EB7" w:rsidP="00C41142">
            <w:pPr>
              <w:spacing w:line="300" w:lineRule="atLeast"/>
              <w:rPr>
                <w:color w:val="1F3864" w:themeColor="accent1" w:themeShade="80"/>
                <w:sz w:val="20"/>
                <w:szCs w:val="20"/>
              </w:rPr>
            </w:pPr>
            <w:r w:rsidRPr="005E75B4">
              <w:rPr>
                <w:b/>
                <w:bCs/>
                <w:color w:val="1F3864" w:themeColor="accent1" w:themeShade="80"/>
                <w:sz w:val="20"/>
                <w:szCs w:val="20"/>
              </w:rPr>
              <w:t>OEG</w:t>
            </w:r>
            <w:r w:rsidRPr="005E75B4">
              <w:rPr>
                <w:color w:val="1F3864" w:themeColor="accent1" w:themeShade="80"/>
                <w:sz w:val="20"/>
                <w:szCs w:val="20"/>
              </w:rPr>
              <w:t xml:space="preserve"> (ORR)</w:t>
            </w:r>
          </w:p>
        </w:tc>
      </w:tr>
      <w:tr w:rsidR="001A3EB7" w14:paraId="288C2318" w14:textId="77777777" w:rsidTr="002C50B5">
        <w:tc>
          <w:tcPr>
            <w:tcW w:w="421" w:type="dxa"/>
          </w:tcPr>
          <w:p w14:paraId="221C7847" w14:textId="35B681D2" w:rsidR="001A3EB7" w:rsidRPr="00E4625F" w:rsidRDefault="001A3EB7" w:rsidP="00E24D82">
            <w:pPr>
              <w:jc w:val="both"/>
              <w:rPr>
                <w:sz w:val="20"/>
                <w:szCs w:val="20"/>
              </w:rPr>
            </w:pPr>
            <w:r>
              <w:rPr>
                <w:sz w:val="20"/>
                <w:szCs w:val="20"/>
              </w:rPr>
              <w:t>5</w:t>
            </w:r>
          </w:p>
        </w:tc>
        <w:tc>
          <w:tcPr>
            <w:tcW w:w="10146" w:type="dxa"/>
            <w:vAlign w:val="center"/>
          </w:tcPr>
          <w:p w14:paraId="2D7F4199" w14:textId="4E40AC3D" w:rsidR="001A3EB7" w:rsidRPr="00E4625F" w:rsidRDefault="001A3EB7" w:rsidP="00E24D82">
            <w:pPr>
              <w:jc w:val="both"/>
              <w:rPr>
                <w:sz w:val="20"/>
                <w:szCs w:val="20"/>
              </w:rPr>
            </w:pPr>
            <w:r w:rsidRPr="00E4625F">
              <w:rPr>
                <w:sz w:val="20"/>
                <w:szCs w:val="20"/>
              </w:rPr>
              <w:t>Consider escalated and deescalated risks and consider options to manage risks when Service Groups have identified a need to escalate for support / intervention</w:t>
            </w:r>
            <w:r>
              <w:rPr>
                <w:sz w:val="20"/>
                <w:szCs w:val="20"/>
              </w:rPr>
              <w:t>.</w:t>
            </w:r>
          </w:p>
        </w:tc>
        <w:tc>
          <w:tcPr>
            <w:tcW w:w="3381" w:type="dxa"/>
            <w:vAlign w:val="center"/>
          </w:tcPr>
          <w:p w14:paraId="06044A46" w14:textId="11739B9A" w:rsidR="001A3EB7" w:rsidRPr="005E75B4" w:rsidRDefault="001A3EB7" w:rsidP="00C41142">
            <w:pPr>
              <w:spacing w:line="300" w:lineRule="atLeast"/>
              <w:rPr>
                <w:color w:val="1F3864" w:themeColor="accent1" w:themeShade="80"/>
                <w:sz w:val="20"/>
                <w:szCs w:val="20"/>
              </w:rPr>
            </w:pPr>
            <w:r w:rsidRPr="005E75B4">
              <w:rPr>
                <w:b/>
                <w:bCs/>
                <w:color w:val="1F3864" w:themeColor="accent1" w:themeShade="80"/>
                <w:sz w:val="20"/>
                <w:szCs w:val="20"/>
              </w:rPr>
              <w:t>Performance Review</w:t>
            </w:r>
            <w:r w:rsidR="0047663A" w:rsidRPr="005E75B4">
              <w:rPr>
                <w:rStyle w:val="FootnoteReference"/>
                <w:b/>
                <w:bCs/>
                <w:color w:val="1F3864" w:themeColor="accent1" w:themeShade="80"/>
                <w:sz w:val="20"/>
                <w:szCs w:val="20"/>
              </w:rPr>
              <w:footnoteReference w:id="1"/>
            </w:r>
            <w:r w:rsidRPr="005E75B4">
              <w:rPr>
                <w:b/>
                <w:bCs/>
                <w:color w:val="1F3864" w:themeColor="accent1" w:themeShade="80"/>
                <w:sz w:val="20"/>
                <w:szCs w:val="20"/>
              </w:rPr>
              <w:t>:</w:t>
            </w:r>
            <w:r w:rsidRPr="005E75B4">
              <w:rPr>
                <w:color w:val="1F3864" w:themeColor="accent1" w:themeShade="80"/>
                <w:sz w:val="20"/>
                <w:szCs w:val="20"/>
              </w:rPr>
              <w:t xml:space="preserve"> Escalation from ORR to CRR </w:t>
            </w:r>
          </w:p>
          <w:p w14:paraId="1ACED568" w14:textId="7DA557AA" w:rsidR="001A3EB7" w:rsidRPr="005E75B4" w:rsidRDefault="001A3EB7" w:rsidP="002C50B5">
            <w:pPr>
              <w:spacing w:line="300" w:lineRule="atLeast"/>
              <w:rPr>
                <w:color w:val="1F3864" w:themeColor="accent1" w:themeShade="80"/>
                <w:sz w:val="20"/>
                <w:szCs w:val="20"/>
              </w:rPr>
            </w:pPr>
            <w:r w:rsidRPr="005E75B4">
              <w:rPr>
                <w:b/>
                <w:bCs/>
                <w:color w:val="1F3864" w:themeColor="accent1" w:themeShade="80"/>
                <w:sz w:val="20"/>
                <w:szCs w:val="20"/>
              </w:rPr>
              <w:t>OEG</w:t>
            </w:r>
            <w:r w:rsidR="0047663A" w:rsidRPr="005E75B4">
              <w:rPr>
                <w:rStyle w:val="FootnoteReference"/>
                <w:b/>
                <w:bCs/>
                <w:color w:val="1F3864" w:themeColor="accent1" w:themeShade="80"/>
                <w:sz w:val="20"/>
                <w:szCs w:val="20"/>
              </w:rPr>
              <w:footnoteReference w:id="2"/>
            </w:r>
            <w:r w:rsidRPr="005E75B4">
              <w:rPr>
                <w:b/>
                <w:bCs/>
                <w:color w:val="1F3864" w:themeColor="accent1" w:themeShade="80"/>
                <w:sz w:val="20"/>
                <w:szCs w:val="20"/>
              </w:rPr>
              <w:t xml:space="preserve">: </w:t>
            </w:r>
            <w:r w:rsidRPr="005E75B4">
              <w:rPr>
                <w:color w:val="1F3864" w:themeColor="accent1" w:themeShade="80"/>
                <w:sz w:val="20"/>
                <w:szCs w:val="20"/>
              </w:rPr>
              <w:t>De-escalation from CRR to ORR</w:t>
            </w:r>
            <w:r w:rsidR="001277E1" w:rsidRPr="005E75B4">
              <w:rPr>
                <w:color w:val="1F3864" w:themeColor="accent1" w:themeShade="80"/>
                <w:sz w:val="20"/>
                <w:szCs w:val="20"/>
              </w:rPr>
              <w:t xml:space="preserve"> </w:t>
            </w:r>
          </w:p>
          <w:p w14:paraId="0000C5D5" w14:textId="0CD29444" w:rsidR="00E4172C" w:rsidRPr="005E75B4" w:rsidRDefault="00E4172C" w:rsidP="002C50B5">
            <w:pPr>
              <w:spacing w:line="300" w:lineRule="atLeast"/>
              <w:rPr>
                <w:b/>
                <w:bCs/>
                <w:color w:val="1F3864" w:themeColor="accent1" w:themeShade="80"/>
                <w:sz w:val="20"/>
                <w:szCs w:val="20"/>
              </w:rPr>
            </w:pPr>
            <w:r w:rsidRPr="005E75B4">
              <w:rPr>
                <w:b/>
                <w:bCs/>
                <w:color w:val="1F3864" w:themeColor="accent1" w:themeShade="80"/>
                <w:sz w:val="20"/>
                <w:szCs w:val="20"/>
              </w:rPr>
              <w:t xml:space="preserve">Executive Board: </w:t>
            </w:r>
            <w:r w:rsidR="00ED5965" w:rsidRPr="005E75B4">
              <w:rPr>
                <w:color w:val="1F3864" w:themeColor="accent1" w:themeShade="80"/>
                <w:sz w:val="20"/>
                <w:szCs w:val="20"/>
              </w:rPr>
              <w:t>Additions and closures to risks within the SRR</w:t>
            </w:r>
          </w:p>
        </w:tc>
      </w:tr>
      <w:tr w:rsidR="001A3EB7" w14:paraId="487C8763" w14:textId="77777777" w:rsidTr="003E3FE8">
        <w:tc>
          <w:tcPr>
            <w:tcW w:w="421" w:type="dxa"/>
          </w:tcPr>
          <w:p w14:paraId="16368F37" w14:textId="69481057" w:rsidR="001A3EB7" w:rsidRPr="00E4625F" w:rsidRDefault="00A64AFC" w:rsidP="00C41142">
            <w:pPr>
              <w:rPr>
                <w:sz w:val="20"/>
                <w:szCs w:val="20"/>
              </w:rPr>
            </w:pPr>
            <w:r>
              <w:rPr>
                <w:sz w:val="20"/>
                <w:szCs w:val="20"/>
              </w:rPr>
              <w:t>6</w:t>
            </w:r>
          </w:p>
        </w:tc>
        <w:tc>
          <w:tcPr>
            <w:tcW w:w="10146" w:type="dxa"/>
            <w:vAlign w:val="center"/>
          </w:tcPr>
          <w:p w14:paraId="232B146E" w14:textId="023068F1" w:rsidR="001A3EB7" w:rsidRPr="00E4625F" w:rsidRDefault="001A3EB7" w:rsidP="00C41142">
            <w:pPr>
              <w:rPr>
                <w:sz w:val="20"/>
                <w:szCs w:val="20"/>
              </w:rPr>
            </w:pPr>
            <w:r w:rsidRPr="00E4625F">
              <w:rPr>
                <w:sz w:val="20"/>
                <w:szCs w:val="20"/>
              </w:rPr>
              <w:t>For escalated risks being managed on the Corporate Risk Register then the Executive lead will be responsible for agreeing with the Service Group Directors the level of risk score and where any discussion is required on this the Risk Management Group will agree the current level of risk.</w:t>
            </w:r>
          </w:p>
        </w:tc>
        <w:tc>
          <w:tcPr>
            <w:tcW w:w="3381" w:type="dxa"/>
            <w:vAlign w:val="center"/>
          </w:tcPr>
          <w:p w14:paraId="23871BFC" w14:textId="6646F824" w:rsidR="001A3EB7" w:rsidRPr="005E75B4" w:rsidRDefault="001A3EB7" w:rsidP="00E24D82">
            <w:pPr>
              <w:spacing w:line="300" w:lineRule="atLeast"/>
              <w:rPr>
                <w:color w:val="1F3864" w:themeColor="accent1" w:themeShade="80"/>
                <w:sz w:val="20"/>
                <w:szCs w:val="20"/>
              </w:rPr>
            </w:pPr>
            <w:r w:rsidRPr="005E75B4">
              <w:rPr>
                <w:b/>
                <w:bCs/>
                <w:color w:val="1F3864" w:themeColor="accent1" w:themeShade="80"/>
                <w:sz w:val="20"/>
                <w:szCs w:val="20"/>
              </w:rPr>
              <w:t>Performance Review</w:t>
            </w:r>
          </w:p>
        </w:tc>
      </w:tr>
      <w:tr w:rsidR="001A3EB7" w14:paraId="7C6E57F5" w14:textId="77777777" w:rsidTr="003E3FE8">
        <w:tc>
          <w:tcPr>
            <w:tcW w:w="421" w:type="dxa"/>
          </w:tcPr>
          <w:p w14:paraId="60FBD582" w14:textId="0CA7C2F5" w:rsidR="001A3EB7" w:rsidRPr="00E4625F" w:rsidRDefault="00A64AFC" w:rsidP="00C41142">
            <w:pPr>
              <w:rPr>
                <w:sz w:val="20"/>
                <w:szCs w:val="20"/>
              </w:rPr>
            </w:pPr>
            <w:r>
              <w:rPr>
                <w:sz w:val="20"/>
                <w:szCs w:val="20"/>
              </w:rPr>
              <w:t>7</w:t>
            </w:r>
          </w:p>
        </w:tc>
        <w:tc>
          <w:tcPr>
            <w:tcW w:w="10146" w:type="dxa"/>
            <w:vAlign w:val="center"/>
          </w:tcPr>
          <w:p w14:paraId="6C62BEC6" w14:textId="34F61E79" w:rsidR="001A3EB7" w:rsidRPr="00E4625F" w:rsidRDefault="001A3EB7" w:rsidP="00C41142">
            <w:pPr>
              <w:rPr>
                <w:sz w:val="20"/>
                <w:szCs w:val="20"/>
              </w:rPr>
            </w:pPr>
            <w:r w:rsidRPr="00E4625F">
              <w:rPr>
                <w:sz w:val="20"/>
                <w:szCs w:val="20"/>
              </w:rPr>
              <w:t>Ensure that risk management matters requiring intervention are brought to the attention of the Executive Directors</w:t>
            </w:r>
          </w:p>
        </w:tc>
        <w:tc>
          <w:tcPr>
            <w:tcW w:w="3381" w:type="dxa"/>
            <w:vAlign w:val="center"/>
          </w:tcPr>
          <w:p w14:paraId="233D9BA8" w14:textId="4BAA739D" w:rsidR="001A3EB7" w:rsidRPr="005E75B4" w:rsidRDefault="001A3EB7" w:rsidP="00C41142">
            <w:pPr>
              <w:spacing w:line="300" w:lineRule="atLeast"/>
              <w:rPr>
                <w:b/>
                <w:bCs/>
                <w:color w:val="1F3864" w:themeColor="accent1" w:themeShade="80"/>
                <w:sz w:val="20"/>
                <w:szCs w:val="20"/>
              </w:rPr>
            </w:pPr>
            <w:r w:rsidRPr="005E75B4">
              <w:rPr>
                <w:b/>
                <w:bCs/>
                <w:color w:val="1F3864" w:themeColor="accent1" w:themeShade="80"/>
                <w:sz w:val="20"/>
                <w:szCs w:val="20"/>
              </w:rPr>
              <w:t>Performance Review</w:t>
            </w:r>
          </w:p>
          <w:p w14:paraId="64A54C3D" w14:textId="48D82D9E" w:rsidR="001A3EB7" w:rsidRPr="005E75B4" w:rsidRDefault="001A3EB7" w:rsidP="00E24D82">
            <w:pPr>
              <w:spacing w:line="300" w:lineRule="atLeast"/>
              <w:rPr>
                <w:color w:val="1F3864" w:themeColor="accent1" w:themeShade="80"/>
                <w:sz w:val="20"/>
                <w:szCs w:val="20"/>
              </w:rPr>
            </w:pPr>
            <w:r w:rsidRPr="005E75B4">
              <w:rPr>
                <w:b/>
                <w:bCs/>
                <w:color w:val="1F3864" w:themeColor="accent1" w:themeShade="80"/>
                <w:sz w:val="20"/>
                <w:szCs w:val="20"/>
              </w:rPr>
              <w:t>OEG</w:t>
            </w:r>
          </w:p>
        </w:tc>
      </w:tr>
      <w:tr w:rsidR="001A3EB7" w14:paraId="1028CE22" w14:textId="77777777" w:rsidTr="003E3FE8">
        <w:tc>
          <w:tcPr>
            <w:tcW w:w="421" w:type="dxa"/>
          </w:tcPr>
          <w:p w14:paraId="2646C1BB" w14:textId="1AEEF351" w:rsidR="001A3EB7" w:rsidRPr="00E4625F" w:rsidRDefault="00A64AFC" w:rsidP="00C41142">
            <w:pPr>
              <w:rPr>
                <w:sz w:val="20"/>
                <w:szCs w:val="20"/>
              </w:rPr>
            </w:pPr>
            <w:r>
              <w:rPr>
                <w:sz w:val="20"/>
                <w:szCs w:val="20"/>
              </w:rPr>
              <w:t>8</w:t>
            </w:r>
          </w:p>
        </w:tc>
        <w:tc>
          <w:tcPr>
            <w:tcW w:w="10146" w:type="dxa"/>
            <w:vAlign w:val="center"/>
          </w:tcPr>
          <w:p w14:paraId="303145EB" w14:textId="11C0A355" w:rsidR="001A3EB7" w:rsidRPr="00E4625F" w:rsidRDefault="001A3EB7" w:rsidP="00C41142">
            <w:pPr>
              <w:rPr>
                <w:sz w:val="20"/>
                <w:szCs w:val="20"/>
              </w:rPr>
            </w:pPr>
            <w:r w:rsidRPr="00E4625F">
              <w:rPr>
                <w:sz w:val="20"/>
                <w:szCs w:val="20"/>
              </w:rPr>
              <w:t>Ensure risks relating to hosted services and shared partnerships are considered and reported as appropriate to the Management Board</w:t>
            </w:r>
            <w:r>
              <w:rPr>
                <w:sz w:val="20"/>
                <w:szCs w:val="20"/>
              </w:rPr>
              <w:t>.</w:t>
            </w:r>
          </w:p>
        </w:tc>
        <w:tc>
          <w:tcPr>
            <w:tcW w:w="3381" w:type="dxa"/>
            <w:vAlign w:val="center"/>
          </w:tcPr>
          <w:p w14:paraId="6D542235" w14:textId="65223582" w:rsidR="001A3EB7" w:rsidRPr="005E75B4" w:rsidRDefault="001A3EB7" w:rsidP="00C41142">
            <w:pPr>
              <w:spacing w:line="300" w:lineRule="atLeast"/>
              <w:rPr>
                <w:b/>
                <w:bCs/>
                <w:color w:val="1F3864" w:themeColor="accent1" w:themeShade="80"/>
                <w:sz w:val="20"/>
                <w:szCs w:val="20"/>
              </w:rPr>
            </w:pPr>
            <w:r w:rsidRPr="005E75B4">
              <w:rPr>
                <w:b/>
                <w:bCs/>
                <w:color w:val="1F3864" w:themeColor="accent1" w:themeShade="80"/>
                <w:sz w:val="20"/>
                <w:szCs w:val="20"/>
              </w:rPr>
              <w:t>Performance Review</w:t>
            </w:r>
          </w:p>
          <w:p w14:paraId="2CDEE0CC" w14:textId="77777777" w:rsidR="001A3EB7" w:rsidRPr="005E75B4" w:rsidRDefault="001A3EB7" w:rsidP="00E24D82">
            <w:pPr>
              <w:spacing w:line="300" w:lineRule="atLeast"/>
              <w:rPr>
                <w:b/>
                <w:bCs/>
                <w:color w:val="1F3864" w:themeColor="accent1" w:themeShade="80"/>
                <w:sz w:val="20"/>
                <w:szCs w:val="20"/>
              </w:rPr>
            </w:pPr>
            <w:r w:rsidRPr="005E75B4">
              <w:rPr>
                <w:b/>
                <w:bCs/>
                <w:color w:val="1F3864" w:themeColor="accent1" w:themeShade="80"/>
                <w:sz w:val="20"/>
                <w:szCs w:val="20"/>
              </w:rPr>
              <w:t>Tertiary Services Oversight Group</w:t>
            </w:r>
          </w:p>
          <w:p w14:paraId="0A14CA92" w14:textId="125C41CB" w:rsidR="001A3EB7" w:rsidRPr="005E75B4" w:rsidRDefault="00E82329" w:rsidP="00E24D82">
            <w:pPr>
              <w:spacing w:line="300" w:lineRule="atLeast"/>
              <w:rPr>
                <w:b/>
                <w:bCs/>
                <w:color w:val="1F3864" w:themeColor="accent1" w:themeShade="80"/>
                <w:sz w:val="20"/>
                <w:szCs w:val="20"/>
              </w:rPr>
            </w:pPr>
            <w:r w:rsidRPr="005E75B4">
              <w:rPr>
                <w:b/>
                <w:bCs/>
                <w:color w:val="1F3864" w:themeColor="accent1" w:themeShade="80"/>
                <w:sz w:val="20"/>
                <w:szCs w:val="20"/>
              </w:rPr>
              <w:t>Other TBC</w:t>
            </w:r>
          </w:p>
        </w:tc>
      </w:tr>
      <w:tr w:rsidR="001A3EB7" w14:paraId="7C01824B" w14:textId="77777777" w:rsidTr="00797215">
        <w:tc>
          <w:tcPr>
            <w:tcW w:w="421" w:type="dxa"/>
          </w:tcPr>
          <w:p w14:paraId="0B60AEE1" w14:textId="5BF93ABF" w:rsidR="001A3EB7" w:rsidRPr="00E4625F" w:rsidRDefault="00A64AFC" w:rsidP="00C41142">
            <w:pPr>
              <w:rPr>
                <w:sz w:val="20"/>
                <w:szCs w:val="20"/>
              </w:rPr>
            </w:pPr>
            <w:r>
              <w:rPr>
                <w:sz w:val="20"/>
                <w:szCs w:val="20"/>
              </w:rPr>
              <w:lastRenderedPageBreak/>
              <w:t>9</w:t>
            </w:r>
          </w:p>
        </w:tc>
        <w:tc>
          <w:tcPr>
            <w:tcW w:w="10146" w:type="dxa"/>
            <w:vAlign w:val="center"/>
          </w:tcPr>
          <w:p w14:paraId="0878958B" w14:textId="053CDFC1" w:rsidR="001A3EB7" w:rsidRPr="00E4625F" w:rsidRDefault="001A3EB7" w:rsidP="00C41142">
            <w:pPr>
              <w:rPr>
                <w:sz w:val="20"/>
                <w:szCs w:val="20"/>
              </w:rPr>
            </w:pPr>
            <w:r w:rsidRPr="00E4625F">
              <w:rPr>
                <w:sz w:val="20"/>
                <w:szCs w:val="20"/>
              </w:rPr>
              <w:t>Where appropriate, refer Service Group risks with significant potential impact on the health board on to the Management Board.</w:t>
            </w:r>
          </w:p>
        </w:tc>
        <w:tc>
          <w:tcPr>
            <w:tcW w:w="3381" w:type="dxa"/>
            <w:vAlign w:val="center"/>
          </w:tcPr>
          <w:p w14:paraId="76FF8A78" w14:textId="77777777" w:rsidR="001A3EB7" w:rsidRPr="005E75B4" w:rsidRDefault="001A3EB7" w:rsidP="007D3931">
            <w:pPr>
              <w:spacing w:line="300" w:lineRule="atLeast"/>
              <w:rPr>
                <w:color w:val="1F3864" w:themeColor="accent1" w:themeShade="80"/>
                <w:sz w:val="20"/>
                <w:szCs w:val="20"/>
              </w:rPr>
            </w:pPr>
            <w:r w:rsidRPr="005E75B4">
              <w:rPr>
                <w:b/>
                <w:bCs/>
                <w:color w:val="1F3864" w:themeColor="accent1" w:themeShade="80"/>
                <w:sz w:val="20"/>
                <w:szCs w:val="20"/>
              </w:rPr>
              <w:t xml:space="preserve">Performance Reviews </w:t>
            </w:r>
            <w:r w:rsidRPr="005E75B4">
              <w:rPr>
                <w:color w:val="1F3864" w:themeColor="accent1" w:themeShade="80"/>
                <w:sz w:val="20"/>
                <w:szCs w:val="20"/>
              </w:rPr>
              <w:t>(Escalation from ORR to CRR)</w:t>
            </w:r>
          </w:p>
          <w:p w14:paraId="3C7699B0" w14:textId="60FB06A2" w:rsidR="004E1E1F" w:rsidRPr="005E75B4" w:rsidRDefault="001A3EB7" w:rsidP="007D3931">
            <w:pPr>
              <w:spacing w:line="300" w:lineRule="atLeast"/>
              <w:rPr>
                <w:b/>
                <w:bCs/>
                <w:color w:val="1F3864" w:themeColor="accent1" w:themeShade="80"/>
                <w:sz w:val="20"/>
                <w:szCs w:val="20"/>
              </w:rPr>
            </w:pPr>
            <w:r w:rsidRPr="005E75B4">
              <w:rPr>
                <w:b/>
                <w:bCs/>
                <w:color w:val="1F3864" w:themeColor="accent1" w:themeShade="80"/>
                <w:sz w:val="20"/>
                <w:szCs w:val="20"/>
              </w:rPr>
              <w:t xml:space="preserve">OEG </w:t>
            </w:r>
          </w:p>
        </w:tc>
      </w:tr>
      <w:tr w:rsidR="001A3EB7" w14:paraId="345F9ED8" w14:textId="77777777" w:rsidTr="00204CAF">
        <w:tc>
          <w:tcPr>
            <w:tcW w:w="421" w:type="dxa"/>
            <w:tcBorders>
              <w:bottom w:val="single" w:sz="4" w:space="0" w:color="auto"/>
            </w:tcBorders>
          </w:tcPr>
          <w:p w14:paraId="510DC57D" w14:textId="21BED227" w:rsidR="001A3EB7" w:rsidRPr="00E4625F" w:rsidRDefault="00A64AFC" w:rsidP="00C41142">
            <w:pPr>
              <w:rPr>
                <w:sz w:val="20"/>
                <w:szCs w:val="20"/>
              </w:rPr>
            </w:pPr>
            <w:r>
              <w:rPr>
                <w:sz w:val="20"/>
                <w:szCs w:val="20"/>
              </w:rPr>
              <w:t>10</w:t>
            </w:r>
          </w:p>
        </w:tc>
        <w:tc>
          <w:tcPr>
            <w:tcW w:w="10146" w:type="dxa"/>
            <w:tcBorders>
              <w:bottom w:val="single" w:sz="4" w:space="0" w:color="auto"/>
            </w:tcBorders>
            <w:vAlign w:val="center"/>
          </w:tcPr>
          <w:p w14:paraId="60F0841C" w14:textId="416EC1CE" w:rsidR="001A3EB7" w:rsidRPr="00E4625F" w:rsidRDefault="001A3EB7" w:rsidP="00C41142">
            <w:pPr>
              <w:rPr>
                <w:sz w:val="20"/>
                <w:szCs w:val="20"/>
              </w:rPr>
            </w:pPr>
            <w:r w:rsidRPr="00E4625F">
              <w:rPr>
                <w:sz w:val="20"/>
                <w:szCs w:val="20"/>
              </w:rPr>
              <w:t>Consider and agree risks to be added / removed from the Strategic Risk Register and or Corporate Risk Register as part of escalation and de-escalation of risks.</w:t>
            </w:r>
          </w:p>
        </w:tc>
        <w:tc>
          <w:tcPr>
            <w:tcW w:w="3381" w:type="dxa"/>
            <w:tcBorders>
              <w:bottom w:val="single" w:sz="4" w:space="0" w:color="auto"/>
            </w:tcBorders>
            <w:vAlign w:val="center"/>
          </w:tcPr>
          <w:p w14:paraId="06091299" w14:textId="77777777" w:rsidR="001A3EB7" w:rsidRPr="005E75B4" w:rsidRDefault="001A3EB7" w:rsidP="00C41142">
            <w:pPr>
              <w:spacing w:line="300" w:lineRule="atLeast"/>
              <w:rPr>
                <w:color w:val="1F3864" w:themeColor="accent1" w:themeShade="80"/>
                <w:sz w:val="20"/>
                <w:szCs w:val="20"/>
              </w:rPr>
            </w:pPr>
            <w:r w:rsidRPr="005E75B4">
              <w:rPr>
                <w:b/>
                <w:bCs/>
                <w:color w:val="1F3864" w:themeColor="accent1" w:themeShade="80"/>
                <w:sz w:val="20"/>
                <w:szCs w:val="20"/>
              </w:rPr>
              <w:t>Performance Review:</w:t>
            </w:r>
            <w:r w:rsidRPr="005E75B4">
              <w:rPr>
                <w:color w:val="1F3864" w:themeColor="accent1" w:themeShade="80"/>
                <w:sz w:val="20"/>
                <w:szCs w:val="20"/>
              </w:rPr>
              <w:t xml:space="preserve"> Escalation from ORR to CRR </w:t>
            </w:r>
          </w:p>
          <w:p w14:paraId="54C345F2" w14:textId="3356F1D2" w:rsidR="001A3EB7" w:rsidRPr="005E75B4" w:rsidRDefault="001A3EB7" w:rsidP="00C41142">
            <w:pPr>
              <w:rPr>
                <w:color w:val="1F3864" w:themeColor="accent1" w:themeShade="80"/>
                <w:sz w:val="20"/>
                <w:szCs w:val="20"/>
              </w:rPr>
            </w:pPr>
            <w:r w:rsidRPr="005E75B4">
              <w:rPr>
                <w:b/>
                <w:bCs/>
                <w:color w:val="1F3864" w:themeColor="accent1" w:themeShade="80"/>
                <w:sz w:val="20"/>
                <w:szCs w:val="20"/>
              </w:rPr>
              <w:t xml:space="preserve">OEG: </w:t>
            </w:r>
            <w:r w:rsidRPr="005E75B4">
              <w:rPr>
                <w:color w:val="1F3864" w:themeColor="accent1" w:themeShade="80"/>
                <w:sz w:val="20"/>
                <w:szCs w:val="20"/>
              </w:rPr>
              <w:t>De-escalation from CRR to ORR</w:t>
            </w:r>
          </w:p>
          <w:p w14:paraId="625F29A8" w14:textId="5B4B94E2" w:rsidR="001A3EB7" w:rsidRPr="005E75B4" w:rsidRDefault="00034930" w:rsidP="00C41142">
            <w:pPr>
              <w:rPr>
                <w:color w:val="1F3864" w:themeColor="accent1" w:themeShade="80"/>
                <w:sz w:val="20"/>
                <w:szCs w:val="20"/>
              </w:rPr>
            </w:pPr>
            <w:r w:rsidRPr="005E75B4">
              <w:rPr>
                <w:b/>
                <w:bCs/>
                <w:color w:val="1F3864" w:themeColor="accent1" w:themeShade="80"/>
                <w:sz w:val="20"/>
                <w:szCs w:val="20"/>
              </w:rPr>
              <w:t xml:space="preserve">Executive Board: </w:t>
            </w:r>
            <w:r w:rsidRPr="005E75B4">
              <w:rPr>
                <w:color w:val="1F3864" w:themeColor="accent1" w:themeShade="80"/>
                <w:sz w:val="20"/>
                <w:szCs w:val="20"/>
              </w:rPr>
              <w:t>Additions and closures to risks within the SRR</w:t>
            </w:r>
          </w:p>
        </w:tc>
      </w:tr>
      <w:tr w:rsidR="001A3EB7" w14:paraId="0529AECC" w14:textId="77777777" w:rsidTr="001A3EB7">
        <w:tc>
          <w:tcPr>
            <w:tcW w:w="421" w:type="dxa"/>
            <w:shd w:val="clear" w:color="auto" w:fill="DEEAF6" w:themeFill="accent5" w:themeFillTint="33"/>
          </w:tcPr>
          <w:p w14:paraId="0A02A43D" w14:textId="3090E72E" w:rsidR="001A3EB7" w:rsidRPr="0030330E" w:rsidRDefault="00A64AFC" w:rsidP="00C41142">
            <w:pPr>
              <w:rPr>
                <w:b/>
                <w:bCs/>
                <w:sz w:val="20"/>
                <w:szCs w:val="20"/>
              </w:rPr>
            </w:pPr>
            <w:r>
              <w:rPr>
                <w:b/>
                <w:bCs/>
                <w:sz w:val="20"/>
                <w:szCs w:val="20"/>
              </w:rPr>
              <w:t>2</w:t>
            </w:r>
          </w:p>
        </w:tc>
        <w:tc>
          <w:tcPr>
            <w:tcW w:w="10146" w:type="dxa"/>
            <w:shd w:val="clear" w:color="auto" w:fill="DEEAF6" w:themeFill="accent5" w:themeFillTint="33"/>
            <w:vAlign w:val="center"/>
          </w:tcPr>
          <w:p w14:paraId="535D9FA8" w14:textId="2B94E42F" w:rsidR="001A3EB7" w:rsidRPr="0030330E" w:rsidRDefault="001A3EB7" w:rsidP="00C41142">
            <w:pPr>
              <w:rPr>
                <w:b/>
                <w:bCs/>
                <w:sz w:val="20"/>
                <w:szCs w:val="20"/>
              </w:rPr>
            </w:pPr>
            <w:r w:rsidRPr="0030330E">
              <w:rPr>
                <w:b/>
                <w:bCs/>
                <w:sz w:val="20"/>
                <w:szCs w:val="20"/>
              </w:rPr>
              <w:t>Duties</w:t>
            </w:r>
          </w:p>
        </w:tc>
        <w:tc>
          <w:tcPr>
            <w:tcW w:w="3381" w:type="dxa"/>
            <w:shd w:val="clear" w:color="auto" w:fill="DEEAF6" w:themeFill="accent5" w:themeFillTint="33"/>
            <w:vAlign w:val="center"/>
          </w:tcPr>
          <w:p w14:paraId="49C2CC0B" w14:textId="77777777" w:rsidR="001A3EB7" w:rsidRPr="00ED77D8" w:rsidRDefault="001A3EB7" w:rsidP="00C41142">
            <w:pPr>
              <w:rPr>
                <w:rFonts w:ascii="Segoe UI Emoji" w:eastAsia="Times New Roman" w:hAnsi="Segoe UI Emoji" w:cs="Segoe UI Emoji"/>
                <w:sz w:val="20"/>
                <w:szCs w:val="20"/>
                <w:lang w:eastAsia="en-GB"/>
              </w:rPr>
            </w:pPr>
          </w:p>
        </w:tc>
      </w:tr>
      <w:tr w:rsidR="001A3EB7" w14:paraId="2A7D2478" w14:textId="77777777" w:rsidTr="00204CAF">
        <w:tc>
          <w:tcPr>
            <w:tcW w:w="421" w:type="dxa"/>
          </w:tcPr>
          <w:p w14:paraId="41CB39E5" w14:textId="4201A55B" w:rsidR="001A3EB7" w:rsidRPr="00E4625F" w:rsidRDefault="00A64AFC" w:rsidP="00C41142">
            <w:pPr>
              <w:rPr>
                <w:b/>
                <w:bCs/>
                <w:sz w:val="20"/>
                <w:szCs w:val="20"/>
              </w:rPr>
            </w:pPr>
            <w:r>
              <w:rPr>
                <w:b/>
                <w:bCs/>
                <w:sz w:val="20"/>
                <w:szCs w:val="20"/>
              </w:rPr>
              <w:t>1</w:t>
            </w:r>
          </w:p>
        </w:tc>
        <w:tc>
          <w:tcPr>
            <w:tcW w:w="10146" w:type="dxa"/>
            <w:vAlign w:val="center"/>
          </w:tcPr>
          <w:p w14:paraId="2B237AD6" w14:textId="7B493034" w:rsidR="001A3EB7" w:rsidRDefault="001A3EB7" w:rsidP="00C41142">
            <w:pPr>
              <w:rPr>
                <w:sz w:val="20"/>
                <w:szCs w:val="20"/>
              </w:rPr>
            </w:pPr>
            <w:r w:rsidRPr="00E4625F">
              <w:rPr>
                <w:b/>
                <w:bCs/>
                <w:sz w:val="20"/>
                <w:szCs w:val="20"/>
              </w:rPr>
              <w:t>Risk Management Policy</w:t>
            </w:r>
            <w:r>
              <w:rPr>
                <w:sz w:val="20"/>
                <w:szCs w:val="20"/>
              </w:rPr>
              <w:t>:</w:t>
            </w:r>
          </w:p>
          <w:p w14:paraId="0B2C3C76" w14:textId="77777777" w:rsidR="001A3EB7" w:rsidRDefault="001A3EB7" w:rsidP="00C41142">
            <w:pPr>
              <w:rPr>
                <w:sz w:val="20"/>
                <w:szCs w:val="20"/>
              </w:rPr>
            </w:pPr>
            <w:r w:rsidRPr="00E4625F">
              <w:rPr>
                <w:sz w:val="20"/>
                <w:szCs w:val="20"/>
              </w:rPr>
              <w:t>Formulate, review, revise and recommend corporate policy/strategy on risk management, based on the risk appetite, risk attitudes and risk exposures identified by the Board, for recommendation to the Management Board, and approval by the Board.</w:t>
            </w:r>
          </w:p>
        </w:tc>
        <w:tc>
          <w:tcPr>
            <w:tcW w:w="3381" w:type="dxa"/>
            <w:vAlign w:val="center"/>
          </w:tcPr>
          <w:p w14:paraId="3B1830BE" w14:textId="160CEFA2" w:rsidR="001A3EB7" w:rsidRPr="005E75B4" w:rsidRDefault="001A3EB7" w:rsidP="00C41142">
            <w:pPr>
              <w:rPr>
                <w:b/>
                <w:bCs/>
                <w:color w:val="1F3864" w:themeColor="accent1" w:themeShade="80"/>
                <w:sz w:val="20"/>
                <w:szCs w:val="20"/>
              </w:rPr>
            </w:pPr>
            <w:r w:rsidRPr="005E75B4">
              <w:rPr>
                <w:b/>
                <w:bCs/>
                <w:color w:val="1F3864" w:themeColor="accent1" w:themeShade="80"/>
                <w:sz w:val="20"/>
                <w:szCs w:val="20"/>
              </w:rPr>
              <w:t>Executive Board</w:t>
            </w:r>
          </w:p>
        </w:tc>
      </w:tr>
      <w:tr w:rsidR="001A3EB7" w14:paraId="48BE39EE" w14:textId="77777777" w:rsidTr="005E75B4">
        <w:tc>
          <w:tcPr>
            <w:tcW w:w="421" w:type="dxa"/>
          </w:tcPr>
          <w:p w14:paraId="64450F97" w14:textId="54315F23" w:rsidR="001A3EB7" w:rsidRPr="0030330E" w:rsidRDefault="00A64AFC" w:rsidP="00C41142">
            <w:pPr>
              <w:rPr>
                <w:b/>
                <w:bCs/>
                <w:sz w:val="20"/>
                <w:szCs w:val="20"/>
              </w:rPr>
            </w:pPr>
            <w:r>
              <w:rPr>
                <w:b/>
                <w:bCs/>
                <w:sz w:val="20"/>
                <w:szCs w:val="20"/>
              </w:rPr>
              <w:t>2</w:t>
            </w:r>
          </w:p>
        </w:tc>
        <w:tc>
          <w:tcPr>
            <w:tcW w:w="10146" w:type="dxa"/>
            <w:vAlign w:val="center"/>
          </w:tcPr>
          <w:p w14:paraId="1DECE9CF" w14:textId="739989B6" w:rsidR="001A3EB7" w:rsidRDefault="001A3EB7" w:rsidP="00C41142">
            <w:pPr>
              <w:rPr>
                <w:b/>
                <w:bCs/>
                <w:sz w:val="20"/>
                <w:szCs w:val="20"/>
              </w:rPr>
            </w:pPr>
            <w:r w:rsidRPr="0030330E">
              <w:rPr>
                <w:b/>
                <w:bCs/>
                <w:sz w:val="20"/>
                <w:szCs w:val="20"/>
              </w:rPr>
              <w:t xml:space="preserve">Risk Management </w:t>
            </w:r>
          </w:p>
          <w:p w14:paraId="24D2785A" w14:textId="77777777" w:rsidR="001A3EB7" w:rsidRDefault="001A3EB7" w:rsidP="00C41142">
            <w:pPr>
              <w:rPr>
                <w:sz w:val="20"/>
                <w:szCs w:val="20"/>
              </w:rPr>
            </w:pPr>
            <w:r w:rsidRPr="0030330E">
              <w:rPr>
                <w:sz w:val="20"/>
                <w:szCs w:val="20"/>
              </w:rPr>
              <w:t xml:space="preserve">Ensure that the material risks facing the Health Board are identified and that appropriate arrangements are in place to manage &amp; mitigate those risks. Regularly review risk registers and ensure the risk profile and associated mitigating actions are congruent with the Health Board risk appetite, or escalated where appropriate. </w:t>
            </w:r>
          </w:p>
        </w:tc>
        <w:tc>
          <w:tcPr>
            <w:tcW w:w="3381" w:type="dxa"/>
            <w:vAlign w:val="center"/>
          </w:tcPr>
          <w:p w14:paraId="2D2713C9" w14:textId="484F08E4" w:rsidR="001A3EB7" w:rsidRPr="005E75B4" w:rsidRDefault="001A3EB7" w:rsidP="00C41142">
            <w:pPr>
              <w:rPr>
                <w:rFonts w:ascii="Segoe UI Emoji" w:eastAsia="Times New Roman" w:hAnsi="Segoe UI Emoji" w:cs="Segoe UI Emoji"/>
                <w:color w:val="1F3864" w:themeColor="accent1" w:themeShade="80"/>
                <w:sz w:val="20"/>
                <w:szCs w:val="20"/>
                <w:lang w:eastAsia="en-GB"/>
              </w:rPr>
            </w:pPr>
            <w:r w:rsidRPr="005E75B4">
              <w:rPr>
                <w:b/>
                <w:bCs/>
                <w:color w:val="1F3864" w:themeColor="accent1" w:themeShade="80"/>
                <w:sz w:val="20"/>
                <w:szCs w:val="20"/>
              </w:rPr>
              <w:t>Performance Reviews</w:t>
            </w:r>
            <w:r w:rsidRPr="005E75B4">
              <w:rPr>
                <w:rFonts w:ascii="Segoe UI Emoji" w:eastAsia="Times New Roman" w:hAnsi="Segoe UI Emoji" w:cs="Segoe UI Emoji"/>
                <w:color w:val="1F3864" w:themeColor="accent1" w:themeShade="80"/>
                <w:sz w:val="20"/>
                <w:szCs w:val="20"/>
                <w:lang w:eastAsia="en-GB"/>
              </w:rPr>
              <w:t xml:space="preserve"> </w:t>
            </w:r>
            <w:r w:rsidR="00E82329" w:rsidRPr="005E75B4">
              <w:rPr>
                <w:rFonts w:ascii="Segoe UI Emoji" w:eastAsia="Times New Roman" w:hAnsi="Segoe UI Emoji" w:cs="Segoe UI Emoji"/>
                <w:color w:val="1F3864" w:themeColor="accent1" w:themeShade="80"/>
                <w:sz w:val="20"/>
                <w:szCs w:val="20"/>
                <w:lang w:eastAsia="en-GB"/>
              </w:rPr>
              <w:t xml:space="preserve">(ORR </w:t>
            </w:r>
            <w:r w:rsidR="000D58B4" w:rsidRPr="005E75B4">
              <w:rPr>
                <w:rFonts w:ascii="Segoe UI Emoji" w:eastAsia="Times New Roman" w:hAnsi="Segoe UI Emoji" w:cs="Segoe UI Emoji"/>
                <w:color w:val="1F3864" w:themeColor="accent1" w:themeShade="80"/>
                <w:sz w:val="20"/>
                <w:szCs w:val="20"/>
                <w:lang w:eastAsia="en-GB"/>
              </w:rPr>
              <w:t xml:space="preserve">risks </w:t>
            </w:r>
            <w:r w:rsidR="00E82329" w:rsidRPr="005E75B4">
              <w:rPr>
                <w:rFonts w:ascii="Segoe UI Emoji" w:eastAsia="Times New Roman" w:hAnsi="Segoe UI Emoji" w:cs="Segoe UI Emoji"/>
                <w:color w:val="1F3864" w:themeColor="accent1" w:themeShade="80"/>
                <w:sz w:val="20"/>
                <w:szCs w:val="20"/>
                <w:lang w:eastAsia="en-GB"/>
              </w:rPr>
              <w:t>as escalated by Care Groups)</w:t>
            </w:r>
          </w:p>
          <w:p w14:paraId="5DF5BA95" w14:textId="093F4F9B" w:rsidR="001A3EB7" w:rsidRPr="005E75B4" w:rsidRDefault="001A3EB7" w:rsidP="00C41142">
            <w:pPr>
              <w:rPr>
                <w:rFonts w:ascii="Segoe UI Emoji" w:eastAsia="Times New Roman" w:hAnsi="Segoe UI Emoji" w:cs="Segoe UI Emoji"/>
                <w:color w:val="1F3864" w:themeColor="accent1" w:themeShade="80"/>
                <w:sz w:val="20"/>
                <w:szCs w:val="20"/>
                <w:lang w:eastAsia="en-GB"/>
              </w:rPr>
            </w:pPr>
            <w:r w:rsidRPr="005E75B4">
              <w:rPr>
                <w:b/>
                <w:bCs/>
                <w:color w:val="1F3864" w:themeColor="accent1" w:themeShade="80"/>
                <w:sz w:val="20"/>
                <w:szCs w:val="20"/>
              </w:rPr>
              <w:t>OEG</w:t>
            </w:r>
            <w:r w:rsidRPr="005E75B4">
              <w:rPr>
                <w:rFonts w:ascii="Segoe UI Emoji" w:eastAsia="Times New Roman" w:hAnsi="Segoe UI Emoji" w:cs="Segoe UI Emoji"/>
                <w:color w:val="1F3864" w:themeColor="accent1" w:themeShade="80"/>
                <w:sz w:val="20"/>
                <w:szCs w:val="20"/>
                <w:lang w:eastAsia="en-GB"/>
              </w:rPr>
              <w:t xml:space="preserve"> (CRR</w:t>
            </w:r>
            <w:r w:rsidR="009513EC" w:rsidRPr="005E75B4">
              <w:rPr>
                <w:rFonts w:ascii="Segoe UI Emoji" w:eastAsia="Times New Roman" w:hAnsi="Segoe UI Emoji" w:cs="Segoe UI Emoji"/>
                <w:color w:val="1F3864" w:themeColor="accent1" w:themeShade="80"/>
                <w:sz w:val="20"/>
                <w:szCs w:val="20"/>
                <w:lang w:eastAsia="en-GB"/>
              </w:rPr>
              <w:t xml:space="preserve"> &amp; ORR</w:t>
            </w:r>
            <w:r w:rsidRPr="005E75B4">
              <w:rPr>
                <w:rFonts w:ascii="Segoe UI Emoji" w:eastAsia="Times New Roman" w:hAnsi="Segoe UI Emoji" w:cs="Segoe UI Emoji"/>
                <w:color w:val="1F3864" w:themeColor="accent1" w:themeShade="80"/>
                <w:sz w:val="20"/>
                <w:szCs w:val="20"/>
                <w:lang w:eastAsia="en-GB"/>
              </w:rPr>
              <w:t>)</w:t>
            </w:r>
          </w:p>
          <w:p w14:paraId="4F8EE34C" w14:textId="3CCE0877" w:rsidR="001A3EB7" w:rsidRPr="005E75B4" w:rsidRDefault="001A3EB7" w:rsidP="00C41142">
            <w:pPr>
              <w:rPr>
                <w:rFonts w:ascii="Segoe UI Emoji" w:eastAsia="Times New Roman" w:hAnsi="Segoe UI Emoji" w:cs="Segoe UI Emoji"/>
                <w:color w:val="1F3864" w:themeColor="accent1" w:themeShade="80"/>
                <w:sz w:val="20"/>
                <w:szCs w:val="20"/>
                <w:lang w:eastAsia="en-GB"/>
              </w:rPr>
            </w:pPr>
            <w:r w:rsidRPr="005E75B4">
              <w:rPr>
                <w:b/>
                <w:bCs/>
                <w:color w:val="1F3864" w:themeColor="accent1" w:themeShade="80"/>
                <w:sz w:val="20"/>
                <w:szCs w:val="20"/>
              </w:rPr>
              <w:t>Executive Board</w:t>
            </w:r>
            <w:r w:rsidRPr="005E75B4">
              <w:rPr>
                <w:rFonts w:ascii="Segoe UI Emoji" w:eastAsia="Times New Roman" w:hAnsi="Segoe UI Emoji" w:cs="Segoe UI Emoji"/>
                <w:color w:val="1F3864" w:themeColor="accent1" w:themeShade="80"/>
                <w:sz w:val="20"/>
                <w:szCs w:val="20"/>
                <w:lang w:eastAsia="en-GB"/>
              </w:rPr>
              <w:t xml:space="preserve"> (SRR</w:t>
            </w:r>
            <w:r w:rsidR="009513EC" w:rsidRPr="005E75B4">
              <w:rPr>
                <w:rFonts w:ascii="Segoe UI Emoji" w:eastAsia="Times New Roman" w:hAnsi="Segoe UI Emoji" w:cs="Segoe UI Emoji"/>
                <w:color w:val="1F3864" w:themeColor="accent1" w:themeShade="80"/>
                <w:sz w:val="20"/>
                <w:szCs w:val="20"/>
                <w:lang w:eastAsia="en-GB"/>
              </w:rPr>
              <w:t xml:space="preserve"> &amp; CRR</w:t>
            </w:r>
            <w:r w:rsidRPr="005E75B4">
              <w:rPr>
                <w:rFonts w:ascii="Segoe UI Emoji" w:eastAsia="Times New Roman" w:hAnsi="Segoe UI Emoji" w:cs="Segoe UI Emoji"/>
                <w:color w:val="1F3864" w:themeColor="accent1" w:themeShade="80"/>
                <w:sz w:val="20"/>
                <w:szCs w:val="20"/>
                <w:lang w:eastAsia="en-GB"/>
              </w:rPr>
              <w:t>)</w:t>
            </w:r>
          </w:p>
        </w:tc>
      </w:tr>
      <w:tr w:rsidR="001A3EB7" w14:paraId="466B5E8E" w14:textId="77777777" w:rsidTr="005E75B4">
        <w:tc>
          <w:tcPr>
            <w:tcW w:w="421" w:type="dxa"/>
          </w:tcPr>
          <w:p w14:paraId="01507EAE" w14:textId="051B9BB5" w:rsidR="001A3EB7" w:rsidRPr="0030330E" w:rsidRDefault="00A64AFC" w:rsidP="00E24D82">
            <w:pPr>
              <w:rPr>
                <w:sz w:val="20"/>
                <w:szCs w:val="20"/>
              </w:rPr>
            </w:pPr>
            <w:r>
              <w:rPr>
                <w:sz w:val="20"/>
                <w:szCs w:val="20"/>
              </w:rPr>
              <w:t>3</w:t>
            </w:r>
          </w:p>
        </w:tc>
        <w:tc>
          <w:tcPr>
            <w:tcW w:w="10146" w:type="dxa"/>
            <w:vAlign w:val="center"/>
          </w:tcPr>
          <w:p w14:paraId="448F0755" w14:textId="24F25FC3" w:rsidR="001A3EB7" w:rsidRPr="0030330E" w:rsidRDefault="001A3EB7" w:rsidP="00E24D82">
            <w:pPr>
              <w:rPr>
                <w:b/>
                <w:bCs/>
                <w:sz w:val="20"/>
                <w:szCs w:val="20"/>
              </w:rPr>
            </w:pPr>
            <w:r w:rsidRPr="0030330E">
              <w:rPr>
                <w:sz w:val="20"/>
                <w:szCs w:val="20"/>
              </w:rPr>
              <w:t xml:space="preserve">Ensure that Health Board Risk Management functions have an effective mandate to roll-out the risk management structure &amp; procedures to Service Groups to ensure compliance with Health Board policies, procedures and standards. </w:t>
            </w:r>
          </w:p>
        </w:tc>
        <w:tc>
          <w:tcPr>
            <w:tcW w:w="3381" w:type="dxa"/>
            <w:vAlign w:val="center"/>
          </w:tcPr>
          <w:p w14:paraId="3E192B76" w14:textId="77777777" w:rsidR="001A3EB7" w:rsidRPr="005E75B4" w:rsidRDefault="001A3EB7" w:rsidP="00C41142">
            <w:pPr>
              <w:rPr>
                <w:rFonts w:eastAsia="Times New Roman" w:cstheme="minorHAnsi"/>
                <w:color w:val="1F3864" w:themeColor="accent1" w:themeShade="80"/>
                <w:sz w:val="20"/>
                <w:szCs w:val="20"/>
                <w:lang w:eastAsia="en-GB"/>
              </w:rPr>
            </w:pPr>
            <w:r w:rsidRPr="005E75B4">
              <w:rPr>
                <w:rFonts w:cstheme="minorHAnsi"/>
                <w:b/>
                <w:bCs/>
                <w:color w:val="1F3864" w:themeColor="accent1" w:themeShade="80"/>
                <w:sz w:val="20"/>
                <w:szCs w:val="20"/>
              </w:rPr>
              <w:t>Executive Board</w:t>
            </w:r>
            <w:r w:rsidRPr="005E75B4">
              <w:rPr>
                <w:rFonts w:eastAsia="Times New Roman" w:cstheme="minorHAnsi"/>
                <w:color w:val="1F3864" w:themeColor="accent1" w:themeShade="80"/>
                <w:sz w:val="20"/>
                <w:szCs w:val="20"/>
                <w:lang w:eastAsia="en-GB"/>
              </w:rPr>
              <w:t xml:space="preserve"> (endorses Policy)</w:t>
            </w:r>
          </w:p>
          <w:p w14:paraId="66A510B4" w14:textId="48FFAC54" w:rsidR="001A3EB7" w:rsidRPr="005E75B4" w:rsidRDefault="001A3EB7" w:rsidP="00C41142">
            <w:pPr>
              <w:rPr>
                <w:rFonts w:ascii="Segoe UI Emoji" w:eastAsia="Times New Roman" w:hAnsi="Segoe UI Emoji" w:cs="Segoe UI Emoji"/>
                <w:color w:val="1F3864" w:themeColor="accent1" w:themeShade="80"/>
                <w:sz w:val="20"/>
                <w:szCs w:val="20"/>
                <w:lang w:eastAsia="en-GB"/>
              </w:rPr>
            </w:pPr>
            <w:r w:rsidRPr="005E75B4">
              <w:rPr>
                <w:rFonts w:cstheme="minorHAnsi"/>
                <w:b/>
                <w:bCs/>
                <w:color w:val="1F3864" w:themeColor="accent1" w:themeShade="80"/>
                <w:sz w:val="20"/>
                <w:szCs w:val="20"/>
              </w:rPr>
              <w:t>OEG</w:t>
            </w:r>
            <w:r w:rsidRPr="005E75B4">
              <w:rPr>
                <w:rFonts w:eastAsia="Times New Roman" w:cstheme="minorHAnsi"/>
                <w:color w:val="1F3864" w:themeColor="accent1" w:themeShade="80"/>
                <w:sz w:val="20"/>
                <w:szCs w:val="20"/>
                <w:lang w:eastAsia="en-GB"/>
              </w:rPr>
              <w:t xml:space="preserve"> (Monitors policy compliance)</w:t>
            </w:r>
          </w:p>
        </w:tc>
      </w:tr>
      <w:tr w:rsidR="001A3EB7" w14:paraId="1070EADD" w14:textId="77777777" w:rsidTr="005E75B4">
        <w:tc>
          <w:tcPr>
            <w:tcW w:w="421" w:type="dxa"/>
          </w:tcPr>
          <w:p w14:paraId="0AEE799F" w14:textId="0F312801" w:rsidR="001A3EB7" w:rsidRPr="0030330E" w:rsidRDefault="00A64AFC" w:rsidP="00C41142">
            <w:pPr>
              <w:rPr>
                <w:sz w:val="20"/>
                <w:szCs w:val="20"/>
              </w:rPr>
            </w:pPr>
            <w:r>
              <w:rPr>
                <w:sz w:val="20"/>
                <w:szCs w:val="20"/>
              </w:rPr>
              <w:t>4</w:t>
            </w:r>
          </w:p>
        </w:tc>
        <w:tc>
          <w:tcPr>
            <w:tcW w:w="10146" w:type="dxa"/>
            <w:vAlign w:val="center"/>
          </w:tcPr>
          <w:p w14:paraId="20173BE3" w14:textId="6395F540" w:rsidR="001A3EB7" w:rsidRPr="0030330E" w:rsidRDefault="001A3EB7" w:rsidP="00C41142">
            <w:pPr>
              <w:rPr>
                <w:sz w:val="20"/>
                <w:szCs w:val="20"/>
              </w:rPr>
            </w:pPr>
            <w:r w:rsidRPr="0030330E">
              <w:rPr>
                <w:sz w:val="20"/>
                <w:szCs w:val="20"/>
              </w:rPr>
              <w:t>Ensure that satisfactory risk management and internal control requirements are in place for the Chief Executive to sign the Annual Governance Statement</w:t>
            </w:r>
          </w:p>
        </w:tc>
        <w:tc>
          <w:tcPr>
            <w:tcW w:w="3381" w:type="dxa"/>
            <w:vAlign w:val="center"/>
          </w:tcPr>
          <w:p w14:paraId="36614630" w14:textId="77777777" w:rsidR="001A3EB7" w:rsidRPr="005E75B4" w:rsidRDefault="001A3EB7" w:rsidP="00C41142">
            <w:pPr>
              <w:rPr>
                <w:rFonts w:ascii="Segoe UI Emoji" w:eastAsia="Times New Roman" w:hAnsi="Segoe UI Emoji" w:cs="Segoe UI Emoji"/>
                <w:color w:val="1F3864" w:themeColor="accent1" w:themeShade="80"/>
                <w:sz w:val="20"/>
                <w:szCs w:val="20"/>
                <w:lang w:eastAsia="en-GB"/>
              </w:rPr>
            </w:pPr>
            <w:r w:rsidRPr="005E75B4">
              <w:rPr>
                <w:rFonts w:cstheme="minorHAnsi"/>
                <w:b/>
                <w:bCs/>
                <w:color w:val="1F3864" w:themeColor="accent1" w:themeShade="80"/>
                <w:sz w:val="20"/>
                <w:szCs w:val="20"/>
              </w:rPr>
              <w:t>Executive Board</w:t>
            </w:r>
            <w:r w:rsidRPr="005E75B4">
              <w:rPr>
                <w:rFonts w:ascii="Segoe UI Emoji" w:eastAsia="Times New Roman" w:hAnsi="Segoe UI Emoji" w:cs="Segoe UI Emoji"/>
                <w:color w:val="1F3864" w:themeColor="accent1" w:themeShade="80"/>
                <w:sz w:val="20"/>
                <w:szCs w:val="20"/>
                <w:lang w:eastAsia="en-GB"/>
              </w:rPr>
              <w:t xml:space="preserve"> </w:t>
            </w:r>
            <w:r w:rsidRPr="005E75B4">
              <w:rPr>
                <w:color w:val="1F3864" w:themeColor="accent1" w:themeShade="80"/>
                <w:sz w:val="20"/>
                <w:szCs w:val="20"/>
              </w:rPr>
              <w:t>supported by</w:t>
            </w:r>
          </w:p>
          <w:p w14:paraId="4CCE674B" w14:textId="7FC1D732" w:rsidR="001A3EB7" w:rsidRPr="005E75B4" w:rsidRDefault="001A3EB7" w:rsidP="00C41142">
            <w:pPr>
              <w:rPr>
                <w:rFonts w:cstheme="minorHAnsi"/>
                <w:b/>
                <w:bCs/>
                <w:color w:val="1F3864" w:themeColor="accent1" w:themeShade="80"/>
                <w:sz w:val="20"/>
                <w:szCs w:val="20"/>
              </w:rPr>
            </w:pPr>
            <w:r w:rsidRPr="005E75B4">
              <w:rPr>
                <w:rFonts w:cstheme="minorHAnsi"/>
                <w:b/>
                <w:bCs/>
                <w:color w:val="1F3864" w:themeColor="accent1" w:themeShade="80"/>
                <w:sz w:val="20"/>
                <w:szCs w:val="20"/>
              </w:rPr>
              <w:t>OEG</w:t>
            </w:r>
          </w:p>
        </w:tc>
      </w:tr>
      <w:tr w:rsidR="001A3EB7" w14:paraId="04345B2F" w14:textId="77777777" w:rsidTr="001A3EB7">
        <w:tc>
          <w:tcPr>
            <w:tcW w:w="421" w:type="dxa"/>
          </w:tcPr>
          <w:p w14:paraId="4BC7F8D4" w14:textId="6BD85925" w:rsidR="001A3EB7" w:rsidRPr="0030330E" w:rsidRDefault="00A64AFC" w:rsidP="00C41142">
            <w:pPr>
              <w:rPr>
                <w:sz w:val="20"/>
                <w:szCs w:val="20"/>
              </w:rPr>
            </w:pPr>
            <w:r>
              <w:rPr>
                <w:sz w:val="20"/>
                <w:szCs w:val="20"/>
              </w:rPr>
              <w:t>5</w:t>
            </w:r>
          </w:p>
        </w:tc>
        <w:tc>
          <w:tcPr>
            <w:tcW w:w="10146" w:type="dxa"/>
            <w:vAlign w:val="center"/>
          </w:tcPr>
          <w:p w14:paraId="56EEE152" w14:textId="473EB58F" w:rsidR="001A3EB7" w:rsidRPr="0030330E" w:rsidRDefault="001A3EB7" w:rsidP="00C41142">
            <w:pPr>
              <w:rPr>
                <w:sz w:val="20"/>
                <w:szCs w:val="20"/>
              </w:rPr>
            </w:pPr>
            <w:r w:rsidRPr="0030330E">
              <w:rPr>
                <w:sz w:val="20"/>
                <w:szCs w:val="20"/>
              </w:rPr>
              <w:t xml:space="preserve">Review of key Risk documents: </w:t>
            </w:r>
          </w:p>
          <w:p w14:paraId="2546FA1B" w14:textId="77777777" w:rsidR="001A3EB7" w:rsidRPr="0030330E" w:rsidRDefault="001A3EB7" w:rsidP="00C41142">
            <w:pPr>
              <w:rPr>
                <w:sz w:val="20"/>
                <w:szCs w:val="20"/>
              </w:rPr>
            </w:pPr>
            <w:r w:rsidRPr="0030330E">
              <w:rPr>
                <w:sz w:val="20"/>
                <w:szCs w:val="20"/>
              </w:rPr>
              <w:t xml:space="preserve">The Group will support the ongoing review of the: </w:t>
            </w:r>
          </w:p>
          <w:p w14:paraId="2EF5A631" w14:textId="77777777" w:rsidR="001A3EB7" w:rsidRPr="0030330E" w:rsidRDefault="001A3EB7" w:rsidP="00C41142">
            <w:pPr>
              <w:rPr>
                <w:sz w:val="20"/>
                <w:szCs w:val="20"/>
              </w:rPr>
            </w:pPr>
            <w:r w:rsidRPr="0030330E">
              <w:rPr>
                <w:sz w:val="20"/>
                <w:szCs w:val="20"/>
              </w:rPr>
              <w:t xml:space="preserve">• Strategic Risk Register; </w:t>
            </w:r>
          </w:p>
          <w:p w14:paraId="20F56B1D" w14:textId="77777777" w:rsidR="001A3EB7" w:rsidRPr="0030330E" w:rsidRDefault="001A3EB7" w:rsidP="00C41142">
            <w:pPr>
              <w:rPr>
                <w:sz w:val="20"/>
                <w:szCs w:val="20"/>
              </w:rPr>
            </w:pPr>
            <w:r w:rsidRPr="0030330E">
              <w:rPr>
                <w:sz w:val="20"/>
                <w:szCs w:val="20"/>
              </w:rPr>
              <w:t xml:space="preserve">• Corporate Risk Register; and </w:t>
            </w:r>
          </w:p>
          <w:p w14:paraId="021AEBB0" w14:textId="77777777" w:rsidR="001A3EB7" w:rsidRPr="0030330E" w:rsidRDefault="001A3EB7" w:rsidP="00C41142">
            <w:pPr>
              <w:rPr>
                <w:b/>
                <w:bCs/>
                <w:sz w:val="20"/>
                <w:szCs w:val="20"/>
              </w:rPr>
            </w:pPr>
            <w:r w:rsidRPr="0030330E">
              <w:rPr>
                <w:sz w:val="20"/>
                <w:szCs w:val="20"/>
              </w:rPr>
              <w:t>• Operational Risk Register.</w:t>
            </w:r>
          </w:p>
        </w:tc>
        <w:tc>
          <w:tcPr>
            <w:tcW w:w="3381" w:type="dxa"/>
            <w:vAlign w:val="center"/>
          </w:tcPr>
          <w:p w14:paraId="5DD08299" w14:textId="32BB815A" w:rsidR="001A3EB7" w:rsidRPr="005E75B4" w:rsidRDefault="001A3EB7" w:rsidP="00C41142">
            <w:pPr>
              <w:rPr>
                <w:rFonts w:eastAsia="Times New Roman" w:cstheme="minorHAnsi"/>
                <w:color w:val="1F3864" w:themeColor="accent1" w:themeShade="80"/>
                <w:sz w:val="20"/>
                <w:szCs w:val="20"/>
                <w:lang w:eastAsia="en-GB"/>
              </w:rPr>
            </w:pPr>
            <w:r w:rsidRPr="005E75B4">
              <w:rPr>
                <w:rFonts w:cstheme="minorHAnsi"/>
                <w:b/>
                <w:bCs/>
                <w:color w:val="1F3864" w:themeColor="accent1" w:themeShade="80"/>
                <w:sz w:val="20"/>
                <w:szCs w:val="20"/>
              </w:rPr>
              <w:t>Executive Board</w:t>
            </w:r>
            <w:r w:rsidRPr="005E75B4">
              <w:rPr>
                <w:rFonts w:eastAsia="Times New Roman" w:cstheme="minorHAnsi"/>
                <w:color w:val="1F3864" w:themeColor="accent1" w:themeShade="80"/>
                <w:sz w:val="20"/>
                <w:szCs w:val="20"/>
                <w:lang w:eastAsia="en-GB"/>
              </w:rPr>
              <w:t xml:space="preserve"> (SRR, </w:t>
            </w:r>
            <w:r w:rsidR="00934968" w:rsidRPr="005E75B4">
              <w:rPr>
                <w:rFonts w:eastAsia="Times New Roman" w:cstheme="minorHAnsi"/>
                <w:color w:val="1F3864" w:themeColor="accent1" w:themeShade="80"/>
                <w:sz w:val="20"/>
                <w:szCs w:val="20"/>
                <w:lang w:eastAsia="en-GB"/>
              </w:rPr>
              <w:t>CRR</w:t>
            </w:r>
            <w:r w:rsidRPr="005E75B4">
              <w:rPr>
                <w:rFonts w:eastAsia="Times New Roman" w:cstheme="minorHAnsi"/>
                <w:color w:val="1F3864" w:themeColor="accent1" w:themeShade="80"/>
                <w:sz w:val="20"/>
                <w:szCs w:val="20"/>
                <w:lang w:eastAsia="en-GB"/>
              </w:rPr>
              <w:t>)</w:t>
            </w:r>
          </w:p>
          <w:p w14:paraId="232F0240" w14:textId="77777777" w:rsidR="001A3EB7" w:rsidRPr="005E75B4" w:rsidRDefault="001A3EB7" w:rsidP="00C41142">
            <w:pPr>
              <w:rPr>
                <w:rFonts w:eastAsia="Times New Roman" w:cstheme="minorHAnsi"/>
                <w:color w:val="1F3864" w:themeColor="accent1" w:themeShade="80"/>
                <w:sz w:val="20"/>
                <w:szCs w:val="20"/>
                <w:lang w:eastAsia="en-GB"/>
              </w:rPr>
            </w:pPr>
          </w:p>
          <w:p w14:paraId="5D76137C" w14:textId="5B4AC21C" w:rsidR="001A3EB7" w:rsidRPr="005E75B4" w:rsidRDefault="001A3EB7" w:rsidP="00C41142">
            <w:pPr>
              <w:rPr>
                <w:rFonts w:eastAsia="Times New Roman" w:cstheme="minorHAnsi"/>
                <w:color w:val="1F3864" w:themeColor="accent1" w:themeShade="80"/>
                <w:sz w:val="20"/>
                <w:szCs w:val="20"/>
                <w:lang w:eastAsia="en-GB"/>
              </w:rPr>
            </w:pPr>
            <w:r w:rsidRPr="005E75B4">
              <w:rPr>
                <w:rFonts w:cstheme="minorHAnsi"/>
                <w:b/>
                <w:bCs/>
                <w:color w:val="1F3864" w:themeColor="accent1" w:themeShade="80"/>
                <w:sz w:val="20"/>
                <w:szCs w:val="20"/>
              </w:rPr>
              <w:t>OEG</w:t>
            </w:r>
            <w:r w:rsidRPr="005E75B4">
              <w:rPr>
                <w:rFonts w:eastAsia="Times New Roman" w:cstheme="minorHAnsi"/>
                <w:color w:val="1F3864" w:themeColor="accent1" w:themeShade="80"/>
                <w:sz w:val="20"/>
                <w:szCs w:val="20"/>
                <w:lang w:eastAsia="en-GB"/>
              </w:rPr>
              <w:t xml:space="preserve"> (</w:t>
            </w:r>
            <w:r w:rsidR="00C86BF8" w:rsidRPr="005E75B4">
              <w:rPr>
                <w:rFonts w:eastAsia="Times New Roman" w:cstheme="minorHAnsi"/>
                <w:color w:val="1F3864" w:themeColor="accent1" w:themeShade="80"/>
                <w:sz w:val="20"/>
                <w:szCs w:val="20"/>
                <w:lang w:eastAsia="en-GB"/>
              </w:rPr>
              <w:t>CRR,</w:t>
            </w:r>
            <w:r w:rsidRPr="005E75B4">
              <w:rPr>
                <w:rFonts w:eastAsia="Times New Roman" w:cstheme="minorHAnsi"/>
                <w:color w:val="1F3864" w:themeColor="accent1" w:themeShade="80"/>
                <w:sz w:val="20"/>
                <w:szCs w:val="20"/>
                <w:lang w:eastAsia="en-GB"/>
              </w:rPr>
              <w:t xml:space="preserve">ORR) </w:t>
            </w:r>
          </w:p>
        </w:tc>
      </w:tr>
    </w:tbl>
    <w:p w14:paraId="2C3F9CF5" w14:textId="1F752CF6" w:rsidR="003934D3" w:rsidRDefault="003934D3" w:rsidP="00D6768D"/>
    <w:sectPr w:rsidR="003934D3" w:rsidSect="003675EC">
      <w:headerReference w:type="even" r:id="rId8"/>
      <w:headerReference w:type="default" r:id="rId9"/>
      <w:footerReference w:type="even" r:id="rId10"/>
      <w:footerReference w:type="default" r:id="rId11"/>
      <w:headerReference w:type="first" r:id="rId12"/>
      <w:footerReference w:type="first" r:id="rId1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6617A1" w14:textId="77777777" w:rsidR="00426DD5" w:rsidRDefault="00426DD5" w:rsidP="0047663A">
      <w:pPr>
        <w:spacing w:after="0" w:line="240" w:lineRule="auto"/>
      </w:pPr>
      <w:r>
        <w:separator/>
      </w:r>
    </w:p>
  </w:endnote>
  <w:endnote w:type="continuationSeparator" w:id="0">
    <w:p w14:paraId="69F59E23" w14:textId="77777777" w:rsidR="00426DD5" w:rsidRDefault="00426DD5" w:rsidP="004766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B12B6" w14:textId="77777777" w:rsidR="00AF72E7" w:rsidRDefault="00AF72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2812548"/>
      <w:docPartObj>
        <w:docPartGallery w:val="Page Numbers (Bottom of Page)"/>
        <w:docPartUnique/>
      </w:docPartObj>
    </w:sdtPr>
    <w:sdtContent>
      <w:p w14:paraId="06CE28A0" w14:textId="39B795E3" w:rsidR="00AF72E7" w:rsidRDefault="00AF72E7">
        <w:pPr>
          <w:pStyle w:val="Footer"/>
          <w:jc w:val="center"/>
        </w:pPr>
        <w:r>
          <w:fldChar w:fldCharType="begin"/>
        </w:r>
        <w:r>
          <w:instrText>PAGE   \* MERGEFORMAT</w:instrText>
        </w:r>
        <w:r>
          <w:fldChar w:fldCharType="separate"/>
        </w:r>
        <w:r>
          <w:t>2</w:t>
        </w:r>
        <w:r>
          <w:fldChar w:fldCharType="end"/>
        </w:r>
      </w:p>
    </w:sdtContent>
  </w:sdt>
  <w:p w14:paraId="43A1DF3F" w14:textId="77777777" w:rsidR="00AF72E7" w:rsidRDefault="00AF72E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C0C3C" w14:textId="77777777" w:rsidR="00AF72E7" w:rsidRDefault="00AF72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894EC7" w14:textId="77777777" w:rsidR="00426DD5" w:rsidRDefault="00426DD5" w:rsidP="0047663A">
      <w:pPr>
        <w:spacing w:after="0" w:line="240" w:lineRule="auto"/>
      </w:pPr>
      <w:r>
        <w:separator/>
      </w:r>
    </w:p>
  </w:footnote>
  <w:footnote w:type="continuationSeparator" w:id="0">
    <w:p w14:paraId="2D95A2FE" w14:textId="77777777" w:rsidR="00426DD5" w:rsidRDefault="00426DD5" w:rsidP="0047663A">
      <w:pPr>
        <w:spacing w:after="0" w:line="240" w:lineRule="auto"/>
      </w:pPr>
      <w:r>
        <w:continuationSeparator/>
      </w:r>
    </w:p>
  </w:footnote>
  <w:footnote w:id="1">
    <w:p w14:paraId="1B251809" w14:textId="3CE5378B" w:rsidR="0047663A" w:rsidRDefault="0047663A" w:rsidP="00C448F4">
      <w:pPr>
        <w:pStyle w:val="FootnoteText"/>
      </w:pPr>
      <w:r>
        <w:rPr>
          <w:rStyle w:val="FootnoteReference"/>
        </w:rPr>
        <w:footnoteRef/>
      </w:r>
      <w:r>
        <w:t xml:space="preserve"> </w:t>
      </w:r>
      <w:r w:rsidR="00DB72AA">
        <w:t>Where the Bo</w:t>
      </w:r>
      <w:r w:rsidR="00BC6C90">
        <w:t>a</w:t>
      </w:r>
      <w:r w:rsidR="00DB72AA">
        <w:t xml:space="preserve">rd Director nominated to own the risk on escalation to the CRR </w:t>
      </w:r>
      <w:r w:rsidR="00BC6C90">
        <w:t>i</w:t>
      </w:r>
      <w:r w:rsidR="00DB72AA">
        <w:t xml:space="preserve">s not present at the meeting, then </w:t>
      </w:r>
      <w:r w:rsidR="00BC6C90">
        <w:t>their agreement will be sought also.</w:t>
      </w:r>
      <w:r w:rsidR="00C448F4">
        <w:t xml:space="preserve"> This app</w:t>
      </w:r>
      <w:r w:rsidR="00E82329">
        <w:t>l</w:t>
      </w:r>
      <w:r w:rsidR="00C448F4">
        <w:t>ies throughout this document</w:t>
      </w:r>
    </w:p>
  </w:footnote>
  <w:footnote w:id="2">
    <w:p w14:paraId="7837603D" w14:textId="52D8BD5C" w:rsidR="0047663A" w:rsidRDefault="0047663A">
      <w:pPr>
        <w:pStyle w:val="FootnoteText"/>
      </w:pPr>
      <w:r>
        <w:rPr>
          <w:rStyle w:val="FootnoteReference"/>
        </w:rPr>
        <w:footnoteRef/>
      </w:r>
      <w:r>
        <w:t xml:space="preserve"> </w:t>
      </w:r>
      <w:r w:rsidR="00273D4B">
        <w:t xml:space="preserve">Noting OEG will not comprise all Board Directors, where risks are agreed for escalation / de-escalation, this will also be agreed </w:t>
      </w:r>
      <w:r w:rsidR="009B7308">
        <w:t xml:space="preserve">subsequently </w:t>
      </w:r>
      <w:r w:rsidR="00273D4B">
        <w:t xml:space="preserve">by the Board </w:t>
      </w:r>
      <w:r w:rsidR="00BD0F78">
        <w:t xml:space="preserve">Director </w:t>
      </w:r>
      <w:r w:rsidR="003178FA">
        <w:t xml:space="preserve">who owns the risk </w:t>
      </w:r>
      <w:r w:rsidR="00BD0F78">
        <w:t xml:space="preserve">(or </w:t>
      </w:r>
      <w:r w:rsidR="003178FA">
        <w:t xml:space="preserve">is </w:t>
      </w:r>
      <w:r w:rsidR="00BD0F78">
        <w:t>nominated to own the risk on addition to CRR)</w:t>
      </w:r>
      <w:r w:rsidR="009B7308">
        <w:t xml:space="preserve">. </w:t>
      </w:r>
      <w:r w:rsidR="00DB72AA">
        <w:t xml:space="preserve">If required, </w:t>
      </w:r>
      <w:r w:rsidR="009B7308">
        <w:t xml:space="preserve">discussion </w:t>
      </w:r>
      <w:r w:rsidR="00DB72AA">
        <w:t xml:space="preserve">can </w:t>
      </w:r>
      <w:r w:rsidR="009B7308">
        <w:t>be taken to the Executive Board.</w:t>
      </w:r>
      <w:r w:rsidR="00C448F4">
        <w:t xml:space="preserve"> This applie</w:t>
      </w:r>
      <w:r w:rsidR="00E82329">
        <w:t>s</w:t>
      </w:r>
      <w:r w:rsidR="00C448F4">
        <w:t xml:space="preserve"> through</w:t>
      </w:r>
      <w:r w:rsidR="00E82329">
        <w:t>out this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4918B" w14:textId="77777777" w:rsidR="00AF72E7" w:rsidRDefault="00AF72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A21378" w14:textId="3B8D1226" w:rsidR="00AF72E7" w:rsidRPr="00AF72E7" w:rsidRDefault="00AF72E7" w:rsidP="00AF72E7">
    <w:pPr>
      <w:pStyle w:val="Header"/>
      <w:jc w:val="right"/>
      <w:rPr>
        <w:b/>
        <w:bCs/>
      </w:rPr>
    </w:pPr>
    <w:r w:rsidRPr="00AF72E7">
      <w:rPr>
        <w:b/>
        <w:bCs/>
      </w:rPr>
      <w:t>Audit Committee March 2026 – Risk Report – Appendix 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86E2E" w14:textId="77777777" w:rsidR="00AF72E7" w:rsidRDefault="00AF72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E603E0"/>
    <w:multiLevelType w:val="hybridMultilevel"/>
    <w:tmpl w:val="9828A40A"/>
    <w:lvl w:ilvl="0" w:tplc="809668DE">
      <w:start w:val="1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D1591B"/>
    <w:multiLevelType w:val="hybridMultilevel"/>
    <w:tmpl w:val="5AF02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AE1316"/>
    <w:multiLevelType w:val="hybridMultilevel"/>
    <w:tmpl w:val="C85E4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9475A45"/>
    <w:multiLevelType w:val="hybridMultilevel"/>
    <w:tmpl w:val="475E3C0E"/>
    <w:lvl w:ilvl="0" w:tplc="9974A4FE">
      <w:numFmt w:val="bullet"/>
      <w:lvlText w:val=""/>
      <w:lvlJc w:val="left"/>
      <w:pPr>
        <w:ind w:left="720" w:hanging="360"/>
      </w:pPr>
      <w:rPr>
        <w:rFonts w:ascii="Symbol" w:eastAsia="Times New Roman" w:hAnsi="Symbol"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6775AF2"/>
    <w:multiLevelType w:val="hybridMultilevel"/>
    <w:tmpl w:val="DB340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79529290">
    <w:abstractNumId w:val="3"/>
  </w:num>
  <w:num w:numId="2" w16cid:durableId="1656907672">
    <w:abstractNumId w:val="2"/>
  </w:num>
  <w:num w:numId="3" w16cid:durableId="598486211">
    <w:abstractNumId w:val="4"/>
  </w:num>
  <w:num w:numId="4" w16cid:durableId="71902754">
    <w:abstractNumId w:val="1"/>
  </w:num>
  <w:num w:numId="5" w16cid:durableId="2292718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5EC"/>
    <w:rsid w:val="000036CC"/>
    <w:rsid w:val="00034930"/>
    <w:rsid w:val="00064780"/>
    <w:rsid w:val="00082EDC"/>
    <w:rsid w:val="000D58B4"/>
    <w:rsid w:val="000E5325"/>
    <w:rsid w:val="000E5F15"/>
    <w:rsid w:val="00117E93"/>
    <w:rsid w:val="0012094E"/>
    <w:rsid w:val="001277E1"/>
    <w:rsid w:val="0016603E"/>
    <w:rsid w:val="001A2E68"/>
    <w:rsid w:val="001A3EB7"/>
    <w:rsid w:val="00204CAF"/>
    <w:rsid w:val="002319C0"/>
    <w:rsid w:val="00243A3C"/>
    <w:rsid w:val="002541EE"/>
    <w:rsid w:val="00262E6B"/>
    <w:rsid w:val="00273D4B"/>
    <w:rsid w:val="002C50B5"/>
    <w:rsid w:val="0030330E"/>
    <w:rsid w:val="003178FA"/>
    <w:rsid w:val="003266FC"/>
    <w:rsid w:val="00347228"/>
    <w:rsid w:val="003675EC"/>
    <w:rsid w:val="003934D3"/>
    <w:rsid w:val="003956E3"/>
    <w:rsid w:val="003E3DD4"/>
    <w:rsid w:val="003E3FE8"/>
    <w:rsid w:val="003F6B17"/>
    <w:rsid w:val="0041405F"/>
    <w:rsid w:val="00426DD5"/>
    <w:rsid w:val="004353F5"/>
    <w:rsid w:val="00437051"/>
    <w:rsid w:val="0044167E"/>
    <w:rsid w:val="00446988"/>
    <w:rsid w:val="004526EE"/>
    <w:rsid w:val="0047663A"/>
    <w:rsid w:val="004E1E1F"/>
    <w:rsid w:val="0050405E"/>
    <w:rsid w:val="00555679"/>
    <w:rsid w:val="00556FCD"/>
    <w:rsid w:val="00564FE6"/>
    <w:rsid w:val="00595D57"/>
    <w:rsid w:val="005A3C69"/>
    <w:rsid w:val="005E75B4"/>
    <w:rsid w:val="00600B0C"/>
    <w:rsid w:val="006020B8"/>
    <w:rsid w:val="0061500E"/>
    <w:rsid w:val="0062753C"/>
    <w:rsid w:val="00650774"/>
    <w:rsid w:val="00682726"/>
    <w:rsid w:val="006C4077"/>
    <w:rsid w:val="006F6ECD"/>
    <w:rsid w:val="007038D9"/>
    <w:rsid w:val="007040D5"/>
    <w:rsid w:val="007149A0"/>
    <w:rsid w:val="00715A5E"/>
    <w:rsid w:val="007245E4"/>
    <w:rsid w:val="00762F26"/>
    <w:rsid w:val="00793005"/>
    <w:rsid w:val="00793DB4"/>
    <w:rsid w:val="00797215"/>
    <w:rsid w:val="007D3931"/>
    <w:rsid w:val="007E19B5"/>
    <w:rsid w:val="0081522F"/>
    <w:rsid w:val="008818A7"/>
    <w:rsid w:val="00896D9D"/>
    <w:rsid w:val="00896DEC"/>
    <w:rsid w:val="008D2701"/>
    <w:rsid w:val="0091006A"/>
    <w:rsid w:val="009254E2"/>
    <w:rsid w:val="00934968"/>
    <w:rsid w:val="00936947"/>
    <w:rsid w:val="009513EC"/>
    <w:rsid w:val="00951F0B"/>
    <w:rsid w:val="00996F95"/>
    <w:rsid w:val="009B50F3"/>
    <w:rsid w:val="009B7308"/>
    <w:rsid w:val="009D463E"/>
    <w:rsid w:val="00A016D0"/>
    <w:rsid w:val="00A10EFE"/>
    <w:rsid w:val="00A203DF"/>
    <w:rsid w:val="00A50ACE"/>
    <w:rsid w:val="00A64AFC"/>
    <w:rsid w:val="00AA0C9E"/>
    <w:rsid w:val="00AB00FB"/>
    <w:rsid w:val="00AB6332"/>
    <w:rsid w:val="00AB6736"/>
    <w:rsid w:val="00AF72E7"/>
    <w:rsid w:val="00B2381B"/>
    <w:rsid w:val="00B30642"/>
    <w:rsid w:val="00B66A6E"/>
    <w:rsid w:val="00BC3312"/>
    <w:rsid w:val="00BC6C90"/>
    <w:rsid w:val="00BD0F78"/>
    <w:rsid w:val="00C2212D"/>
    <w:rsid w:val="00C2218A"/>
    <w:rsid w:val="00C448F4"/>
    <w:rsid w:val="00C46417"/>
    <w:rsid w:val="00C635C1"/>
    <w:rsid w:val="00C86BF8"/>
    <w:rsid w:val="00CA1B66"/>
    <w:rsid w:val="00CD5346"/>
    <w:rsid w:val="00D6768D"/>
    <w:rsid w:val="00D9489E"/>
    <w:rsid w:val="00DB72AA"/>
    <w:rsid w:val="00DC04DD"/>
    <w:rsid w:val="00DC565F"/>
    <w:rsid w:val="00DE5B1C"/>
    <w:rsid w:val="00E24D82"/>
    <w:rsid w:val="00E4172C"/>
    <w:rsid w:val="00E4625F"/>
    <w:rsid w:val="00E82329"/>
    <w:rsid w:val="00E91450"/>
    <w:rsid w:val="00EC1398"/>
    <w:rsid w:val="00ED5965"/>
    <w:rsid w:val="00ED77D8"/>
    <w:rsid w:val="00EF1B40"/>
    <w:rsid w:val="00F97626"/>
    <w:rsid w:val="00FB53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8E5F8"/>
  <w15:chartTrackingRefBased/>
  <w15:docId w15:val="{0081B593-82FF-430E-946E-4BB82AABB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675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D77D8"/>
    <w:pPr>
      <w:ind w:left="720"/>
      <w:contextualSpacing/>
    </w:pPr>
  </w:style>
  <w:style w:type="character" w:styleId="CommentReference">
    <w:name w:val="annotation reference"/>
    <w:basedOn w:val="DefaultParagraphFont"/>
    <w:uiPriority w:val="99"/>
    <w:semiHidden/>
    <w:unhideWhenUsed/>
    <w:rsid w:val="003934D3"/>
    <w:rPr>
      <w:sz w:val="16"/>
      <w:szCs w:val="16"/>
    </w:rPr>
  </w:style>
  <w:style w:type="paragraph" w:styleId="CommentText">
    <w:name w:val="annotation text"/>
    <w:basedOn w:val="Normal"/>
    <w:link w:val="CommentTextChar"/>
    <w:uiPriority w:val="99"/>
    <w:semiHidden/>
    <w:unhideWhenUsed/>
    <w:rsid w:val="003934D3"/>
    <w:pPr>
      <w:spacing w:line="240" w:lineRule="auto"/>
    </w:pPr>
    <w:rPr>
      <w:sz w:val="20"/>
      <w:szCs w:val="20"/>
    </w:rPr>
  </w:style>
  <w:style w:type="character" w:customStyle="1" w:styleId="CommentTextChar">
    <w:name w:val="Comment Text Char"/>
    <w:basedOn w:val="DefaultParagraphFont"/>
    <w:link w:val="CommentText"/>
    <w:uiPriority w:val="99"/>
    <w:semiHidden/>
    <w:rsid w:val="003934D3"/>
    <w:rPr>
      <w:sz w:val="20"/>
      <w:szCs w:val="20"/>
    </w:rPr>
  </w:style>
  <w:style w:type="paragraph" w:styleId="CommentSubject">
    <w:name w:val="annotation subject"/>
    <w:basedOn w:val="CommentText"/>
    <w:next w:val="CommentText"/>
    <w:link w:val="CommentSubjectChar"/>
    <w:uiPriority w:val="99"/>
    <w:semiHidden/>
    <w:unhideWhenUsed/>
    <w:rsid w:val="003934D3"/>
    <w:rPr>
      <w:b/>
      <w:bCs/>
    </w:rPr>
  </w:style>
  <w:style w:type="character" w:customStyle="1" w:styleId="CommentSubjectChar">
    <w:name w:val="Comment Subject Char"/>
    <w:basedOn w:val="CommentTextChar"/>
    <w:link w:val="CommentSubject"/>
    <w:uiPriority w:val="99"/>
    <w:semiHidden/>
    <w:rsid w:val="003934D3"/>
    <w:rPr>
      <w:b/>
      <w:bCs/>
      <w:sz w:val="20"/>
      <w:szCs w:val="20"/>
    </w:rPr>
  </w:style>
  <w:style w:type="paragraph" w:styleId="Revision">
    <w:name w:val="Revision"/>
    <w:hidden/>
    <w:uiPriority w:val="99"/>
    <w:semiHidden/>
    <w:rsid w:val="00556FCD"/>
    <w:pPr>
      <w:spacing w:after="0" w:line="240" w:lineRule="auto"/>
    </w:pPr>
  </w:style>
  <w:style w:type="paragraph" w:styleId="FootnoteText">
    <w:name w:val="footnote text"/>
    <w:basedOn w:val="Normal"/>
    <w:link w:val="FootnoteTextChar"/>
    <w:uiPriority w:val="99"/>
    <w:semiHidden/>
    <w:unhideWhenUsed/>
    <w:rsid w:val="0047663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663A"/>
    <w:rPr>
      <w:sz w:val="20"/>
      <w:szCs w:val="20"/>
    </w:rPr>
  </w:style>
  <w:style w:type="character" w:styleId="FootnoteReference">
    <w:name w:val="footnote reference"/>
    <w:basedOn w:val="DefaultParagraphFont"/>
    <w:uiPriority w:val="99"/>
    <w:semiHidden/>
    <w:unhideWhenUsed/>
    <w:rsid w:val="0047663A"/>
    <w:rPr>
      <w:vertAlign w:val="superscript"/>
    </w:rPr>
  </w:style>
  <w:style w:type="paragraph" w:styleId="Header">
    <w:name w:val="header"/>
    <w:basedOn w:val="Normal"/>
    <w:link w:val="HeaderChar"/>
    <w:uiPriority w:val="99"/>
    <w:unhideWhenUsed/>
    <w:rsid w:val="00AF72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72E7"/>
  </w:style>
  <w:style w:type="paragraph" w:styleId="Footer">
    <w:name w:val="footer"/>
    <w:basedOn w:val="Normal"/>
    <w:link w:val="FooterChar"/>
    <w:uiPriority w:val="99"/>
    <w:unhideWhenUsed/>
    <w:rsid w:val="00AF72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72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919104">
      <w:bodyDiv w:val="1"/>
      <w:marLeft w:val="0"/>
      <w:marRight w:val="0"/>
      <w:marTop w:val="0"/>
      <w:marBottom w:val="0"/>
      <w:divBdr>
        <w:top w:val="none" w:sz="0" w:space="0" w:color="auto"/>
        <w:left w:val="none" w:sz="0" w:space="0" w:color="auto"/>
        <w:bottom w:val="none" w:sz="0" w:space="0" w:color="auto"/>
        <w:right w:val="none" w:sz="0" w:space="0" w:color="auto"/>
      </w:divBdr>
      <w:divsChild>
        <w:div w:id="2145460016">
          <w:marLeft w:val="0"/>
          <w:marRight w:val="0"/>
          <w:marTop w:val="0"/>
          <w:marBottom w:val="0"/>
          <w:divBdr>
            <w:top w:val="none" w:sz="0" w:space="0" w:color="auto"/>
            <w:left w:val="none" w:sz="0" w:space="0" w:color="auto"/>
            <w:bottom w:val="none" w:sz="0" w:space="0" w:color="auto"/>
            <w:right w:val="none" w:sz="0" w:space="0" w:color="auto"/>
          </w:divBdr>
        </w:div>
      </w:divsChild>
    </w:div>
    <w:div w:id="338578916">
      <w:bodyDiv w:val="1"/>
      <w:marLeft w:val="0"/>
      <w:marRight w:val="0"/>
      <w:marTop w:val="0"/>
      <w:marBottom w:val="0"/>
      <w:divBdr>
        <w:top w:val="none" w:sz="0" w:space="0" w:color="auto"/>
        <w:left w:val="none" w:sz="0" w:space="0" w:color="auto"/>
        <w:bottom w:val="none" w:sz="0" w:space="0" w:color="auto"/>
        <w:right w:val="none" w:sz="0" w:space="0" w:color="auto"/>
      </w:divBdr>
      <w:divsChild>
        <w:div w:id="1776056252">
          <w:marLeft w:val="0"/>
          <w:marRight w:val="0"/>
          <w:marTop w:val="0"/>
          <w:marBottom w:val="0"/>
          <w:divBdr>
            <w:top w:val="none" w:sz="0" w:space="0" w:color="auto"/>
            <w:left w:val="none" w:sz="0" w:space="0" w:color="auto"/>
            <w:bottom w:val="none" w:sz="0" w:space="0" w:color="auto"/>
            <w:right w:val="none" w:sz="0" w:space="0" w:color="auto"/>
          </w:divBdr>
        </w:div>
      </w:divsChild>
    </w:div>
    <w:div w:id="396247631">
      <w:bodyDiv w:val="1"/>
      <w:marLeft w:val="0"/>
      <w:marRight w:val="0"/>
      <w:marTop w:val="0"/>
      <w:marBottom w:val="0"/>
      <w:divBdr>
        <w:top w:val="none" w:sz="0" w:space="0" w:color="auto"/>
        <w:left w:val="none" w:sz="0" w:space="0" w:color="auto"/>
        <w:bottom w:val="none" w:sz="0" w:space="0" w:color="auto"/>
        <w:right w:val="none" w:sz="0" w:space="0" w:color="auto"/>
      </w:divBdr>
      <w:divsChild>
        <w:div w:id="858155760">
          <w:marLeft w:val="0"/>
          <w:marRight w:val="0"/>
          <w:marTop w:val="0"/>
          <w:marBottom w:val="0"/>
          <w:divBdr>
            <w:top w:val="none" w:sz="0" w:space="0" w:color="auto"/>
            <w:left w:val="none" w:sz="0" w:space="0" w:color="auto"/>
            <w:bottom w:val="none" w:sz="0" w:space="0" w:color="auto"/>
            <w:right w:val="none" w:sz="0" w:space="0" w:color="auto"/>
          </w:divBdr>
        </w:div>
      </w:divsChild>
    </w:div>
    <w:div w:id="406920127">
      <w:bodyDiv w:val="1"/>
      <w:marLeft w:val="0"/>
      <w:marRight w:val="0"/>
      <w:marTop w:val="0"/>
      <w:marBottom w:val="0"/>
      <w:divBdr>
        <w:top w:val="none" w:sz="0" w:space="0" w:color="auto"/>
        <w:left w:val="none" w:sz="0" w:space="0" w:color="auto"/>
        <w:bottom w:val="none" w:sz="0" w:space="0" w:color="auto"/>
        <w:right w:val="none" w:sz="0" w:space="0" w:color="auto"/>
      </w:divBdr>
      <w:divsChild>
        <w:div w:id="676466132">
          <w:marLeft w:val="0"/>
          <w:marRight w:val="0"/>
          <w:marTop w:val="0"/>
          <w:marBottom w:val="0"/>
          <w:divBdr>
            <w:top w:val="none" w:sz="0" w:space="0" w:color="auto"/>
            <w:left w:val="none" w:sz="0" w:space="0" w:color="auto"/>
            <w:bottom w:val="none" w:sz="0" w:space="0" w:color="auto"/>
            <w:right w:val="none" w:sz="0" w:space="0" w:color="auto"/>
          </w:divBdr>
        </w:div>
      </w:divsChild>
    </w:div>
    <w:div w:id="549000440">
      <w:bodyDiv w:val="1"/>
      <w:marLeft w:val="0"/>
      <w:marRight w:val="0"/>
      <w:marTop w:val="0"/>
      <w:marBottom w:val="0"/>
      <w:divBdr>
        <w:top w:val="none" w:sz="0" w:space="0" w:color="auto"/>
        <w:left w:val="none" w:sz="0" w:space="0" w:color="auto"/>
        <w:bottom w:val="none" w:sz="0" w:space="0" w:color="auto"/>
        <w:right w:val="none" w:sz="0" w:space="0" w:color="auto"/>
      </w:divBdr>
      <w:divsChild>
        <w:div w:id="1354107725">
          <w:marLeft w:val="0"/>
          <w:marRight w:val="0"/>
          <w:marTop w:val="0"/>
          <w:marBottom w:val="0"/>
          <w:divBdr>
            <w:top w:val="none" w:sz="0" w:space="0" w:color="auto"/>
            <w:left w:val="none" w:sz="0" w:space="0" w:color="auto"/>
            <w:bottom w:val="none" w:sz="0" w:space="0" w:color="auto"/>
            <w:right w:val="none" w:sz="0" w:space="0" w:color="auto"/>
          </w:divBdr>
        </w:div>
      </w:divsChild>
    </w:div>
    <w:div w:id="566957209">
      <w:bodyDiv w:val="1"/>
      <w:marLeft w:val="0"/>
      <w:marRight w:val="0"/>
      <w:marTop w:val="0"/>
      <w:marBottom w:val="0"/>
      <w:divBdr>
        <w:top w:val="none" w:sz="0" w:space="0" w:color="auto"/>
        <w:left w:val="none" w:sz="0" w:space="0" w:color="auto"/>
        <w:bottom w:val="none" w:sz="0" w:space="0" w:color="auto"/>
        <w:right w:val="none" w:sz="0" w:space="0" w:color="auto"/>
      </w:divBdr>
      <w:divsChild>
        <w:div w:id="1029916531">
          <w:marLeft w:val="0"/>
          <w:marRight w:val="0"/>
          <w:marTop w:val="0"/>
          <w:marBottom w:val="0"/>
          <w:divBdr>
            <w:top w:val="none" w:sz="0" w:space="0" w:color="auto"/>
            <w:left w:val="none" w:sz="0" w:space="0" w:color="auto"/>
            <w:bottom w:val="none" w:sz="0" w:space="0" w:color="auto"/>
            <w:right w:val="none" w:sz="0" w:space="0" w:color="auto"/>
          </w:divBdr>
        </w:div>
      </w:divsChild>
    </w:div>
    <w:div w:id="569314977">
      <w:bodyDiv w:val="1"/>
      <w:marLeft w:val="0"/>
      <w:marRight w:val="0"/>
      <w:marTop w:val="0"/>
      <w:marBottom w:val="0"/>
      <w:divBdr>
        <w:top w:val="none" w:sz="0" w:space="0" w:color="auto"/>
        <w:left w:val="none" w:sz="0" w:space="0" w:color="auto"/>
        <w:bottom w:val="none" w:sz="0" w:space="0" w:color="auto"/>
        <w:right w:val="none" w:sz="0" w:space="0" w:color="auto"/>
      </w:divBdr>
      <w:divsChild>
        <w:div w:id="1319573253">
          <w:marLeft w:val="0"/>
          <w:marRight w:val="0"/>
          <w:marTop w:val="0"/>
          <w:marBottom w:val="0"/>
          <w:divBdr>
            <w:top w:val="none" w:sz="0" w:space="0" w:color="auto"/>
            <w:left w:val="none" w:sz="0" w:space="0" w:color="auto"/>
            <w:bottom w:val="none" w:sz="0" w:space="0" w:color="auto"/>
            <w:right w:val="none" w:sz="0" w:space="0" w:color="auto"/>
          </w:divBdr>
        </w:div>
      </w:divsChild>
    </w:div>
    <w:div w:id="610480787">
      <w:bodyDiv w:val="1"/>
      <w:marLeft w:val="0"/>
      <w:marRight w:val="0"/>
      <w:marTop w:val="0"/>
      <w:marBottom w:val="0"/>
      <w:divBdr>
        <w:top w:val="none" w:sz="0" w:space="0" w:color="auto"/>
        <w:left w:val="none" w:sz="0" w:space="0" w:color="auto"/>
        <w:bottom w:val="none" w:sz="0" w:space="0" w:color="auto"/>
        <w:right w:val="none" w:sz="0" w:space="0" w:color="auto"/>
      </w:divBdr>
      <w:divsChild>
        <w:div w:id="1102337281">
          <w:marLeft w:val="0"/>
          <w:marRight w:val="0"/>
          <w:marTop w:val="0"/>
          <w:marBottom w:val="0"/>
          <w:divBdr>
            <w:top w:val="none" w:sz="0" w:space="0" w:color="auto"/>
            <w:left w:val="none" w:sz="0" w:space="0" w:color="auto"/>
            <w:bottom w:val="none" w:sz="0" w:space="0" w:color="auto"/>
            <w:right w:val="none" w:sz="0" w:space="0" w:color="auto"/>
          </w:divBdr>
        </w:div>
      </w:divsChild>
    </w:div>
    <w:div w:id="629170504">
      <w:bodyDiv w:val="1"/>
      <w:marLeft w:val="0"/>
      <w:marRight w:val="0"/>
      <w:marTop w:val="0"/>
      <w:marBottom w:val="0"/>
      <w:divBdr>
        <w:top w:val="none" w:sz="0" w:space="0" w:color="auto"/>
        <w:left w:val="none" w:sz="0" w:space="0" w:color="auto"/>
        <w:bottom w:val="none" w:sz="0" w:space="0" w:color="auto"/>
        <w:right w:val="none" w:sz="0" w:space="0" w:color="auto"/>
      </w:divBdr>
      <w:divsChild>
        <w:div w:id="321012158">
          <w:marLeft w:val="0"/>
          <w:marRight w:val="0"/>
          <w:marTop w:val="0"/>
          <w:marBottom w:val="0"/>
          <w:divBdr>
            <w:top w:val="none" w:sz="0" w:space="0" w:color="auto"/>
            <w:left w:val="none" w:sz="0" w:space="0" w:color="auto"/>
            <w:bottom w:val="none" w:sz="0" w:space="0" w:color="auto"/>
            <w:right w:val="none" w:sz="0" w:space="0" w:color="auto"/>
          </w:divBdr>
        </w:div>
      </w:divsChild>
    </w:div>
    <w:div w:id="651103847">
      <w:bodyDiv w:val="1"/>
      <w:marLeft w:val="0"/>
      <w:marRight w:val="0"/>
      <w:marTop w:val="0"/>
      <w:marBottom w:val="0"/>
      <w:divBdr>
        <w:top w:val="none" w:sz="0" w:space="0" w:color="auto"/>
        <w:left w:val="none" w:sz="0" w:space="0" w:color="auto"/>
        <w:bottom w:val="none" w:sz="0" w:space="0" w:color="auto"/>
        <w:right w:val="none" w:sz="0" w:space="0" w:color="auto"/>
      </w:divBdr>
      <w:divsChild>
        <w:div w:id="191040597">
          <w:marLeft w:val="0"/>
          <w:marRight w:val="0"/>
          <w:marTop w:val="0"/>
          <w:marBottom w:val="0"/>
          <w:divBdr>
            <w:top w:val="none" w:sz="0" w:space="0" w:color="auto"/>
            <w:left w:val="none" w:sz="0" w:space="0" w:color="auto"/>
            <w:bottom w:val="none" w:sz="0" w:space="0" w:color="auto"/>
            <w:right w:val="none" w:sz="0" w:space="0" w:color="auto"/>
          </w:divBdr>
        </w:div>
      </w:divsChild>
    </w:div>
    <w:div w:id="673267641">
      <w:bodyDiv w:val="1"/>
      <w:marLeft w:val="0"/>
      <w:marRight w:val="0"/>
      <w:marTop w:val="0"/>
      <w:marBottom w:val="0"/>
      <w:divBdr>
        <w:top w:val="none" w:sz="0" w:space="0" w:color="auto"/>
        <w:left w:val="none" w:sz="0" w:space="0" w:color="auto"/>
        <w:bottom w:val="none" w:sz="0" w:space="0" w:color="auto"/>
        <w:right w:val="none" w:sz="0" w:space="0" w:color="auto"/>
      </w:divBdr>
      <w:divsChild>
        <w:div w:id="2109692872">
          <w:marLeft w:val="0"/>
          <w:marRight w:val="0"/>
          <w:marTop w:val="0"/>
          <w:marBottom w:val="0"/>
          <w:divBdr>
            <w:top w:val="none" w:sz="0" w:space="0" w:color="auto"/>
            <w:left w:val="none" w:sz="0" w:space="0" w:color="auto"/>
            <w:bottom w:val="none" w:sz="0" w:space="0" w:color="auto"/>
            <w:right w:val="none" w:sz="0" w:space="0" w:color="auto"/>
          </w:divBdr>
        </w:div>
      </w:divsChild>
    </w:div>
    <w:div w:id="718162964">
      <w:bodyDiv w:val="1"/>
      <w:marLeft w:val="0"/>
      <w:marRight w:val="0"/>
      <w:marTop w:val="0"/>
      <w:marBottom w:val="0"/>
      <w:divBdr>
        <w:top w:val="none" w:sz="0" w:space="0" w:color="auto"/>
        <w:left w:val="none" w:sz="0" w:space="0" w:color="auto"/>
        <w:bottom w:val="none" w:sz="0" w:space="0" w:color="auto"/>
        <w:right w:val="none" w:sz="0" w:space="0" w:color="auto"/>
      </w:divBdr>
      <w:divsChild>
        <w:div w:id="71242781">
          <w:marLeft w:val="0"/>
          <w:marRight w:val="0"/>
          <w:marTop w:val="0"/>
          <w:marBottom w:val="0"/>
          <w:divBdr>
            <w:top w:val="none" w:sz="0" w:space="0" w:color="auto"/>
            <w:left w:val="none" w:sz="0" w:space="0" w:color="auto"/>
            <w:bottom w:val="none" w:sz="0" w:space="0" w:color="auto"/>
            <w:right w:val="none" w:sz="0" w:space="0" w:color="auto"/>
          </w:divBdr>
        </w:div>
      </w:divsChild>
    </w:div>
    <w:div w:id="732315961">
      <w:bodyDiv w:val="1"/>
      <w:marLeft w:val="0"/>
      <w:marRight w:val="0"/>
      <w:marTop w:val="0"/>
      <w:marBottom w:val="0"/>
      <w:divBdr>
        <w:top w:val="none" w:sz="0" w:space="0" w:color="auto"/>
        <w:left w:val="none" w:sz="0" w:space="0" w:color="auto"/>
        <w:bottom w:val="none" w:sz="0" w:space="0" w:color="auto"/>
        <w:right w:val="none" w:sz="0" w:space="0" w:color="auto"/>
      </w:divBdr>
      <w:divsChild>
        <w:div w:id="1118715566">
          <w:marLeft w:val="0"/>
          <w:marRight w:val="0"/>
          <w:marTop w:val="0"/>
          <w:marBottom w:val="0"/>
          <w:divBdr>
            <w:top w:val="none" w:sz="0" w:space="0" w:color="auto"/>
            <w:left w:val="none" w:sz="0" w:space="0" w:color="auto"/>
            <w:bottom w:val="none" w:sz="0" w:space="0" w:color="auto"/>
            <w:right w:val="none" w:sz="0" w:space="0" w:color="auto"/>
          </w:divBdr>
        </w:div>
      </w:divsChild>
    </w:div>
    <w:div w:id="884752825">
      <w:bodyDiv w:val="1"/>
      <w:marLeft w:val="0"/>
      <w:marRight w:val="0"/>
      <w:marTop w:val="0"/>
      <w:marBottom w:val="0"/>
      <w:divBdr>
        <w:top w:val="none" w:sz="0" w:space="0" w:color="auto"/>
        <w:left w:val="none" w:sz="0" w:space="0" w:color="auto"/>
        <w:bottom w:val="none" w:sz="0" w:space="0" w:color="auto"/>
        <w:right w:val="none" w:sz="0" w:space="0" w:color="auto"/>
      </w:divBdr>
      <w:divsChild>
        <w:div w:id="1479957365">
          <w:marLeft w:val="0"/>
          <w:marRight w:val="0"/>
          <w:marTop w:val="0"/>
          <w:marBottom w:val="0"/>
          <w:divBdr>
            <w:top w:val="none" w:sz="0" w:space="0" w:color="auto"/>
            <w:left w:val="none" w:sz="0" w:space="0" w:color="auto"/>
            <w:bottom w:val="none" w:sz="0" w:space="0" w:color="auto"/>
            <w:right w:val="none" w:sz="0" w:space="0" w:color="auto"/>
          </w:divBdr>
        </w:div>
      </w:divsChild>
    </w:div>
    <w:div w:id="887687622">
      <w:bodyDiv w:val="1"/>
      <w:marLeft w:val="0"/>
      <w:marRight w:val="0"/>
      <w:marTop w:val="0"/>
      <w:marBottom w:val="0"/>
      <w:divBdr>
        <w:top w:val="none" w:sz="0" w:space="0" w:color="auto"/>
        <w:left w:val="none" w:sz="0" w:space="0" w:color="auto"/>
        <w:bottom w:val="none" w:sz="0" w:space="0" w:color="auto"/>
        <w:right w:val="none" w:sz="0" w:space="0" w:color="auto"/>
      </w:divBdr>
      <w:divsChild>
        <w:div w:id="531000482">
          <w:marLeft w:val="0"/>
          <w:marRight w:val="0"/>
          <w:marTop w:val="0"/>
          <w:marBottom w:val="0"/>
          <w:divBdr>
            <w:top w:val="none" w:sz="0" w:space="0" w:color="auto"/>
            <w:left w:val="none" w:sz="0" w:space="0" w:color="auto"/>
            <w:bottom w:val="none" w:sz="0" w:space="0" w:color="auto"/>
            <w:right w:val="none" w:sz="0" w:space="0" w:color="auto"/>
          </w:divBdr>
        </w:div>
      </w:divsChild>
    </w:div>
    <w:div w:id="892959611">
      <w:bodyDiv w:val="1"/>
      <w:marLeft w:val="0"/>
      <w:marRight w:val="0"/>
      <w:marTop w:val="0"/>
      <w:marBottom w:val="0"/>
      <w:divBdr>
        <w:top w:val="none" w:sz="0" w:space="0" w:color="auto"/>
        <w:left w:val="none" w:sz="0" w:space="0" w:color="auto"/>
        <w:bottom w:val="none" w:sz="0" w:space="0" w:color="auto"/>
        <w:right w:val="none" w:sz="0" w:space="0" w:color="auto"/>
      </w:divBdr>
      <w:divsChild>
        <w:div w:id="758603330">
          <w:marLeft w:val="0"/>
          <w:marRight w:val="0"/>
          <w:marTop w:val="0"/>
          <w:marBottom w:val="0"/>
          <w:divBdr>
            <w:top w:val="none" w:sz="0" w:space="0" w:color="auto"/>
            <w:left w:val="none" w:sz="0" w:space="0" w:color="auto"/>
            <w:bottom w:val="none" w:sz="0" w:space="0" w:color="auto"/>
            <w:right w:val="none" w:sz="0" w:space="0" w:color="auto"/>
          </w:divBdr>
        </w:div>
      </w:divsChild>
    </w:div>
    <w:div w:id="914779584">
      <w:bodyDiv w:val="1"/>
      <w:marLeft w:val="0"/>
      <w:marRight w:val="0"/>
      <w:marTop w:val="0"/>
      <w:marBottom w:val="0"/>
      <w:divBdr>
        <w:top w:val="none" w:sz="0" w:space="0" w:color="auto"/>
        <w:left w:val="none" w:sz="0" w:space="0" w:color="auto"/>
        <w:bottom w:val="none" w:sz="0" w:space="0" w:color="auto"/>
        <w:right w:val="none" w:sz="0" w:space="0" w:color="auto"/>
      </w:divBdr>
      <w:divsChild>
        <w:div w:id="1809517567">
          <w:marLeft w:val="0"/>
          <w:marRight w:val="0"/>
          <w:marTop w:val="0"/>
          <w:marBottom w:val="0"/>
          <w:divBdr>
            <w:top w:val="none" w:sz="0" w:space="0" w:color="auto"/>
            <w:left w:val="none" w:sz="0" w:space="0" w:color="auto"/>
            <w:bottom w:val="none" w:sz="0" w:space="0" w:color="auto"/>
            <w:right w:val="none" w:sz="0" w:space="0" w:color="auto"/>
          </w:divBdr>
        </w:div>
      </w:divsChild>
    </w:div>
    <w:div w:id="1089735373">
      <w:bodyDiv w:val="1"/>
      <w:marLeft w:val="0"/>
      <w:marRight w:val="0"/>
      <w:marTop w:val="0"/>
      <w:marBottom w:val="0"/>
      <w:divBdr>
        <w:top w:val="none" w:sz="0" w:space="0" w:color="auto"/>
        <w:left w:val="none" w:sz="0" w:space="0" w:color="auto"/>
        <w:bottom w:val="none" w:sz="0" w:space="0" w:color="auto"/>
        <w:right w:val="none" w:sz="0" w:space="0" w:color="auto"/>
      </w:divBdr>
      <w:divsChild>
        <w:div w:id="1211725120">
          <w:marLeft w:val="0"/>
          <w:marRight w:val="0"/>
          <w:marTop w:val="0"/>
          <w:marBottom w:val="0"/>
          <w:divBdr>
            <w:top w:val="none" w:sz="0" w:space="0" w:color="auto"/>
            <w:left w:val="none" w:sz="0" w:space="0" w:color="auto"/>
            <w:bottom w:val="none" w:sz="0" w:space="0" w:color="auto"/>
            <w:right w:val="none" w:sz="0" w:space="0" w:color="auto"/>
          </w:divBdr>
        </w:div>
      </w:divsChild>
    </w:div>
    <w:div w:id="1308702371">
      <w:bodyDiv w:val="1"/>
      <w:marLeft w:val="0"/>
      <w:marRight w:val="0"/>
      <w:marTop w:val="0"/>
      <w:marBottom w:val="0"/>
      <w:divBdr>
        <w:top w:val="none" w:sz="0" w:space="0" w:color="auto"/>
        <w:left w:val="none" w:sz="0" w:space="0" w:color="auto"/>
        <w:bottom w:val="none" w:sz="0" w:space="0" w:color="auto"/>
        <w:right w:val="none" w:sz="0" w:space="0" w:color="auto"/>
      </w:divBdr>
      <w:divsChild>
        <w:div w:id="1266890394">
          <w:marLeft w:val="0"/>
          <w:marRight w:val="0"/>
          <w:marTop w:val="0"/>
          <w:marBottom w:val="0"/>
          <w:divBdr>
            <w:top w:val="none" w:sz="0" w:space="0" w:color="auto"/>
            <w:left w:val="none" w:sz="0" w:space="0" w:color="auto"/>
            <w:bottom w:val="none" w:sz="0" w:space="0" w:color="auto"/>
            <w:right w:val="none" w:sz="0" w:space="0" w:color="auto"/>
          </w:divBdr>
        </w:div>
      </w:divsChild>
    </w:div>
    <w:div w:id="1392771766">
      <w:bodyDiv w:val="1"/>
      <w:marLeft w:val="0"/>
      <w:marRight w:val="0"/>
      <w:marTop w:val="0"/>
      <w:marBottom w:val="0"/>
      <w:divBdr>
        <w:top w:val="none" w:sz="0" w:space="0" w:color="auto"/>
        <w:left w:val="none" w:sz="0" w:space="0" w:color="auto"/>
        <w:bottom w:val="none" w:sz="0" w:space="0" w:color="auto"/>
        <w:right w:val="none" w:sz="0" w:space="0" w:color="auto"/>
      </w:divBdr>
      <w:divsChild>
        <w:div w:id="1837066967">
          <w:marLeft w:val="0"/>
          <w:marRight w:val="0"/>
          <w:marTop w:val="0"/>
          <w:marBottom w:val="0"/>
          <w:divBdr>
            <w:top w:val="none" w:sz="0" w:space="0" w:color="auto"/>
            <w:left w:val="none" w:sz="0" w:space="0" w:color="auto"/>
            <w:bottom w:val="none" w:sz="0" w:space="0" w:color="auto"/>
            <w:right w:val="none" w:sz="0" w:space="0" w:color="auto"/>
          </w:divBdr>
        </w:div>
      </w:divsChild>
    </w:div>
    <w:div w:id="1586643938">
      <w:bodyDiv w:val="1"/>
      <w:marLeft w:val="0"/>
      <w:marRight w:val="0"/>
      <w:marTop w:val="0"/>
      <w:marBottom w:val="0"/>
      <w:divBdr>
        <w:top w:val="none" w:sz="0" w:space="0" w:color="auto"/>
        <w:left w:val="none" w:sz="0" w:space="0" w:color="auto"/>
        <w:bottom w:val="none" w:sz="0" w:space="0" w:color="auto"/>
        <w:right w:val="none" w:sz="0" w:space="0" w:color="auto"/>
      </w:divBdr>
      <w:divsChild>
        <w:div w:id="1180503834">
          <w:marLeft w:val="0"/>
          <w:marRight w:val="0"/>
          <w:marTop w:val="0"/>
          <w:marBottom w:val="0"/>
          <w:divBdr>
            <w:top w:val="none" w:sz="0" w:space="0" w:color="auto"/>
            <w:left w:val="none" w:sz="0" w:space="0" w:color="auto"/>
            <w:bottom w:val="none" w:sz="0" w:space="0" w:color="auto"/>
            <w:right w:val="none" w:sz="0" w:space="0" w:color="auto"/>
          </w:divBdr>
        </w:div>
      </w:divsChild>
    </w:div>
    <w:div w:id="1593783380">
      <w:bodyDiv w:val="1"/>
      <w:marLeft w:val="0"/>
      <w:marRight w:val="0"/>
      <w:marTop w:val="0"/>
      <w:marBottom w:val="0"/>
      <w:divBdr>
        <w:top w:val="none" w:sz="0" w:space="0" w:color="auto"/>
        <w:left w:val="none" w:sz="0" w:space="0" w:color="auto"/>
        <w:bottom w:val="none" w:sz="0" w:space="0" w:color="auto"/>
        <w:right w:val="none" w:sz="0" w:space="0" w:color="auto"/>
      </w:divBdr>
      <w:divsChild>
        <w:div w:id="1226650750">
          <w:marLeft w:val="0"/>
          <w:marRight w:val="0"/>
          <w:marTop w:val="0"/>
          <w:marBottom w:val="0"/>
          <w:divBdr>
            <w:top w:val="none" w:sz="0" w:space="0" w:color="auto"/>
            <w:left w:val="none" w:sz="0" w:space="0" w:color="auto"/>
            <w:bottom w:val="none" w:sz="0" w:space="0" w:color="auto"/>
            <w:right w:val="none" w:sz="0" w:space="0" w:color="auto"/>
          </w:divBdr>
        </w:div>
      </w:divsChild>
    </w:div>
    <w:div w:id="1691252766">
      <w:bodyDiv w:val="1"/>
      <w:marLeft w:val="0"/>
      <w:marRight w:val="0"/>
      <w:marTop w:val="0"/>
      <w:marBottom w:val="0"/>
      <w:divBdr>
        <w:top w:val="none" w:sz="0" w:space="0" w:color="auto"/>
        <w:left w:val="none" w:sz="0" w:space="0" w:color="auto"/>
        <w:bottom w:val="none" w:sz="0" w:space="0" w:color="auto"/>
        <w:right w:val="none" w:sz="0" w:space="0" w:color="auto"/>
      </w:divBdr>
      <w:divsChild>
        <w:div w:id="490681137">
          <w:marLeft w:val="0"/>
          <w:marRight w:val="0"/>
          <w:marTop w:val="0"/>
          <w:marBottom w:val="0"/>
          <w:divBdr>
            <w:top w:val="none" w:sz="0" w:space="0" w:color="auto"/>
            <w:left w:val="none" w:sz="0" w:space="0" w:color="auto"/>
            <w:bottom w:val="none" w:sz="0" w:space="0" w:color="auto"/>
            <w:right w:val="none" w:sz="0" w:space="0" w:color="auto"/>
          </w:divBdr>
        </w:div>
      </w:divsChild>
    </w:div>
    <w:div w:id="1733189501">
      <w:bodyDiv w:val="1"/>
      <w:marLeft w:val="0"/>
      <w:marRight w:val="0"/>
      <w:marTop w:val="0"/>
      <w:marBottom w:val="0"/>
      <w:divBdr>
        <w:top w:val="none" w:sz="0" w:space="0" w:color="auto"/>
        <w:left w:val="none" w:sz="0" w:space="0" w:color="auto"/>
        <w:bottom w:val="none" w:sz="0" w:space="0" w:color="auto"/>
        <w:right w:val="none" w:sz="0" w:space="0" w:color="auto"/>
      </w:divBdr>
      <w:divsChild>
        <w:div w:id="1675839726">
          <w:marLeft w:val="0"/>
          <w:marRight w:val="0"/>
          <w:marTop w:val="0"/>
          <w:marBottom w:val="0"/>
          <w:divBdr>
            <w:top w:val="none" w:sz="0" w:space="0" w:color="auto"/>
            <w:left w:val="none" w:sz="0" w:space="0" w:color="auto"/>
            <w:bottom w:val="none" w:sz="0" w:space="0" w:color="auto"/>
            <w:right w:val="none" w:sz="0" w:space="0" w:color="auto"/>
          </w:divBdr>
        </w:div>
      </w:divsChild>
    </w:div>
    <w:div w:id="1776634303">
      <w:bodyDiv w:val="1"/>
      <w:marLeft w:val="0"/>
      <w:marRight w:val="0"/>
      <w:marTop w:val="0"/>
      <w:marBottom w:val="0"/>
      <w:divBdr>
        <w:top w:val="none" w:sz="0" w:space="0" w:color="auto"/>
        <w:left w:val="none" w:sz="0" w:space="0" w:color="auto"/>
        <w:bottom w:val="none" w:sz="0" w:space="0" w:color="auto"/>
        <w:right w:val="none" w:sz="0" w:space="0" w:color="auto"/>
      </w:divBdr>
      <w:divsChild>
        <w:div w:id="938177927">
          <w:marLeft w:val="0"/>
          <w:marRight w:val="0"/>
          <w:marTop w:val="0"/>
          <w:marBottom w:val="0"/>
          <w:divBdr>
            <w:top w:val="none" w:sz="0" w:space="0" w:color="auto"/>
            <w:left w:val="none" w:sz="0" w:space="0" w:color="auto"/>
            <w:bottom w:val="none" w:sz="0" w:space="0" w:color="auto"/>
            <w:right w:val="none" w:sz="0" w:space="0" w:color="auto"/>
          </w:divBdr>
        </w:div>
      </w:divsChild>
    </w:div>
    <w:div w:id="1808427305">
      <w:bodyDiv w:val="1"/>
      <w:marLeft w:val="0"/>
      <w:marRight w:val="0"/>
      <w:marTop w:val="0"/>
      <w:marBottom w:val="0"/>
      <w:divBdr>
        <w:top w:val="none" w:sz="0" w:space="0" w:color="auto"/>
        <w:left w:val="none" w:sz="0" w:space="0" w:color="auto"/>
        <w:bottom w:val="none" w:sz="0" w:space="0" w:color="auto"/>
        <w:right w:val="none" w:sz="0" w:space="0" w:color="auto"/>
      </w:divBdr>
      <w:divsChild>
        <w:div w:id="1637761952">
          <w:marLeft w:val="0"/>
          <w:marRight w:val="0"/>
          <w:marTop w:val="0"/>
          <w:marBottom w:val="0"/>
          <w:divBdr>
            <w:top w:val="none" w:sz="0" w:space="0" w:color="auto"/>
            <w:left w:val="none" w:sz="0" w:space="0" w:color="auto"/>
            <w:bottom w:val="none" w:sz="0" w:space="0" w:color="auto"/>
            <w:right w:val="none" w:sz="0" w:space="0" w:color="auto"/>
          </w:divBdr>
        </w:div>
      </w:divsChild>
    </w:div>
    <w:div w:id="1963461907">
      <w:bodyDiv w:val="1"/>
      <w:marLeft w:val="0"/>
      <w:marRight w:val="0"/>
      <w:marTop w:val="0"/>
      <w:marBottom w:val="0"/>
      <w:divBdr>
        <w:top w:val="none" w:sz="0" w:space="0" w:color="auto"/>
        <w:left w:val="none" w:sz="0" w:space="0" w:color="auto"/>
        <w:bottom w:val="none" w:sz="0" w:space="0" w:color="auto"/>
        <w:right w:val="none" w:sz="0" w:space="0" w:color="auto"/>
      </w:divBdr>
      <w:divsChild>
        <w:div w:id="389184353">
          <w:marLeft w:val="0"/>
          <w:marRight w:val="0"/>
          <w:marTop w:val="0"/>
          <w:marBottom w:val="0"/>
          <w:divBdr>
            <w:top w:val="none" w:sz="0" w:space="0" w:color="auto"/>
            <w:left w:val="none" w:sz="0" w:space="0" w:color="auto"/>
            <w:bottom w:val="none" w:sz="0" w:space="0" w:color="auto"/>
            <w:right w:val="none" w:sz="0" w:space="0" w:color="auto"/>
          </w:divBdr>
        </w:div>
      </w:divsChild>
    </w:div>
    <w:div w:id="1998604035">
      <w:bodyDiv w:val="1"/>
      <w:marLeft w:val="0"/>
      <w:marRight w:val="0"/>
      <w:marTop w:val="0"/>
      <w:marBottom w:val="0"/>
      <w:divBdr>
        <w:top w:val="none" w:sz="0" w:space="0" w:color="auto"/>
        <w:left w:val="none" w:sz="0" w:space="0" w:color="auto"/>
        <w:bottom w:val="none" w:sz="0" w:space="0" w:color="auto"/>
        <w:right w:val="none" w:sz="0" w:space="0" w:color="auto"/>
      </w:divBdr>
      <w:divsChild>
        <w:div w:id="5703151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0B1E428-4A31-43A7-A204-D543D8264734}">
  <ds:schemaRefs>
    <ds:schemaRef ds:uri="http://schemas.openxmlformats.org/officeDocument/2006/bibliography"/>
  </ds:schemaRefs>
</ds:datastoreItem>
</file>

<file path=customXml/itemProps2.xml><?xml version="1.0" encoding="utf-8"?>
<ds:datastoreItem xmlns:ds="http://schemas.openxmlformats.org/officeDocument/2006/customXml" ds:itemID="{6F1BAB4F-8413-4863-90A4-438666051D7C}"/>
</file>

<file path=customXml/itemProps3.xml><?xml version="1.0" encoding="utf-8"?>
<ds:datastoreItem xmlns:ds="http://schemas.openxmlformats.org/officeDocument/2006/customXml" ds:itemID="{165B1220-90F0-46FF-8DDA-75CD7437FB09}"/>
</file>

<file path=customXml/itemProps4.xml><?xml version="1.0" encoding="utf-8"?>
<ds:datastoreItem xmlns:ds="http://schemas.openxmlformats.org/officeDocument/2006/customXml" ds:itemID="{6AA5FA5A-BF70-426D-B009-E6A5992F5946}"/>
</file>

<file path=docProps/app.xml><?xml version="1.0" encoding="utf-8"?>
<Properties xmlns="http://schemas.openxmlformats.org/officeDocument/2006/extended-properties" xmlns:vt="http://schemas.openxmlformats.org/officeDocument/2006/docPropsVTypes">
  <Template>Normal</Template>
  <TotalTime>1</TotalTime>
  <Pages>2</Pages>
  <Words>568</Words>
  <Characters>3131</Characters>
  <Application>Microsoft Office Word</Application>
  <DocSecurity>0</DocSecurity>
  <Lines>101</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Nix (Swansea Bay UHB - Governance)</dc:creator>
  <cp:keywords/>
  <dc:description/>
  <cp:lastModifiedBy>Neil Thomas (Swansea Bay UHB - Risk &amp; Assurance)</cp:lastModifiedBy>
  <cp:revision>5</cp:revision>
  <dcterms:created xsi:type="dcterms:W3CDTF">2026-02-13T12:16:00Z</dcterms:created>
  <dcterms:modified xsi:type="dcterms:W3CDTF">2026-03-04T14:13:00Z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