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F8567E" w14:paraId="6D2903E2" w14:textId="77777777" w:rsidTr="12413FBE">
        <w:tc>
          <w:tcPr>
            <w:tcW w:w="2547" w:type="dxa"/>
          </w:tcPr>
          <w:p w14:paraId="6D2903DE" w14:textId="77777777" w:rsidR="00F5082D" w:rsidRPr="00F8567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6D1F34ED" w:rsidR="00F5082D" w:rsidRPr="00F8567E" w:rsidRDefault="006A0C0F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21 May</w:t>
            </w:r>
            <w:r w:rsidR="005D3DF1"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 202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6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F8567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3A98D65E" w:rsidR="00F5082D" w:rsidRPr="00F8567E" w:rsidRDefault="006A0C0F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3.2</w:t>
            </w:r>
          </w:p>
        </w:tc>
      </w:tr>
      <w:tr w:rsidR="008C71C0" w:rsidRPr="00F8567E" w14:paraId="1EEB45B2" w14:textId="77777777" w:rsidTr="12413FBE">
        <w:tc>
          <w:tcPr>
            <w:tcW w:w="2547" w:type="dxa"/>
          </w:tcPr>
          <w:p w14:paraId="4A48663E" w14:textId="6879CA0B" w:rsidR="008C71C0" w:rsidRPr="00F8567E" w:rsidRDefault="008C71C0" w:rsidP="008C71C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1F613687" w:rsidR="008C71C0" w:rsidRPr="00F8567E" w:rsidRDefault="008C71C0" w:rsidP="008C71C0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Audit Committee</w:t>
            </w:r>
          </w:p>
        </w:tc>
      </w:tr>
      <w:tr w:rsidR="008C71C0" w:rsidRPr="00F8567E" w14:paraId="6D2903E5" w14:textId="77777777" w:rsidTr="12413FBE">
        <w:tc>
          <w:tcPr>
            <w:tcW w:w="2547" w:type="dxa"/>
          </w:tcPr>
          <w:p w14:paraId="6D2903E3" w14:textId="77777777" w:rsidR="008C71C0" w:rsidRPr="00F8567E" w:rsidRDefault="008C71C0" w:rsidP="008C71C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6F75AB8A" w:rsidR="008C71C0" w:rsidRPr="00F8567E" w:rsidRDefault="008C71C0" w:rsidP="008C71C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Analytical Review</w:t>
            </w:r>
          </w:p>
        </w:tc>
      </w:tr>
      <w:tr w:rsidR="008C71C0" w:rsidRPr="00F8567E" w14:paraId="6D2903E8" w14:textId="77777777" w:rsidTr="12413FBE">
        <w:tc>
          <w:tcPr>
            <w:tcW w:w="2547" w:type="dxa"/>
          </w:tcPr>
          <w:p w14:paraId="6D2903E6" w14:textId="77777777" w:rsidR="008C71C0" w:rsidRPr="00F8567E" w:rsidRDefault="008C71C0" w:rsidP="008C71C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1042BD74" w:rsidR="008C71C0" w:rsidRPr="00F8567E" w:rsidRDefault="008C71C0" w:rsidP="008C71C0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Alison McLennan, Assistant Director of Finance </w:t>
            </w:r>
          </w:p>
        </w:tc>
      </w:tr>
      <w:tr w:rsidR="008C71C0" w:rsidRPr="00F8567E" w14:paraId="6D2903EB" w14:textId="77777777" w:rsidTr="12413FBE">
        <w:tc>
          <w:tcPr>
            <w:tcW w:w="2547" w:type="dxa"/>
          </w:tcPr>
          <w:p w14:paraId="6D2903E9" w14:textId="77777777" w:rsidR="008C71C0" w:rsidRPr="00F8567E" w:rsidRDefault="008C71C0" w:rsidP="008C71C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2E64C190" w:rsidR="008C71C0" w:rsidRPr="00F8567E" w:rsidRDefault="008C71C0" w:rsidP="008C71C0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Claire Osmundsen-Little, Interim Director of Finance</w:t>
            </w:r>
          </w:p>
        </w:tc>
      </w:tr>
      <w:tr w:rsidR="008C2CE0" w:rsidRPr="00F8567E" w14:paraId="6D2903EE" w14:textId="77777777" w:rsidTr="12413FBE">
        <w:tc>
          <w:tcPr>
            <w:tcW w:w="2547" w:type="dxa"/>
          </w:tcPr>
          <w:p w14:paraId="6D2903EC" w14:textId="77777777" w:rsidR="008C2CE0" w:rsidRPr="00F8567E" w:rsidRDefault="008C2CE0" w:rsidP="008C2CE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408B1E2D" w:rsidR="008C2CE0" w:rsidRPr="00F8567E" w:rsidRDefault="008C2CE0" w:rsidP="008C2CE0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Alison McLennan, Assistant Director of Finance </w:t>
            </w:r>
          </w:p>
        </w:tc>
      </w:tr>
      <w:tr w:rsidR="008C2CE0" w:rsidRPr="00F8567E" w14:paraId="6D2903F1" w14:textId="77777777" w:rsidTr="12413FBE">
        <w:tc>
          <w:tcPr>
            <w:tcW w:w="2547" w:type="dxa"/>
          </w:tcPr>
          <w:p w14:paraId="6D2903EF" w14:textId="77777777" w:rsidR="008C2CE0" w:rsidRPr="00F8567E" w:rsidRDefault="008C2CE0" w:rsidP="008C2CE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277657D1" w:rsidR="008C2CE0" w:rsidRPr="00F8567E" w:rsidRDefault="00393AE3" w:rsidP="008C2CE0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525166" w:rsidRPr="00F8567E" w14:paraId="6D2903F8" w14:textId="77777777" w:rsidTr="12413FBE">
        <w:tc>
          <w:tcPr>
            <w:tcW w:w="2547" w:type="dxa"/>
          </w:tcPr>
          <w:p w14:paraId="6D2903F2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13B26198" w14:textId="020B2EFC" w:rsidR="00525166" w:rsidRPr="00D00A24" w:rsidRDefault="00525166" w:rsidP="00525166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To provide the Audit Committee with an analytical review of the draft annual accounts for 202</w:t>
            </w: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D00A24">
              <w:rPr>
                <w:rFonts w:ascii="Verdana" w:hAnsi="Verdana" w:cs="Arial"/>
                <w:sz w:val="24"/>
                <w:szCs w:val="24"/>
              </w:rPr>
              <w:t>/2</w:t>
            </w:r>
            <w:r>
              <w:rPr>
                <w:rFonts w:ascii="Verdana" w:hAnsi="Verdana" w:cs="Arial"/>
                <w:sz w:val="24"/>
                <w:szCs w:val="24"/>
              </w:rPr>
              <w:t>6</w:t>
            </w:r>
            <w:r w:rsidRPr="00D00A24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D2903F7" w14:textId="77777777" w:rsidR="00525166" w:rsidRPr="00F8567E" w:rsidRDefault="00525166" w:rsidP="0052516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25166" w:rsidRPr="00F8567E" w14:paraId="6D290402" w14:textId="77777777" w:rsidTr="12413FBE">
        <w:tc>
          <w:tcPr>
            <w:tcW w:w="2547" w:type="dxa"/>
          </w:tcPr>
          <w:p w14:paraId="6D2903F9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D1A05DE" w14:textId="4925C4C5" w:rsidR="0006506A" w:rsidRPr="00D00A24" w:rsidRDefault="0006506A" w:rsidP="0006506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The report </w:t>
            </w:r>
            <w:r w:rsidR="00B6411E">
              <w:rPr>
                <w:rFonts w:ascii="Verdana" w:hAnsi="Verdana" w:cs="Arial"/>
                <w:sz w:val="24"/>
                <w:szCs w:val="24"/>
              </w:rPr>
              <w:t xml:space="preserve">and Appendix A </w:t>
            </w:r>
            <w:r w:rsidRPr="00D00A24">
              <w:rPr>
                <w:rFonts w:ascii="Verdana" w:hAnsi="Verdana" w:cs="Arial"/>
                <w:sz w:val="24"/>
                <w:szCs w:val="24"/>
              </w:rPr>
              <w:t>provides a summarised position of the draft annual accounts for 202</w:t>
            </w: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D00A24">
              <w:rPr>
                <w:rFonts w:ascii="Verdana" w:hAnsi="Verdana" w:cs="Arial"/>
                <w:sz w:val="24"/>
                <w:szCs w:val="24"/>
              </w:rPr>
              <w:t>/2</w:t>
            </w:r>
            <w:r>
              <w:rPr>
                <w:rFonts w:ascii="Verdana" w:hAnsi="Verdana" w:cs="Arial"/>
                <w:sz w:val="24"/>
                <w:szCs w:val="24"/>
              </w:rPr>
              <w:t>6</w:t>
            </w:r>
            <w:r w:rsidRPr="00D00A24">
              <w:rPr>
                <w:rFonts w:ascii="Verdana" w:hAnsi="Verdana" w:cs="Arial"/>
                <w:sz w:val="24"/>
                <w:szCs w:val="24"/>
              </w:rPr>
              <w:t>, highlighting key statements and a high level analytical review of the main movements between 202</w:t>
            </w: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D00A24">
              <w:rPr>
                <w:rFonts w:ascii="Verdana" w:hAnsi="Verdana" w:cs="Arial"/>
                <w:sz w:val="24"/>
                <w:szCs w:val="24"/>
              </w:rPr>
              <w:t>/2</w:t>
            </w:r>
            <w:r>
              <w:rPr>
                <w:rFonts w:ascii="Verdana" w:hAnsi="Verdana" w:cs="Arial"/>
                <w:sz w:val="24"/>
                <w:szCs w:val="24"/>
              </w:rPr>
              <w:t>6</w:t>
            </w:r>
            <w:r w:rsidRPr="00D00A24">
              <w:rPr>
                <w:rFonts w:ascii="Verdana" w:hAnsi="Verdana" w:cs="Arial"/>
                <w:sz w:val="24"/>
                <w:szCs w:val="24"/>
              </w:rPr>
              <w:t>, and 202</w:t>
            </w:r>
            <w:r>
              <w:rPr>
                <w:rFonts w:ascii="Verdana" w:hAnsi="Verdana" w:cs="Arial"/>
                <w:sz w:val="24"/>
                <w:szCs w:val="24"/>
              </w:rPr>
              <w:t>4</w:t>
            </w:r>
            <w:r w:rsidRPr="00D00A24">
              <w:rPr>
                <w:rFonts w:ascii="Verdana" w:hAnsi="Verdana" w:cs="Arial"/>
                <w:sz w:val="24"/>
                <w:szCs w:val="24"/>
              </w:rPr>
              <w:t>/2</w:t>
            </w: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D00A24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3A5FC010" w14:textId="77777777" w:rsidR="0006506A" w:rsidRPr="00D00A24" w:rsidRDefault="0006506A" w:rsidP="0006506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D290400" w14:textId="0F786F5F" w:rsidR="00525166" w:rsidRPr="00F8567E" w:rsidRDefault="0006506A" w:rsidP="0006506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A more detailed analytical review of the draft accounts has also been provided to Audit Wales as part of their accounts audit. </w:t>
            </w:r>
          </w:p>
          <w:p w14:paraId="6D290401" w14:textId="77777777" w:rsidR="00525166" w:rsidRPr="00F8567E" w:rsidRDefault="00525166" w:rsidP="0052516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25166" w:rsidRPr="00F8567E" w14:paraId="6D290409" w14:textId="77777777" w:rsidTr="12413FBE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525166" w:rsidRPr="00F8567E" w:rsidRDefault="00525166" w:rsidP="00525166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525166" w:rsidRPr="00F8567E" w14:paraId="6D29040F" w14:textId="77777777" w:rsidTr="12413FBE">
        <w:trPr>
          <w:trHeight w:val="96"/>
        </w:trPr>
        <w:tc>
          <w:tcPr>
            <w:tcW w:w="2547" w:type="dxa"/>
            <w:vMerge/>
          </w:tcPr>
          <w:p w14:paraId="6D29040A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525166" w:rsidRPr="00F8567E" w:rsidRDefault="00525166" w:rsidP="00525166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344A294C" w:rsidR="00525166" w:rsidRPr="00F8567E" w:rsidRDefault="00EC5CE6" w:rsidP="00525166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3B450C0D" w:rsidR="00525166" w:rsidRPr="00F8567E" w:rsidRDefault="00EC5CE6" w:rsidP="00525166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525166" w:rsidRPr="00F8567E" w:rsidRDefault="00525166" w:rsidP="00525166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525166" w:rsidRPr="00F8567E" w14:paraId="6D290418" w14:textId="77777777" w:rsidTr="12413FBE">
        <w:tc>
          <w:tcPr>
            <w:tcW w:w="2547" w:type="dxa"/>
          </w:tcPr>
          <w:p w14:paraId="6D290410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525166" w:rsidRPr="00F8567E" w:rsidRDefault="00525166" w:rsidP="00525166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2476215" w14:textId="77777777" w:rsidR="006E2413" w:rsidRPr="00D00A24" w:rsidRDefault="006E2413" w:rsidP="006E2413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6D290417" w14:textId="64C40DAE" w:rsidR="00525166" w:rsidRPr="00F8567E" w:rsidRDefault="006E2413" w:rsidP="006E2413">
            <w:pPr>
              <w:ind w:right="96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RECEIVE</w:t>
            </w:r>
            <w:r w:rsidRPr="00D00A2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Pr="00D00A24">
              <w:rPr>
                <w:rFonts w:ascii="Verdana" w:hAnsi="Verdana" w:cs="Arial"/>
                <w:bCs/>
                <w:sz w:val="24"/>
                <w:szCs w:val="24"/>
              </w:rPr>
              <w:t>and</w:t>
            </w:r>
            <w:r w:rsidRPr="00D00A24">
              <w:rPr>
                <w:rFonts w:ascii="Verdana" w:hAnsi="Verdana" w:cs="Arial"/>
                <w:b/>
                <w:sz w:val="24"/>
                <w:szCs w:val="24"/>
              </w:rPr>
              <w:t xml:space="preserve"> DISCUSS</w:t>
            </w:r>
            <w:r w:rsidRPr="00D00A24">
              <w:rPr>
                <w:rFonts w:ascii="Verdana" w:hAnsi="Verdana" w:cs="Arial"/>
                <w:sz w:val="24"/>
                <w:szCs w:val="24"/>
              </w:rPr>
              <w:t xml:space="preserve"> the Analytical Review for 202</w:t>
            </w: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D00A24">
              <w:rPr>
                <w:rFonts w:ascii="Verdana" w:hAnsi="Verdana" w:cs="Arial"/>
                <w:sz w:val="24"/>
                <w:szCs w:val="24"/>
              </w:rPr>
              <w:t>/2</w:t>
            </w:r>
            <w:r>
              <w:rPr>
                <w:rFonts w:ascii="Verdana" w:hAnsi="Verdana" w:cs="Arial"/>
                <w:sz w:val="24"/>
                <w:szCs w:val="24"/>
              </w:rPr>
              <w:t>6</w:t>
            </w:r>
            <w:r w:rsidRPr="00D00A24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</w:tbl>
    <w:p w14:paraId="6D290419" w14:textId="77777777" w:rsidR="0020539A" w:rsidRPr="00F8567E" w:rsidRDefault="0020539A">
      <w:pPr>
        <w:rPr>
          <w:rFonts w:ascii="Verdana" w:hAnsi="Verdana"/>
          <w:sz w:val="24"/>
          <w:szCs w:val="24"/>
        </w:rPr>
      </w:pPr>
    </w:p>
    <w:p w14:paraId="6D29041A" w14:textId="70C52931" w:rsidR="00653AEC" w:rsidRPr="00F8567E" w:rsidRDefault="0020539A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/>
          <w:sz w:val="24"/>
          <w:szCs w:val="24"/>
        </w:rPr>
        <w:br w:type="page"/>
      </w:r>
      <w:r w:rsidR="00BE5748">
        <w:rPr>
          <w:rFonts w:ascii="Verdana" w:hAnsi="Verdana" w:cs="Arial"/>
          <w:b/>
          <w:sz w:val="24"/>
          <w:szCs w:val="24"/>
        </w:rPr>
        <w:lastRenderedPageBreak/>
        <w:t>ANALYTICAL REVIEW</w:t>
      </w:r>
    </w:p>
    <w:p w14:paraId="6D29041B" w14:textId="77777777" w:rsidR="00653AEC" w:rsidRPr="00F8567E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F8567E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INTRODUCTION</w:t>
      </w:r>
    </w:p>
    <w:p w14:paraId="6D29041E" w14:textId="7CD8CDD7" w:rsidR="00653AEC" w:rsidRPr="00BE5748" w:rsidRDefault="00BE5748" w:rsidP="00BE5748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BE5748">
        <w:rPr>
          <w:rFonts w:ascii="Verdana" w:hAnsi="Verdana" w:cs="Arial"/>
          <w:bCs/>
          <w:sz w:val="24"/>
          <w:szCs w:val="24"/>
        </w:rPr>
        <w:t>The report and slide deck at Ap</w:t>
      </w:r>
      <w:r>
        <w:rPr>
          <w:rFonts w:ascii="Verdana" w:hAnsi="Verdana" w:cs="Arial"/>
          <w:bCs/>
          <w:sz w:val="24"/>
          <w:szCs w:val="24"/>
        </w:rPr>
        <w:t>p</w:t>
      </w:r>
      <w:r w:rsidRPr="00BE5748">
        <w:rPr>
          <w:rFonts w:ascii="Verdana" w:hAnsi="Verdana" w:cs="Arial"/>
          <w:bCs/>
          <w:sz w:val="24"/>
          <w:szCs w:val="24"/>
        </w:rPr>
        <w:t>endix A provides the Audit Committee with an analytical review of the draft accounts for 2025/26.</w:t>
      </w:r>
    </w:p>
    <w:p w14:paraId="760D71EF" w14:textId="77777777" w:rsidR="00BE5748" w:rsidRPr="00BE5748" w:rsidRDefault="00BE5748" w:rsidP="00BE5748">
      <w:pPr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F8567E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BACKGROUND</w:t>
      </w:r>
    </w:p>
    <w:p w14:paraId="6D290420" w14:textId="0039EF5D" w:rsidR="00653AEC" w:rsidRDefault="00BE5748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report prov</w:t>
      </w:r>
      <w:r w:rsidR="00727802">
        <w:rPr>
          <w:rFonts w:ascii="Verdana" w:hAnsi="Verdana" w:cs="Arial"/>
          <w:sz w:val="24"/>
          <w:szCs w:val="24"/>
        </w:rPr>
        <w:t>ides an overview of the</w:t>
      </w:r>
      <w:r w:rsidR="00035076">
        <w:rPr>
          <w:rFonts w:ascii="Verdana" w:hAnsi="Verdana" w:cs="Arial"/>
          <w:sz w:val="24"/>
          <w:szCs w:val="24"/>
        </w:rPr>
        <w:t xml:space="preserve"> performance against financial targets for the H</w:t>
      </w:r>
      <w:r w:rsidR="00391326">
        <w:rPr>
          <w:rFonts w:ascii="Verdana" w:hAnsi="Verdana" w:cs="Arial"/>
          <w:sz w:val="24"/>
          <w:szCs w:val="24"/>
        </w:rPr>
        <w:t xml:space="preserve">ealth Board, </w:t>
      </w:r>
      <w:r w:rsidR="00182A48">
        <w:rPr>
          <w:rFonts w:ascii="Verdana" w:hAnsi="Verdana" w:cs="Arial"/>
          <w:sz w:val="24"/>
          <w:szCs w:val="24"/>
        </w:rPr>
        <w:t>an analytical review of comprehensive net expenditure across</w:t>
      </w:r>
      <w:r w:rsidR="005B4E4F">
        <w:rPr>
          <w:rFonts w:ascii="Verdana" w:hAnsi="Verdana" w:cs="Arial"/>
          <w:sz w:val="24"/>
          <w:szCs w:val="24"/>
        </w:rPr>
        <w:t>:</w:t>
      </w:r>
    </w:p>
    <w:p w14:paraId="29E61109" w14:textId="1184083A" w:rsidR="005B4E4F" w:rsidRDefault="005B4E4F" w:rsidP="005B4E4F">
      <w:pPr>
        <w:pStyle w:val="ListParagraph"/>
        <w:numPr>
          <w:ilvl w:val="0"/>
          <w:numId w:val="11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5B4E4F">
        <w:rPr>
          <w:rFonts w:ascii="Verdana" w:hAnsi="Verdana" w:cs="Arial"/>
          <w:bCs/>
          <w:sz w:val="24"/>
          <w:szCs w:val="24"/>
        </w:rPr>
        <w:t>Primary Healthcare Services</w:t>
      </w:r>
    </w:p>
    <w:p w14:paraId="7BB73D51" w14:textId="67660224" w:rsidR="005B4E4F" w:rsidRDefault="006F4A30" w:rsidP="005B4E4F">
      <w:pPr>
        <w:pStyle w:val="ListParagraph"/>
        <w:numPr>
          <w:ilvl w:val="0"/>
          <w:numId w:val="11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Healthcare from Other Providers</w:t>
      </w:r>
    </w:p>
    <w:p w14:paraId="26397725" w14:textId="0444097E" w:rsidR="006F4A30" w:rsidRDefault="006F4A30" w:rsidP="005B4E4F">
      <w:pPr>
        <w:pStyle w:val="ListParagraph"/>
        <w:numPr>
          <w:ilvl w:val="0"/>
          <w:numId w:val="11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Hospital and Community Health Services</w:t>
      </w:r>
    </w:p>
    <w:p w14:paraId="3ADED073" w14:textId="4B3C8D6E" w:rsidR="006F4A30" w:rsidRDefault="00DC7CED" w:rsidP="005B4E4F">
      <w:pPr>
        <w:pStyle w:val="ListParagraph"/>
        <w:numPr>
          <w:ilvl w:val="0"/>
          <w:numId w:val="11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Miscellaneous Income</w:t>
      </w:r>
    </w:p>
    <w:p w14:paraId="477452E6" w14:textId="77777777" w:rsidR="00DC7CED" w:rsidRDefault="00DC7CED" w:rsidP="00DC7CED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2A8536E7" w14:textId="4F595538" w:rsidR="00DC7CED" w:rsidRDefault="00DC7CED" w:rsidP="00DC7CED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report </w:t>
      </w:r>
      <w:r w:rsidR="00F572D8">
        <w:rPr>
          <w:rFonts w:ascii="Verdana" w:hAnsi="Verdana" w:cs="Arial"/>
          <w:bCs/>
          <w:sz w:val="24"/>
          <w:szCs w:val="24"/>
        </w:rPr>
        <w:t>provide</w:t>
      </w:r>
      <w:r w:rsidR="00FD2D97">
        <w:rPr>
          <w:rFonts w:ascii="Verdana" w:hAnsi="Verdana" w:cs="Arial"/>
          <w:bCs/>
          <w:sz w:val="24"/>
          <w:szCs w:val="24"/>
        </w:rPr>
        <w:t>s</w:t>
      </w:r>
      <w:r w:rsidR="00F572D8">
        <w:rPr>
          <w:rFonts w:ascii="Verdana" w:hAnsi="Verdana" w:cs="Arial"/>
          <w:bCs/>
          <w:sz w:val="24"/>
          <w:szCs w:val="24"/>
        </w:rPr>
        <w:t xml:space="preserve"> an analysis of Staffing</w:t>
      </w:r>
      <w:r w:rsidR="005527CC">
        <w:rPr>
          <w:rFonts w:ascii="Verdana" w:hAnsi="Verdana" w:cs="Arial"/>
          <w:bCs/>
          <w:sz w:val="24"/>
          <w:szCs w:val="24"/>
        </w:rPr>
        <w:t xml:space="preserve"> </w:t>
      </w:r>
      <w:r w:rsidR="00FD2D97">
        <w:rPr>
          <w:rFonts w:ascii="Verdana" w:hAnsi="Verdana" w:cs="Arial"/>
          <w:bCs/>
          <w:sz w:val="24"/>
          <w:szCs w:val="24"/>
        </w:rPr>
        <w:t xml:space="preserve">Whole time equivalents by category of staff, and an analytical review </w:t>
      </w:r>
      <w:r w:rsidR="00186EA4">
        <w:rPr>
          <w:rFonts w:ascii="Verdana" w:hAnsi="Verdana" w:cs="Arial"/>
          <w:bCs/>
          <w:sz w:val="24"/>
          <w:szCs w:val="24"/>
        </w:rPr>
        <w:t xml:space="preserve">of the Statement of </w:t>
      </w:r>
      <w:r w:rsidR="007B1F79">
        <w:rPr>
          <w:rFonts w:ascii="Verdana" w:hAnsi="Verdana" w:cs="Arial"/>
          <w:bCs/>
          <w:sz w:val="24"/>
          <w:szCs w:val="24"/>
        </w:rPr>
        <w:t>Financial Position (Balance sheet) across:</w:t>
      </w:r>
    </w:p>
    <w:p w14:paraId="45D704C8" w14:textId="724F5C54" w:rsidR="007B1F79" w:rsidRDefault="005C54DE" w:rsidP="007B1F79">
      <w:pPr>
        <w:pStyle w:val="ListParagraph"/>
        <w:numPr>
          <w:ilvl w:val="0"/>
          <w:numId w:val="12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Receivables, Payables and Provisions</w:t>
      </w:r>
    </w:p>
    <w:p w14:paraId="3B63399F" w14:textId="513AE03D" w:rsidR="005C54DE" w:rsidRPr="007B1F79" w:rsidRDefault="005C54DE" w:rsidP="007B1F79">
      <w:pPr>
        <w:pStyle w:val="ListParagraph"/>
        <w:numPr>
          <w:ilvl w:val="0"/>
          <w:numId w:val="12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Taxpayers Equity</w:t>
      </w:r>
    </w:p>
    <w:p w14:paraId="6D290421" w14:textId="77777777" w:rsidR="00653AEC" w:rsidRPr="005B4E4F" w:rsidRDefault="00653AEC" w:rsidP="00653AEC">
      <w:pPr>
        <w:pStyle w:val="ListParagraph"/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6D290422" w14:textId="77777777" w:rsidR="00653AEC" w:rsidRPr="00F8567E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GOVERNANCE AND RISK ISSUES</w:t>
      </w:r>
    </w:p>
    <w:p w14:paraId="6D290425" w14:textId="61D73B8F" w:rsidR="00653AEC" w:rsidRPr="00377437" w:rsidRDefault="00377437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There are no governance or risk issues </w:t>
      </w:r>
      <w:r w:rsidR="00C3542F">
        <w:rPr>
          <w:rFonts w:ascii="Verdana" w:hAnsi="Verdana" w:cs="Arial"/>
          <w:sz w:val="24"/>
          <w:szCs w:val="24"/>
        </w:rPr>
        <w:t xml:space="preserve">associated with this report. </w:t>
      </w:r>
    </w:p>
    <w:p w14:paraId="6D290426" w14:textId="77777777" w:rsidR="00653AEC" w:rsidRPr="00F8567E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7" w14:textId="77777777" w:rsidR="00653AEC" w:rsidRPr="00F8567E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6D290428" w14:textId="69DF54F3" w:rsidR="00653AEC" w:rsidRPr="00C3542F" w:rsidRDefault="00C3542F" w:rsidP="00653AEC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There are no direct financial implications associated with this report.</w:t>
      </w:r>
    </w:p>
    <w:p w14:paraId="6D290429" w14:textId="77777777" w:rsidR="00653AEC" w:rsidRPr="00F8567E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F8567E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RECOMMENDATION</w:t>
      </w:r>
    </w:p>
    <w:p w14:paraId="6D29042C" w14:textId="77777777" w:rsidR="00C33A04" w:rsidRPr="00F8567E" w:rsidRDefault="00C33A04" w:rsidP="00C3542F">
      <w:pPr>
        <w:spacing w:after="0" w:line="240" w:lineRule="auto"/>
        <w:rPr>
          <w:rFonts w:ascii="Verdana" w:hAnsi="Verdana"/>
          <w:sz w:val="24"/>
          <w:szCs w:val="24"/>
        </w:rPr>
      </w:pPr>
    </w:p>
    <w:p w14:paraId="17614F06" w14:textId="77777777" w:rsidR="00C3542F" w:rsidRPr="00D00A24" w:rsidRDefault="00C3542F" w:rsidP="00C3542F">
      <w:pPr>
        <w:ind w:right="96"/>
        <w:rPr>
          <w:rFonts w:ascii="Verdana" w:hAnsi="Verdana" w:cs="Arial"/>
          <w:sz w:val="24"/>
          <w:szCs w:val="24"/>
        </w:rPr>
      </w:pPr>
      <w:r w:rsidRPr="00D00A24">
        <w:rPr>
          <w:rFonts w:ascii="Verdana" w:hAnsi="Verdana" w:cs="Arial"/>
          <w:sz w:val="24"/>
          <w:szCs w:val="24"/>
        </w:rPr>
        <w:t>Members are asked to:</w:t>
      </w:r>
    </w:p>
    <w:p w14:paraId="6D29042D" w14:textId="0B2144F1" w:rsidR="00C33A04" w:rsidRPr="00F8567E" w:rsidRDefault="00C3542F" w:rsidP="00C3542F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RECEIVE</w:t>
      </w:r>
      <w:r w:rsidRPr="00D00A24">
        <w:rPr>
          <w:rFonts w:ascii="Verdana" w:hAnsi="Verdana" w:cs="Arial"/>
          <w:b/>
          <w:sz w:val="24"/>
          <w:szCs w:val="24"/>
        </w:rPr>
        <w:t xml:space="preserve"> </w:t>
      </w:r>
      <w:r w:rsidRPr="00D00A24">
        <w:rPr>
          <w:rFonts w:ascii="Verdana" w:hAnsi="Verdana" w:cs="Arial"/>
          <w:bCs/>
          <w:sz w:val="24"/>
          <w:szCs w:val="24"/>
        </w:rPr>
        <w:t>and</w:t>
      </w:r>
      <w:r w:rsidRPr="00D00A24">
        <w:rPr>
          <w:rFonts w:ascii="Verdana" w:hAnsi="Verdana" w:cs="Arial"/>
          <w:b/>
          <w:sz w:val="24"/>
          <w:szCs w:val="24"/>
        </w:rPr>
        <w:t xml:space="preserve"> DISCUSS</w:t>
      </w:r>
      <w:r w:rsidRPr="00D00A24">
        <w:rPr>
          <w:rFonts w:ascii="Verdana" w:hAnsi="Verdana" w:cs="Arial"/>
          <w:sz w:val="24"/>
          <w:szCs w:val="24"/>
        </w:rPr>
        <w:t xml:space="preserve"> the Analytical Review for 202</w:t>
      </w:r>
      <w:r>
        <w:rPr>
          <w:rFonts w:ascii="Verdana" w:hAnsi="Verdana" w:cs="Arial"/>
          <w:sz w:val="24"/>
          <w:szCs w:val="24"/>
        </w:rPr>
        <w:t>5</w:t>
      </w:r>
      <w:r w:rsidRPr="00D00A24">
        <w:rPr>
          <w:rFonts w:ascii="Verdana" w:hAnsi="Verdana" w:cs="Arial"/>
          <w:sz w:val="24"/>
          <w:szCs w:val="24"/>
        </w:rPr>
        <w:t>/2</w:t>
      </w:r>
      <w:r>
        <w:rPr>
          <w:rFonts w:ascii="Verdana" w:hAnsi="Verdana" w:cs="Arial"/>
          <w:sz w:val="24"/>
          <w:szCs w:val="24"/>
        </w:rPr>
        <w:t>6</w:t>
      </w:r>
      <w:r w:rsidRPr="00D00A24">
        <w:rPr>
          <w:rFonts w:ascii="Verdana" w:hAnsi="Verdana" w:cs="Arial"/>
          <w:sz w:val="24"/>
          <w:szCs w:val="24"/>
        </w:rPr>
        <w:t>.</w:t>
      </w:r>
    </w:p>
    <w:p w14:paraId="6D29042E" w14:textId="77777777" w:rsidR="00762BBE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2F" w14:textId="77777777" w:rsidR="00762BBE" w:rsidRPr="00F8567E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30" w14:textId="28FBE2CF" w:rsidR="00FE7070" w:rsidRDefault="00FE7070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F8567E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5" w14:textId="704162EF" w:rsidR="00034194" w:rsidRPr="001F2857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</w:tc>
      </w:tr>
      <w:tr w:rsidR="00F5324A" w:rsidRPr="00F8567E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F8567E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8567E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F8567E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F8567E" w:rsidRDefault="00F57042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8567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8567E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8567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F8567E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F8567E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F8567E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0D33CFDC" w:rsidR="00F5324A" w:rsidRPr="00F8567E" w:rsidRDefault="00443E3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F8567E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F8567E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8567E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4FB58AD0" w:rsidR="00F5324A" w:rsidRPr="00F8567E" w:rsidRDefault="00443E35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175FD3C8" w:rsidR="00F5324A" w:rsidRPr="00F8567E" w:rsidRDefault="00443E3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53ED75BC" w:rsidR="00F5324A" w:rsidRPr="00F8567E" w:rsidRDefault="00443E3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107B3235" w:rsidR="00F5324A" w:rsidRPr="00F8567E" w:rsidRDefault="00443E3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36B875AE" w:rsidR="00F5324A" w:rsidRPr="00F8567E" w:rsidRDefault="00443E3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303F52C4" w:rsidR="00F5324A" w:rsidRPr="00F8567E" w:rsidRDefault="00443E3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0B1A05D2" w:rsidR="00F5324A" w:rsidRPr="00F8567E" w:rsidRDefault="00443E3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F8567E" w14:paraId="6D290480" w14:textId="77777777" w:rsidTr="00C95B3C">
        <w:tc>
          <w:tcPr>
            <w:tcW w:w="9245" w:type="dxa"/>
            <w:gridSpan w:val="4"/>
          </w:tcPr>
          <w:p w14:paraId="6D3A19E6" w14:textId="77777777" w:rsidR="00FC013B" w:rsidRPr="00D00A24" w:rsidRDefault="00FC013B" w:rsidP="00FC013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There are no direct quality, safety and patient experience issues associated with this report.</w:t>
            </w:r>
          </w:p>
          <w:p w14:paraId="6D29047F" w14:textId="77777777" w:rsidR="00F5324A" w:rsidRPr="00F8567E" w:rsidRDefault="00F5324A" w:rsidP="00443E35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F5324A" w:rsidRPr="00F8567E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F8567E" w14:paraId="6D290487" w14:textId="77777777" w:rsidTr="00C95B3C">
        <w:tc>
          <w:tcPr>
            <w:tcW w:w="9245" w:type="dxa"/>
            <w:gridSpan w:val="4"/>
          </w:tcPr>
          <w:p w14:paraId="24C04C9C" w14:textId="77777777" w:rsidR="00F5324A" w:rsidRDefault="00930C97" w:rsidP="00FC013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There are no direct financial implications associated with this report.</w:t>
            </w:r>
          </w:p>
          <w:p w14:paraId="6D290486" w14:textId="6B970AB7" w:rsidR="00D3555E" w:rsidRPr="00D50DFD" w:rsidRDefault="00D3555E" w:rsidP="00FC013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F8567E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F8567E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F8567E" w14:paraId="6D29048C" w14:textId="77777777" w:rsidTr="00C95B3C">
        <w:tc>
          <w:tcPr>
            <w:tcW w:w="9245" w:type="dxa"/>
            <w:gridSpan w:val="4"/>
          </w:tcPr>
          <w:p w14:paraId="278DCD32" w14:textId="77777777" w:rsidR="00D3555E" w:rsidRDefault="00D50DFD" w:rsidP="0015379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There are no direct legal implications associated with this report.  </w:t>
            </w:r>
          </w:p>
          <w:p w14:paraId="6D29048B" w14:textId="7B091C40" w:rsidR="00F5324A" w:rsidRPr="00D50DFD" w:rsidRDefault="00D50DFD" w:rsidP="0015379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  </w:t>
            </w:r>
          </w:p>
        </w:tc>
      </w:tr>
      <w:tr w:rsidR="00F5324A" w:rsidRPr="00F8567E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F8567E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F8567E" w14:paraId="6D290491" w14:textId="77777777" w:rsidTr="00C95B3C">
        <w:tc>
          <w:tcPr>
            <w:tcW w:w="9245" w:type="dxa"/>
            <w:gridSpan w:val="4"/>
          </w:tcPr>
          <w:p w14:paraId="27B3AD7B" w14:textId="3313008E" w:rsidR="00F5324A" w:rsidRDefault="00D3555E" w:rsidP="00D50DF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There are no direct staffing implications associated with this report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D290490" w14:textId="3F4E0AB8" w:rsidR="00D3555E" w:rsidRPr="00F8567E" w:rsidRDefault="00D3555E" w:rsidP="00D50DFD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F8567E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F8567E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F8567E" w14:paraId="6D290496" w14:textId="77777777" w:rsidTr="00C95B3C">
        <w:tc>
          <w:tcPr>
            <w:tcW w:w="9245" w:type="dxa"/>
            <w:gridSpan w:val="4"/>
          </w:tcPr>
          <w:p w14:paraId="6D290495" w14:textId="44B9FABB" w:rsidR="00F5324A" w:rsidRPr="00D3555E" w:rsidRDefault="00D3555E" w:rsidP="00D3555E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There are no long term implications associated with this report.</w:t>
            </w:r>
          </w:p>
        </w:tc>
      </w:tr>
      <w:tr w:rsidR="00653AEC" w:rsidRPr="00F8567E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18658518" w14:textId="4C2D9E33" w:rsidR="00497F09" w:rsidRPr="00D00A24" w:rsidRDefault="00497F09" w:rsidP="00497F0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This is an annual report to the Audit Committee. The previous report was presented to Audit Committee in May 202</w:t>
            </w: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D00A24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D290499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53AEC" w:rsidRPr="00F8567E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lastRenderedPageBreak/>
              <w:t>Appendices</w:t>
            </w:r>
          </w:p>
        </w:tc>
        <w:tc>
          <w:tcPr>
            <w:tcW w:w="6775" w:type="dxa"/>
            <w:gridSpan w:val="2"/>
          </w:tcPr>
          <w:p w14:paraId="6D29049D" w14:textId="4E0E1C5D" w:rsidR="00653AEC" w:rsidRPr="00F8567E" w:rsidRDefault="0084661E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Appendix A provides an overview of the key draft accounts statements and Analytical review</w:t>
            </w:r>
          </w:p>
          <w:p w14:paraId="6D29049E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6D2904A0" w14:textId="77777777" w:rsidR="00034194" w:rsidRPr="00F8567E" w:rsidRDefault="00034194">
      <w:pPr>
        <w:rPr>
          <w:rFonts w:ascii="Verdana" w:hAnsi="Verdana"/>
          <w:sz w:val="24"/>
          <w:szCs w:val="24"/>
        </w:rPr>
      </w:pPr>
    </w:p>
    <w:sectPr w:rsidR="00034194" w:rsidRPr="00F8567E" w:rsidSect="00FE7070">
      <w:headerReference w:type="default" r:id="rId11"/>
      <w:footerReference w:type="default" r:id="rId12"/>
      <w:pgSz w:w="11906" w:h="16838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D65440" w14:textId="77777777" w:rsidR="005715AD" w:rsidRDefault="005715AD" w:rsidP="00C107F2">
      <w:pPr>
        <w:spacing w:after="0" w:line="240" w:lineRule="auto"/>
      </w:pPr>
      <w:r>
        <w:separator/>
      </w:r>
    </w:p>
  </w:endnote>
  <w:endnote w:type="continuationSeparator" w:id="0">
    <w:p w14:paraId="057799FB" w14:textId="77777777" w:rsidR="005715AD" w:rsidRDefault="005715AD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443046536"/>
      <w:docPartObj>
        <w:docPartGallery w:val="Page Numbers (Bottom of Page)"/>
        <w:docPartUnique/>
      </w:docPartObj>
    </w:sdtPr>
    <w:sdtEndPr/>
    <w:sdtContent>
      <w:p w14:paraId="5219B4C8" w14:textId="3A52102B" w:rsidR="00736718" w:rsidRDefault="00F52272" w:rsidP="0004232B">
        <w:pPr>
          <w:pStyle w:val="Footer"/>
          <w:rPr>
            <w:rFonts w:ascii="Verdana" w:hAnsi="Verdana"/>
            <w:sz w:val="20"/>
            <w:szCs w:val="20"/>
          </w:rPr>
        </w:pPr>
        <w:r>
          <w:rPr>
            <w:noProof/>
          </w:rPr>
          <w:drawing>
            <wp:anchor distT="0" distB="0" distL="114300" distR="114300" simplePos="0" relativeHeight="251659264" behindDoc="0" locked="0" layoutInCell="1" allowOverlap="1" wp14:anchorId="65223FE8" wp14:editId="3840E6C0">
              <wp:simplePos x="0" y="0"/>
              <wp:positionH relativeFrom="column">
                <wp:posOffset>-438150</wp:posOffset>
              </wp:positionH>
              <wp:positionV relativeFrom="paragraph">
                <wp:posOffset>12065</wp:posOffset>
              </wp:positionV>
              <wp:extent cx="2035810" cy="551180"/>
              <wp:effectExtent l="0" t="0" r="0" b="0"/>
              <wp:wrapNone/>
              <wp:docPr id="1955486116" name="Graphic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55486116" name="Graphic 2"/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35810" cy="5511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</w:p>
      <w:p w14:paraId="5EE9C96C" w14:textId="4C1B65B5" w:rsidR="0032747D" w:rsidRPr="00366FDD" w:rsidRDefault="0032747D" w:rsidP="00736718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366FDD">
          <w:rPr>
            <w:rFonts w:ascii="Verdana" w:hAnsi="Verdana"/>
            <w:sz w:val="20"/>
            <w:szCs w:val="20"/>
          </w:rPr>
          <w:fldChar w:fldCharType="begin"/>
        </w:r>
        <w:r w:rsidRPr="00366FDD">
          <w:rPr>
            <w:rFonts w:ascii="Verdana" w:hAnsi="Verdana"/>
            <w:sz w:val="20"/>
            <w:szCs w:val="20"/>
          </w:rPr>
          <w:instrText>PAGE   \* MERGEFORMAT</w:instrText>
        </w:r>
        <w:r w:rsidRPr="00366FDD">
          <w:rPr>
            <w:rFonts w:ascii="Verdana" w:hAnsi="Verdana"/>
            <w:sz w:val="20"/>
            <w:szCs w:val="20"/>
          </w:rPr>
          <w:fldChar w:fldCharType="separate"/>
        </w:r>
        <w:r w:rsidRPr="00366FDD">
          <w:rPr>
            <w:rFonts w:ascii="Verdana" w:hAnsi="Verdana"/>
            <w:sz w:val="20"/>
            <w:szCs w:val="20"/>
          </w:rPr>
          <w:t>2</w:t>
        </w:r>
        <w:r w:rsidRPr="00366FDD">
          <w:rPr>
            <w:rFonts w:ascii="Verdana" w:hAnsi="Verdana"/>
            <w:sz w:val="20"/>
            <w:szCs w:val="20"/>
          </w:rPr>
          <w:fldChar w:fldCharType="end"/>
        </w:r>
        <w:r w:rsidR="005D3DF1" w:rsidRPr="00366FDD">
          <w:rPr>
            <w:rFonts w:ascii="Verdana" w:hAnsi="Verdana"/>
            <w:sz w:val="20"/>
            <w:szCs w:val="20"/>
          </w:rPr>
          <w:t xml:space="preserve"> of 4</w:t>
        </w:r>
      </w:p>
    </w:sdtContent>
  </w:sdt>
  <w:p w14:paraId="6D2904A9" w14:textId="48F94953" w:rsidR="003324CB" w:rsidRPr="00366FDD" w:rsidRDefault="008D4D9F" w:rsidP="002B7C9A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Audit</w:t>
    </w:r>
    <w:r w:rsidR="00366FDD" w:rsidRPr="00366FDD">
      <w:rPr>
        <w:rFonts w:ascii="Verdana" w:hAnsi="Verdana"/>
        <w:sz w:val="20"/>
        <w:szCs w:val="20"/>
      </w:rPr>
      <w:t xml:space="preserve"> </w:t>
    </w:r>
    <w:r w:rsidR="002B7C9A" w:rsidRPr="00366FDD">
      <w:rPr>
        <w:rFonts w:ascii="Verdana" w:hAnsi="Verdana"/>
        <w:sz w:val="20"/>
        <w:szCs w:val="20"/>
      </w:rPr>
      <w:t xml:space="preserve">Committee – </w:t>
    </w:r>
    <w:r>
      <w:rPr>
        <w:rFonts w:ascii="Verdana" w:hAnsi="Verdana"/>
        <w:sz w:val="20"/>
        <w:szCs w:val="20"/>
      </w:rPr>
      <w:t>21</w:t>
    </w:r>
    <w:r w:rsidRPr="008D4D9F">
      <w:rPr>
        <w:rFonts w:ascii="Verdana" w:hAnsi="Verdana"/>
        <w:sz w:val="20"/>
        <w:szCs w:val="20"/>
        <w:vertAlign w:val="superscript"/>
      </w:rPr>
      <w:t>st</w:t>
    </w:r>
    <w:r>
      <w:rPr>
        <w:rFonts w:ascii="Verdana" w:hAnsi="Verdana"/>
        <w:sz w:val="20"/>
        <w:szCs w:val="20"/>
      </w:rPr>
      <w:t xml:space="preserve"> Ma</w:t>
    </w:r>
    <w:r w:rsidR="005D3DF1" w:rsidRPr="00366FDD">
      <w:rPr>
        <w:rFonts w:ascii="Verdana" w:hAnsi="Verdana"/>
        <w:sz w:val="20"/>
        <w:szCs w:val="20"/>
      </w:rPr>
      <w:t>y 202</w:t>
    </w:r>
    <w:r>
      <w:rPr>
        <w:rFonts w:ascii="Verdana" w:hAnsi="Verdana"/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56D17A" w14:textId="77777777" w:rsidR="005715AD" w:rsidRDefault="005715AD" w:rsidP="00C107F2">
      <w:pPr>
        <w:spacing w:after="0" w:line="240" w:lineRule="auto"/>
      </w:pPr>
      <w:r>
        <w:separator/>
      </w:r>
    </w:p>
  </w:footnote>
  <w:footnote w:type="continuationSeparator" w:id="0">
    <w:p w14:paraId="444750AE" w14:textId="77777777" w:rsidR="005715AD" w:rsidRDefault="005715AD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F27BC5"/>
    <w:multiLevelType w:val="hybridMultilevel"/>
    <w:tmpl w:val="05D073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4856EF1"/>
    <w:multiLevelType w:val="hybridMultilevel"/>
    <w:tmpl w:val="B45810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704521321">
    <w:abstractNumId w:val="0"/>
  </w:num>
  <w:num w:numId="2" w16cid:durableId="1731493387">
    <w:abstractNumId w:val="6"/>
  </w:num>
  <w:num w:numId="3" w16cid:durableId="358313792">
    <w:abstractNumId w:val="5"/>
  </w:num>
  <w:num w:numId="4" w16cid:durableId="1144618638">
    <w:abstractNumId w:val="3"/>
  </w:num>
  <w:num w:numId="5" w16cid:durableId="211239042">
    <w:abstractNumId w:val="2"/>
  </w:num>
  <w:num w:numId="6" w16cid:durableId="1874800944">
    <w:abstractNumId w:val="10"/>
  </w:num>
  <w:num w:numId="7" w16cid:durableId="263198079">
    <w:abstractNumId w:val="11"/>
  </w:num>
  <w:num w:numId="8" w16cid:durableId="1535070366">
    <w:abstractNumId w:val="7"/>
  </w:num>
  <w:num w:numId="9" w16cid:durableId="1823614381">
    <w:abstractNumId w:val="8"/>
  </w:num>
  <w:num w:numId="10" w16cid:durableId="875429971">
    <w:abstractNumId w:val="9"/>
  </w:num>
  <w:num w:numId="11" w16cid:durableId="1217014534">
    <w:abstractNumId w:val="4"/>
  </w:num>
  <w:num w:numId="12" w16cid:durableId="15849538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35076"/>
    <w:rsid w:val="0004232B"/>
    <w:rsid w:val="00054F8C"/>
    <w:rsid w:val="0006506A"/>
    <w:rsid w:val="00083FC0"/>
    <w:rsid w:val="000F361B"/>
    <w:rsid w:val="000F4F51"/>
    <w:rsid w:val="00133EA1"/>
    <w:rsid w:val="00153790"/>
    <w:rsid w:val="0016096B"/>
    <w:rsid w:val="00182A48"/>
    <w:rsid w:val="00186EA4"/>
    <w:rsid w:val="001F2857"/>
    <w:rsid w:val="0020539A"/>
    <w:rsid w:val="00233330"/>
    <w:rsid w:val="002407C4"/>
    <w:rsid w:val="00241662"/>
    <w:rsid w:val="002518B7"/>
    <w:rsid w:val="002615E4"/>
    <w:rsid w:val="00272BD5"/>
    <w:rsid w:val="002950FF"/>
    <w:rsid w:val="00296CD9"/>
    <w:rsid w:val="002B7C9A"/>
    <w:rsid w:val="002C3DD6"/>
    <w:rsid w:val="0030739E"/>
    <w:rsid w:val="0032747D"/>
    <w:rsid w:val="003324CB"/>
    <w:rsid w:val="00366FDD"/>
    <w:rsid w:val="00377437"/>
    <w:rsid w:val="00391326"/>
    <w:rsid w:val="00393AE3"/>
    <w:rsid w:val="003B31B1"/>
    <w:rsid w:val="003C0FF8"/>
    <w:rsid w:val="00414894"/>
    <w:rsid w:val="00421140"/>
    <w:rsid w:val="00443E35"/>
    <w:rsid w:val="00461835"/>
    <w:rsid w:val="004671D2"/>
    <w:rsid w:val="00497F09"/>
    <w:rsid w:val="0052297E"/>
    <w:rsid w:val="00525166"/>
    <w:rsid w:val="005527CC"/>
    <w:rsid w:val="005715AD"/>
    <w:rsid w:val="00574BCF"/>
    <w:rsid w:val="00576395"/>
    <w:rsid w:val="00585277"/>
    <w:rsid w:val="005B4E4F"/>
    <w:rsid w:val="005C54DE"/>
    <w:rsid w:val="005D1652"/>
    <w:rsid w:val="005D2C4A"/>
    <w:rsid w:val="005D3DF1"/>
    <w:rsid w:val="005D5AFA"/>
    <w:rsid w:val="006201D0"/>
    <w:rsid w:val="00653AEC"/>
    <w:rsid w:val="00655190"/>
    <w:rsid w:val="00662218"/>
    <w:rsid w:val="00685AE0"/>
    <w:rsid w:val="006A0C0F"/>
    <w:rsid w:val="006D1998"/>
    <w:rsid w:val="006E2413"/>
    <w:rsid w:val="006F4A30"/>
    <w:rsid w:val="00703D77"/>
    <w:rsid w:val="00711095"/>
    <w:rsid w:val="0072604C"/>
    <w:rsid w:val="00727802"/>
    <w:rsid w:val="00736718"/>
    <w:rsid w:val="0075502E"/>
    <w:rsid w:val="00762BBE"/>
    <w:rsid w:val="00767E3E"/>
    <w:rsid w:val="007B1F79"/>
    <w:rsid w:val="00820546"/>
    <w:rsid w:val="0084661E"/>
    <w:rsid w:val="008A7968"/>
    <w:rsid w:val="008C15D9"/>
    <w:rsid w:val="008C2CE0"/>
    <w:rsid w:val="008C71C0"/>
    <w:rsid w:val="008D0747"/>
    <w:rsid w:val="008D4D9F"/>
    <w:rsid w:val="009112DC"/>
    <w:rsid w:val="00930C97"/>
    <w:rsid w:val="00983F5E"/>
    <w:rsid w:val="00996159"/>
    <w:rsid w:val="009E7AF7"/>
    <w:rsid w:val="00A83E54"/>
    <w:rsid w:val="00A84941"/>
    <w:rsid w:val="00AD064D"/>
    <w:rsid w:val="00AD71BC"/>
    <w:rsid w:val="00B0479E"/>
    <w:rsid w:val="00B0564E"/>
    <w:rsid w:val="00B224D7"/>
    <w:rsid w:val="00B35ECC"/>
    <w:rsid w:val="00B517CF"/>
    <w:rsid w:val="00B6411E"/>
    <w:rsid w:val="00B70ED7"/>
    <w:rsid w:val="00BA2507"/>
    <w:rsid w:val="00BB764F"/>
    <w:rsid w:val="00BC241D"/>
    <w:rsid w:val="00BE5748"/>
    <w:rsid w:val="00C075EC"/>
    <w:rsid w:val="00C107F2"/>
    <w:rsid w:val="00C2143D"/>
    <w:rsid w:val="00C33A04"/>
    <w:rsid w:val="00C3542F"/>
    <w:rsid w:val="00C56152"/>
    <w:rsid w:val="00C61658"/>
    <w:rsid w:val="00C95B3C"/>
    <w:rsid w:val="00CA1009"/>
    <w:rsid w:val="00CA6D65"/>
    <w:rsid w:val="00CB1C7D"/>
    <w:rsid w:val="00CD7AA5"/>
    <w:rsid w:val="00D00931"/>
    <w:rsid w:val="00D3555E"/>
    <w:rsid w:val="00D50DFD"/>
    <w:rsid w:val="00D8149E"/>
    <w:rsid w:val="00DA0F82"/>
    <w:rsid w:val="00DA51E0"/>
    <w:rsid w:val="00DA76AD"/>
    <w:rsid w:val="00DC7CED"/>
    <w:rsid w:val="00DD41FA"/>
    <w:rsid w:val="00E06294"/>
    <w:rsid w:val="00E242E5"/>
    <w:rsid w:val="00E87B30"/>
    <w:rsid w:val="00EC5CE6"/>
    <w:rsid w:val="00EF31AD"/>
    <w:rsid w:val="00F06D6F"/>
    <w:rsid w:val="00F11CD2"/>
    <w:rsid w:val="00F1387A"/>
    <w:rsid w:val="00F5082D"/>
    <w:rsid w:val="00F52272"/>
    <w:rsid w:val="00F531BD"/>
    <w:rsid w:val="00F5324A"/>
    <w:rsid w:val="00F55629"/>
    <w:rsid w:val="00F57042"/>
    <w:rsid w:val="00F572D8"/>
    <w:rsid w:val="00F57C68"/>
    <w:rsid w:val="00F7169E"/>
    <w:rsid w:val="00F7288F"/>
    <w:rsid w:val="00F82EA6"/>
    <w:rsid w:val="00F8567E"/>
    <w:rsid w:val="00FA0CA9"/>
    <w:rsid w:val="00FC013B"/>
    <w:rsid w:val="00FD2D97"/>
    <w:rsid w:val="00FE0783"/>
    <w:rsid w:val="00FE7070"/>
    <w:rsid w:val="12413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C3B88815-BCB0-47AF-B5A1-6744E8B1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465BDA9-DAA4-4A2A-B2FD-12A2C5E160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36fbb788-0394-42f2-945d-81fcbf9e95de"/>
    <ds:schemaRef ds:uri="5dabfe2a-3ba2-4d4b-ba08-4f1c2c52c3dc"/>
    <ds:schemaRef ds:uri="60b0568e-e574-4342-a9c0-c22c6fec6509"/>
    <ds:schemaRef ds:uri="fdfaf355-f7ae-47f3-8f93-739a60756710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528</Words>
  <Characters>3178</Characters>
  <Application>Microsoft Office Word</Application>
  <DocSecurity>0</DocSecurity>
  <Lines>26</Lines>
  <Paragraphs>7</Paragraphs>
  <ScaleCrop>false</ScaleCrop>
  <Company>ABM LHB</Company>
  <LinksUpToDate>false</LinksUpToDate>
  <CharactersWithSpaces>3699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Claire Mulcahy (Swansea Bay UHB - Corporate Governance )</cp:lastModifiedBy>
  <cp:revision>45</cp:revision>
  <dcterms:created xsi:type="dcterms:W3CDTF">2026-05-10T10:35:00Z</dcterms:created>
  <dcterms:modified xsi:type="dcterms:W3CDTF">2026-05-14T14:08:00Z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