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14BDC866">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5-09-10T00:00:00Z">
              <w:dateFormat w:val="dd MMMM yyyy"/>
              <w:lid w:val="en-GB"/>
              <w:storeMappedDataAs w:val="dateTime"/>
              <w:calendar w:val="gregorian"/>
            </w:date>
          </w:sdtPr>
          <w:sdtEndPr>
            <w:rPr>
              <w:rStyle w:val="DefaultParagraphFont"/>
            </w:rPr>
          </w:sdtEndPr>
          <w:sdtContent>
            <w:tc>
              <w:tcPr>
                <w:tcW w:w="2835" w:type="dxa"/>
              </w:tcPr>
              <w:p w14:paraId="6D2903DF" w14:textId="64160FA3" w:rsidR="00F5082D" w:rsidRPr="00B105BD" w:rsidRDefault="00EC2115" w:rsidP="00FA0CA9">
                <w:pPr>
                  <w:rPr>
                    <w:b/>
                    <w:bCs/>
                  </w:rPr>
                </w:pPr>
                <w:r>
                  <w:rPr>
                    <w:rStyle w:val="Style1"/>
                    <w:b/>
                    <w:bCs/>
                  </w:rPr>
                  <w:t>10 September 2025</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31A90579" w:rsidR="00F5082D" w:rsidRPr="00F8567E" w:rsidRDefault="00047C99" w:rsidP="00FA0CA9">
            <w:pPr>
              <w:rPr>
                <w:b/>
              </w:rPr>
            </w:pPr>
            <w:r>
              <w:rPr>
                <w:b/>
              </w:rPr>
              <w:t xml:space="preserve">2.4 </w:t>
            </w:r>
          </w:p>
        </w:tc>
      </w:tr>
      <w:tr w:rsidR="00B0479E" w:rsidRPr="00F8567E" w14:paraId="1EEB45B2" w14:textId="77777777" w:rsidTr="14BDC866">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4220C6BD" w:rsidR="00B0479E" w:rsidRPr="00EC7151" w:rsidRDefault="042E1A41" w:rsidP="00FA0CA9">
                <w:pPr>
                  <w:rPr>
                    <w:b/>
                    <w:bCs/>
                  </w:rPr>
                </w:pPr>
                <w:r w:rsidRPr="14BDC866">
                  <w:rPr>
                    <w:rStyle w:val="CorporateFont"/>
                    <w:b/>
                    <w:bCs/>
                  </w:rPr>
                  <w:t>Audit Committee</w:t>
                </w:r>
              </w:p>
            </w:tc>
          </w:sdtContent>
        </w:sdt>
      </w:tr>
      <w:tr w:rsidR="00083FC0" w:rsidRPr="00F8567E" w14:paraId="6D2903E5" w14:textId="77777777" w:rsidTr="14BDC866">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18A72F61" w:rsidR="00034194" w:rsidRPr="00EC7151" w:rsidRDefault="618138C1" w:rsidP="00FA0CA9">
            <w:r w:rsidRPr="14BDC866">
              <w:rPr>
                <w:b/>
                <w:bCs/>
              </w:rPr>
              <w:t>Partnership Governance Tracker</w:t>
            </w:r>
          </w:p>
        </w:tc>
      </w:tr>
      <w:tr w:rsidR="00083FC0" w:rsidRPr="00F8567E" w14:paraId="6D2903E8" w14:textId="77777777" w:rsidTr="14BDC866">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61814EAA" w:rsidR="00034194" w:rsidRPr="00F8567E" w:rsidRDefault="5664897C" w:rsidP="00FA0CA9">
            <w:r>
              <w:t>Angharad Rees, Strategic Planning Manager</w:t>
            </w:r>
          </w:p>
        </w:tc>
      </w:tr>
      <w:tr w:rsidR="00762BBE" w:rsidRPr="00F8567E" w14:paraId="6D2903EB" w14:textId="77777777" w:rsidTr="14BDC866">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51234320" w:rsidR="00762BBE" w:rsidRPr="00F8567E" w:rsidRDefault="320D6227" w:rsidP="00762BBE">
                <w:r w:rsidRPr="14BDC866">
                  <w:rPr>
                    <w:rStyle w:val="Style1"/>
                  </w:rPr>
                  <w:t>Executive Director of Planning and Partnership</w:t>
                </w:r>
              </w:p>
            </w:tc>
          </w:sdtContent>
        </w:sdt>
      </w:tr>
      <w:tr w:rsidR="00762BBE" w:rsidRPr="00F8567E" w14:paraId="6D2903EE" w14:textId="77777777" w:rsidTr="14BDC866">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3AD34150" w:rsidR="00762BBE" w:rsidRPr="00F8567E" w:rsidRDefault="2AC2871D" w:rsidP="00762BBE">
            <w:r>
              <w:t>Karen Stapleton, Deputy Director of Planning &amp; Partnerships</w:t>
            </w:r>
          </w:p>
        </w:tc>
      </w:tr>
      <w:tr w:rsidR="00653AEC" w:rsidRPr="00F8567E" w14:paraId="6D2903F1" w14:textId="77777777" w:rsidTr="14BDC866">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0C1B521B" w:rsidR="00850C29" w:rsidRPr="00F618CD" w:rsidRDefault="4180A4AD" w:rsidP="004222DD">
                <w:r w:rsidRPr="14BDC866">
                  <w:rPr>
                    <w:rStyle w:val="Style1"/>
                  </w:rPr>
                  <w:t>Open</w:t>
                </w:r>
              </w:p>
            </w:sdtContent>
          </w:sdt>
        </w:tc>
      </w:tr>
      <w:tr w:rsidR="00041CF6" w:rsidRPr="00F8567E" w14:paraId="3533518D" w14:textId="77777777" w:rsidTr="14BDC866">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14BDC866">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14BDC866">
        <w:tc>
          <w:tcPr>
            <w:tcW w:w="5812" w:type="dxa"/>
            <w:gridSpan w:val="2"/>
          </w:tcPr>
          <w:p w14:paraId="5E84E502" w14:textId="599828A8" w:rsidR="00A35122" w:rsidRPr="00737883" w:rsidRDefault="1BB3B88A" w:rsidP="14BDC866">
            <w:pPr>
              <w:rPr>
                <w:b/>
                <w:bCs/>
              </w:rPr>
            </w:pPr>
            <w:r w:rsidRPr="14BDC866">
              <w:rPr>
                <w:b/>
                <w:bCs/>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14BDC866">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2169B91" w:rsidR="00EA4667" w:rsidRPr="005F4E71" w:rsidRDefault="75A0B966">
                <w:pPr>
                  <w:ind w:right="96"/>
                </w:pPr>
                <w:r w:rsidRPr="14BDC866">
                  <w:rPr>
                    <w:rStyle w:val="Style1"/>
                  </w:rPr>
                  <w:t>For Assuranc</w:t>
                </w:r>
                <w:r w:rsidR="00857D93" w:rsidRPr="14BDC866">
                  <w:rPr>
                    <w:rStyle w:val="Style1"/>
                  </w:rPr>
                  <w:t>e</w:t>
                </w:r>
              </w:p>
            </w:tc>
          </w:sdtContent>
        </w:sdt>
      </w:tr>
      <w:tr w:rsidR="00110100" w:rsidRPr="00F8567E" w14:paraId="2607A37D" w14:textId="77777777" w:rsidTr="14BDC866">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14BDC866">
        <w:tc>
          <w:tcPr>
            <w:tcW w:w="9021" w:type="dxa"/>
            <w:gridSpan w:val="4"/>
          </w:tcPr>
          <w:p w14:paraId="6D2903F3" w14:textId="0C200AE4" w:rsidR="00110100" w:rsidRPr="00F8567E" w:rsidRDefault="5104482F" w:rsidP="14BDC866">
            <w:pPr>
              <w:spacing w:line="300" w:lineRule="atLeast"/>
              <w:rPr>
                <w:rFonts w:eastAsia="Verdana" w:cs="Verdana"/>
              </w:rPr>
            </w:pPr>
            <w:r w:rsidRPr="14BDC866">
              <w:rPr>
                <w:rFonts w:eastAsia="Verdana" w:cs="Verdana"/>
                <w:color w:val="000000" w:themeColor="text1"/>
              </w:rPr>
              <w:t>To provide an update on the ongoing development of the Partnerships Tracker any changes recorded in the tracker for Q1 2026/27.</w:t>
            </w:r>
          </w:p>
          <w:p w14:paraId="6D2903F7" w14:textId="028E610F" w:rsidR="00110100" w:rsidRPr="00737883" w:rsidRDefault="00110100" w:rsidP="14BDC866">
            <w:pPr>
              <w:rPr>
                <w:b/>
                <w:bCs/>
                <w:color w:val="FF0000"/>
              </w:rPr>
            </w:pPr>
          </w:p>
        </w:tc>
      </w:tr>
      <w:tr w:rsidR="00110100" w:rsidRPr="00F8567E" w14:paraId="70491417" w14:textId="77777777" w:rsidTr="14BDC866">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14BDC866">
        <w:tc>
          <w:tcPr>
            <w:tcW w:w="9021" w:type="dxa"/>
            <w:gridSpan w:val="4"/>
          </w:tcPr>
          <w:p w14:paraId="3988772F" w14:textId="72188E74" w:rsidR="00110100" w:rsidRPr="00737883" w:rsidRDefault="22BF7B42" w:rsidP="14BDC866">
            <w:pPr>
              <w:ind w:right="96"/>
              <w:jc w:val="both"/>
              <w:rPr>
                <w:rFonts w:eastAsia="Verdana" w:cs="Verdana"/>
                <w:color w:val="000000" w:themeColor="text1"/>
              </w:rPr>
            </w:pPr>
            <w:r w:rsidRPr="14BDC866">
              <w:rPr>
                <w:rFonts w:eastAsia="Verdana" w:cs="Verdana"/>
                <w:color w:val="000000" w:themeColor="text1"/>
              </w:rPr>
              <w:t xml:space="preserve">Improving how the Health Board manages and achieves oversight and assurance of external partnership arrangements is an area of focus for the Planning and Partnerships department, including improvements to visibility and information sharing.  </w:t>
            </w:r>
          </w:p>
          <w:p w14:paraId="02A6740B" w14:textId="6C9EFF82" w:rsidR="00110100" w:rsidRPr="00737883" w:rsidRDefault="00110100" w:rsidP="14BDC866">
            <w:pPr>
              <w:ind w:right="96"/>
              <w:jc w:val="both"/>
              <w:rPr>
                <w:rFonts w:eastAsia="Verdana" w:cs="Verdana"/>
                <w:color w:val="000000" w:themeColor="text1"/>
              </w:rPr>
            </w:pPr>
          </w:p>
          <w:p w14:paraId="6D290401" w14:textId="5AE549C1" w:rsidR="00110100" w:rsidRPr="00737883" w:rsidRDefault="22BF7B42" w:rsidP="14BDC866">
            <w:pPr>
              <w:ind w:right="96"/>
              <w:jc w:val="both"/>
            </w:pPr>
            <w:r w:rsidRPr="14BDC866">
              <w:rPr>
                <w:rFonts w:eastAsia="Verdana" w:cs="Verdana"/>
                <w:color w:val="000000" w:themeColor="text1"/>
              </w:rPr>
              <w:t>Oversight and management of Partnerships where the Health Board is a Statutory partner or are actively engaged is important and resources such as the Partnership Tracker have been developed to improve oversight.</w:t>
            </w:r>
            <w:r w:rsidRPr="14BDC866">
              <w:rPr>
                <w:color w:val="FF0000"/>
              </w:rPr>
              <w:t xml:space="preserve"> </w:t>
            </w:r>
          </w:p>
        </w:tc>
      </w:tr>
      <w:tr w:rsidR="00B22CF9" w:rsidRPr="00F8567E" w14:paraId="78C95897" w14:textId="77777777" w:rsidTr="14BDC866">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20C5BE3A" w:rsidR="00B22CF9" w:rsidRPr="00F8567E" w:rsidRDefault="7E2AD57D" w:rsidP="14BDC866">
                <w:pPr>
                  <w:rPr>
                    <w:b/>
                    <w:bCs/>
                  </w:rPr>
                </w:pPr>
                <w:r w:rsidRPr="14BDC866">
                  <w:rPr>
                    <w:rStyle w:val="Style1"/>
                  </w:rPr>
                  <w:t>No</w:t>
                </w:r>
              </w:p>
            </w:sdtContent>
          </w:sdt>
        </w:tc>
      </w:tr>
      <w:tr w:rsidR="00110100" w:rsidRPr="00F8567E" w14:paraId="4682E8B7" w14:textId="77777777" w:rsidTr="14BDC866">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14BDC866">
        <w:tc>
          <w:tcPr>
            <w:tcW w:w="9021" w:type="dxa"/>
            <w:gridSpan w:val="4"/>
          </w:tcPr>
          <w:p w14:paraId="6D290412" w14:textId="77777777" w:rsidR="00110100" w:rsidRPr="000940E7" w:rsidRDefault="00110100" w:rsidP="00110100">
            <w:pPr>
              <w:ind w:right="96"/>
            </w:pPr>
            <w:r>
              <w:t>Members are asked to:</w:t>
            </w:r>
          </w:p>
          <w:p w14:paraId="1237CB1F" w14:textId="7C1F537C" w:rsidR="00110100" w:rsidRPr="00F8567E" w:rsidRDefault="12206066" w:rsidP="00C11590">
            <w:pPr>
              <w:pStyle w:val="ListParagraph"/>
              <w:numPr>
                <w:ilvl w:val="0"/>
                <w:numId w:val="15"/>
              </w:numPr>
              <w:spacing w:line="300" w:lineRule="atLeast"/>
              <w:jc w:val="both"/>
              <w:rPr>
                <w:rFonts w:eastAsia="Verdana" w:cs="Verdana"/>
              </w:rPr>
            </w:pPr>
            <w:r w:rsidRPr="14BDC866">
              <w:rPr>
                <w:rFonts w:eastAsia="Verdana" w:cs="Verdana"/>
                <w:b/>
                <w:bCs/>
                <w:color w:val="000000" w:themeColor="text1"/>
              </w:rPr>
              <w:t xml:space="preserve">ASSURANCE: </w:t>
            </w:r>
            <w:r w:rsidRPr="14BDC866">
              <w:rPr>
                <w:rFonts w:eastAsia="Verdana" w:cs="Verdana"/>
                <w:color w:val="000000" w:themeColor="text1"/>
              </w:rPr>
              <w:t>Amendments to the Tracker follow the agreed process via the Partnerships Team to maintain integrity and accountability</w:t>
            </w:r>
            <w:r w:rsidR="00C11590">
              <w:rPr>
                <w:rFonts w:eastAsia="Verdana" w:cs="Verdana"/>
                <w:color w:val="000000" w:themeColor="text1"/>
              </w:rPr>
              <w:t>.</w:t>
            </w:r>
          </w:p>
          <w:p w14:paraId="6D290417" w14:textId="11E251E4" w:rsidR="00110100" w:rsidRPr="00F8567E" w:rsidRDefault="00110100" w:rsidP="00DB76B3">
            <w:pPr>
              <w:ind w:right="96"/>
            </w:pPr>
          </w:p>
        </w:tc>
      </w:tr>
    </w:tbl>
    <w:p w14:paraId="774DA5AA" w14:textId="5D1C8883" w:rsidR="0020539A" w:rsidRDefault="0020539A" w:rsidP="167541AB">
      <w:pPr>
        <w:jc w:val="center"/>
        <w:rPr>
          <w:b/>
          <w:bCs/>
        </w:rPr>
      </w:pPr>
      <w:r>
        <w:br w:type="page"/>
      </w:r>
      <w:r w:rsidR="00C11590" w:rsidRPr="167541AB">
        <w:rPr>
          <w:b/>
          <w:bCs/>
        </w:rPr>
        <w:lastRenderedPageBreak/>
        <w:t>PARTNERSHIP GOVERNANCE TRACKER</w:t>
      </w:r>
    </w:p>
    <w:p w14:paraId="6C28C290" w14:textId="77777777" w:rsidR="00C11590" w:rsidRDefault="00C11590" w:rsidP="167541AB">
      <w:pPr>
        <w:jc w:val="center"/>
      </w:pPr>
    </w:p>
    <w:p w14:paraId="523AE445" w14:textId="54ACC620" w:rsidR="00653AEC" w:rsidRDefault="00653AEC" w:rsidP="00C11590">
      <w:pPr>
        <w:pStyle w:val="ListParagraph"/>
        <w:numPr>
          <w:ilvl w:val="0"/>
          <w:numId w:val="16"/>
        </w:numPr>
        <w:spacing w:after="0" w:line="240" w:lineRule="auto"/>
        <w:ind w:hanging="720"/>
        <w:rPr>
          <w:b/>
          <w:bCs/>
        </w:rPr>
      </w:pPr>
      <w:r w:rsidRPr="14BDC866">
        <w:rPr>
          <w:b/>
          <w:bCs/>
        </w:rPr>
        <w:t>INTRODUCTION</w:t>
      </w:r>
    </w:p>
    <w:p w14:paraId="445C5232" w14:textId="77777777" w:rsidR="00DE296A" w:rsidRPr="00F8567E" w:rsidRDefault="00DE296A" w:rsidP="00DE296A">
      <w:pPr>
        <w:pStyle w:val="ListParagraph"/>
        <w:spacing w:after="0" w:line="240" w:lineRule="auto"/>
        <w:rPr>
          <w:b/>
          <w:bCs/>
        </w:rPr>
      </w:pPr>
    </w:p>
    <w:p w14:paraId="2BE7D309" w14:textId="2D470F74" w:rsidR="00653AEC" w:rsidRPr="00F8567E" w:rsidRDefault="324F95E1" w:rsidP="00C11590">
      <w:pPr>
        <w:spacing w:after="0" w:line="240" w:lineRule="auto"/>
        <w:jc w:val="both"/>
        <w:rPr>
          <w:rFonts w:eastAsia="Verdana" w:cs="Verdana"/>
          <w:color w:val="000000" w:themeColor="text1"/>
        </w:rPr>
      </w:pPr>
      <w:r w:rsidRPr="14BDC866">
        <w:rPr>
          <w:rStyle w:val="normaltextrun"/>
          <w:rFonts w:ascii="Verdana" w:eastAsia="Verdana" w:hAnsi="Verdana" w:cs="Verdana"/>
          <w:color w:val="000000" w:themeColor="text1"/>
          <w:sz w:val="24"/>
          <w:szCs w:val="24"/>
        </w:rPr>
        <w:t>The purpose of the following report is to monitor amendments made to the governance of the formal partnerships where the Health Board is a Statutory Partner or are actively engaged with, as recorded in the Partnerships Tracker.</w:t>
      </w:r>
    </w:p>
    <w:p w14:paraId="181F9F58" w14:textId="2852389E" w:rsidR="00653AEC" w:rsidRPr="00F8567E" w:rsidRDefault="00653AEC" w:rsidP="14BDC866">
      <w:pPr>
        <w:spacing w:after="0" w:line="240" w:lineRule="auto"/>
        <w:ind w:left="360"/>
        <w:jc w:val="both"/>
        <w:rPr>
          <w:rFonts w:eastAsia="Verdana" w:cs="Verdana"/>
          <w:color w:val="000000" w:themeColor="text1"/>
        </w:rPr>
      </w:pPr>
    </w:p>
    <w:p w14:paraId="5AD2766E" w14:textId="3A7CB472" w:rsidR="324F95E1" w:rsidRDefault="324F95E1" w:rsidP="00C11590">
      <w:pPr>
        <w:spacing w:after="0" w:line="240" w:lineRule="auto"/>
        <w:jc w:val="both"/>
        <w:rPr>
          <w:rStyle w:val="normaltextrun"/>
          <w:rFonts w:ascii="Verdana" w:eastAsia="Verdana" w:hAnsi="Verdana" w:cs="Verdana"/>
          <w:color w:val="000000" w:themeColor="text1"/>
          <w:sz w:val="24"/>
          <w:szCs w:val="24"/>
        </w:rPr>
      </w:pPr>
      <w:r w:rsidRPr="17C3A500">
        <w:rPr>
          <w:rStyle w:val="normaltextrun"/>
          <w:rFonts w:ascii="Verdana" w:eastAsia="Verdana" w:hAnsi="Verdana" w:cs="Verdana"/>
          <w:color w:val="000000" w:themeColor="text1"/>
          <w:sz w:val="24"/>
          <w:szCs w:val="24"/>
        </w:rPr>
        <w:t>In September 2025 Committee members agreed to receive quarterly updates on the Partnerships Tracker.</w:t>
      </w:r>
      <w:r w:rsidRPr="17C3A500">
        <w:rPr>
          <w:color w:val="FF0000"/>
        </w:rPr>
        <w:t xml:space="preserve"> </w:t>
      </w:r>
      <w:r w:rsidR="09C0D583" w:rsidRPr="17C3A500">
        <w:rPr>
          <w:rStyle w:val="normaltextrun"/>
          <w:rFonts w:ascii="Verdana" w:hAnsi="Verdana" w:cs="Verdana"/>
          <w:color w:val="000000" w:themeColor="text1"/>
          <w:sz w:val="24"/>
          <w:szCs w:val="24"/>
        </w:rPr>
        <w:t>The Strategic Partnerships Team continually seeks opportunities to enhance reporting arrangements to ensure robust oversight and governance of statutory partnerships. It should be noted that both the partnership tracker and the quarterly update form part of a broader strategic partnerships reporting framework, which also includes quarterly updates to the Executive Team and the Board through the Planning &amp; Partnerships Board report.</w:t>
      </w:r>
    </w:p>
    <w:p w14:paraId="332549E1" w14:textId="12F8B1AA" w:rsidR="17C3A500" w:rsidRDefault="17C3A500" w:rsidP="17C3A500">
      <w:pPr>
        <w:spacing w:after="0" w:line="240" w:lineRule="auto"/>
        <w:ind w:left="360"/>
        <w:jc w:val="both"/>
        <w:rPr>
          <w:color w:val="FF0000"/>
        </w:rPr>
      </w:pP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C11590">
      <w:pPr>
        <w:pStyle w:val="ListParagraph"/>
        <w:numPr>
          <w:ilvl w:val="0"/>
          <w:numId w:val="16"/>
        </w:numPr>
        <w:spacing w:after="0" w:line="240" w:lineRule="auto"/>
        <w:ind w:hanging="720"/>
        <w:rPr>
          <w:b/>
        </w:rPr>
      </w:pPr>
      <w:r w:rsidRPr="14BDC866">
        <w:rPr>
          <w:b/>
          <w:bCs/>
        </w:rPr>
        <w:t>BACKGROUND</w:t>
      </w:r>
    </w:p>
    <w:p w14:paraId="308DFF9F" w14:textId="54D5015D" w:rsidR="22951EEC" w:rsidRDefault="22951EEC" w:rsidP="00C11590">
      <w:pPr>
        <w:spacing w:beforeAutospacing="1" w:afterAutospacing="1" w:line="300" w:lineRule="atLeast"/>
        <w:jc w:val="both"/>
        <w:rPr>
          <w:rFonts w:eastAsia="Verdana" w:cs="Verdana"/>
          <w:color w:val="000000" w:themeColor="text1"/>
        </w:rPr>
      </w:pPr>
      <w:r w:rsidRPr="14BDC866">
        <w:rPr>
          <w:rFonts w:eastAsia="Verdana" w:cs="Verdana"/>
          <w:color w:val="000000" w:themeColor="text1"/>
        </w:rPr>
        <w:t>Work on the Partnerships Tracker commenced in June 2025 to strengthen oversight and assurance of key partnership arrangements. The Tracker currently includes the following statutory and strategic partnerships:</w:t>
      </w:r>
    </w:p>
    <w:p w14:paraId="238807EE" w14:textId="5FA6CEBB" w:rsidR="22951EEC" w:rsidRDefault="22951EEC" w:rsidP="14BDC866">
      <w:pPr>
        <w:pStyle w:val="ListParagraph"/>
        <w:numPr>
          <w:ilvl w:val="0"/>
          <w:numId w:val="14"/>
        </w:numPr>
        <w:spacing w:beforeAutospacing="1" w:afterAutospacing="1" w:line="300" w:lineRule="atLeast"/>
        <w:rPr>
          <w:rFonts w:eastAsia="Verdana" w:cs="Verdana"/>
          <w:color w:val="000000" w:themeColor="text1"/>
        </w:rPr>
      </w:pPr>
      <w:r w:rsidRPr="14BDC866">
        <w:rPr>
          <w:rFonts w:eastAsia="Verdana" w:cs="Verdana"/>
          <w:color w:val="000000" w:themeColor="text1"/>
        </w:rPr>
        <w:t>West Glamorgan Regional Partnership Board (WGRPB)</w:t>
      </w:r>
    </w:p>
    <w:p w14:paraId="4337E895" w14:textId="62B90A1A" w:rsidR="22951EEC" w:rsidRDefault="22951EEC" w:rsidP="14BDC866">
      <w:pPr>
        <w:pStyle w:val="ListParagraph"/>
        <w:numPr>
          <w:ilvl w:val="0"/>
          <w:numId w:val="14"/>
        </w:numPr>
        <w:spacing w:beforeAutospacing="1" w:afterAutospacing="1" w:line="300" w:lineRule="atLeast"/>
        <w:rPr>
          <w:rFonts w:eastAsia="Verdana" w:cs="Verdana"/>
          <w:color w:val="000000" w:themeColor="text1"/>
        </w:rPr>
      </w:pPr>
      <w:r w:rsidRPr="14BDC866">
        <w:rPr>
          <w:rFonts w:eastAsia="Verdana" w:cs="Verdana"/>
          <w:color w:val="000000" w:themeColor="text1"/>
        </w:rPr>
        <w:t>Public Service Boards (PSBs) and associated Wellbeing Plan workstreams in Swansea and Neath Port Talbot</w:t>
      </w:r>
    </w:p>
    <w:p w14:paraId="68908E4F" w14:textId="13FF8B23" w:rsidR="22951EEC" w:rsidRDefault="22951EEC" w:rsidP="14BDC866">
      <w:pPr>
        <w:pStyle w:val="ListParagraph"/>
        <w:numPr>
          <w:ilvl w:val="0"/>
          <w:numId w:val="14"/>
        </w:numPr>
        <w:spacing w:beforeAutospacing="1" w:afterAutospacing="1" w:line="300" w:lineRule="atLeast"/>
        <w:rPr>
          <w:rFonts w:eastAsia="Verdana" w:cs="Verdana"/>
          <w:color w:val="000000" w:themeColor="text1"/>
        </w:rPr>
      </w:pPr>
      <w:r w:rsidRPr="14BDC866">
        <w:rPr>
          <w:rFonts w:eastAsia="Verdana" w:cs="Verdana"/>
          <w:color w:val="000000" w:themeColor="text1"/>
        </w:rPr>
        <w:t>Shared Services Partnership Committee (SSPC)</w:t>
      </w:r>
    </w:p>
    <w:p w14:paraId="2815ACFE" w14:textId="390D1ED8" w:rsidR="22951EEC" w:rsidRDefault="22951EEC" w:rsidP="14BDC866">
      <w:pPr>
        <w:pStyle w:val="ListParagraph"/>
        <w:numPr>
          <w:ilvl w:val="0"/>
          <w:numId w:val="14"/>
        </w:numPr>
        <w:spacing w:beforeAutospacing="1" w:afterAutospacing="1" w:line="300" w:lineRule="atLeast"/>
        <w:rPr>
          <w:rFonts w:eastAsia="Verdana" w:cs="Verdana"/>
          <w:color w:val="000000" w:themeColor="text1"/>
        </w:rPr>
      </w:pPr>
      <w:r w:rsidRPr="14BDC866">
        <w:rPr>
          <w:rFonts w:eastAsia="Verdana" w:cs="Verdana"/>
          <w:color w:val="000000" w:themeColor="text1"/>
        </w:rPr>
        <w:t>Youth Justice Management Board</w:t>
      </w:r>
    </w:p>
    <w:p w14:paraId="2CF8101F" w14:textId="51B40AAB" w:rsidR="22951EEC" w:rsidRDefault="22951EEC" w:rsidP="14BDC866">
      <w:pPr>
        <w:pStyle w:val="ListParagraph"/>
        <w:numPr>
          <w:ilvl w:val="0"/>
          <w:numId w:val="14"/>
        </w:numPr>
        <w:spacing w:beforeAutospacing="1" w:afterAutospacing="1" w:line="300" w:lineRule="atLeast"/>
        <w:rPr>
          <w:rFonts w:eastAsia="Verdana" w:cs="Verdana"/>
          <w:color w:val="000000" w:themeColor="text1"/>
        </w:rPr>
      </w:pPr>
      <w:r w:rsidRPr="14BDC866">
        <w:rPr>
          <w:rFonts w:eastAsia="Verdana" w:cs="Verdana"/>
          <w:color w:val="000000" w:themeColor="text1"/>
        </w:rPr>
        <w:t>Neath Port Talbot &amp; Swansea Drug &amp; Alcohol Leadership Board (DALB)</w:t>
      </w:r>
    </w:p>
    <w:p w14:paraId="5A747929" w14:textId="039EA95F" w:rsidR="22951EEC" w:rsidRDefault="22951EEC" w:rsidP="14BDC866">
      <w:pPr>
        <w:pStyle w:val="ListParagraph"/>
        <w:numPr>
          <w:ilvl w:val="0"/>
          <w:numId w:val="14"/>
        </w:numPr>
        <w:spacing w:beforeAutospacing="1" w:afterAutospacing="1" w:line="300" w:lineRule="atLeast"/>
        <w:rPr>
          <w:rFonts w:eastAsia="Verdana" w:cs="Verdana"/>
          <w:color w:val="000000" w:themeColor="text1"/>
        </w:rPr>
      </w:pPr>
      <w:r w:rsidRPr="14BDC866">
        <w:rPr>
          <w:rFonts w:eastAsia="Verdana" w:cs="Verdana"/>
          <w:color w:val="000000" w:themeColor="text1"/>
        </w:rPr>
        <w:t>SBUHB / CTMUHB Bridgend Boundary Change</w:t>
      </w:r>
    </w:p>
    <w:p w14:paraId="27E9BD94" w14:textId="6050C3FE" w:rsidR="22951EEC" w:rsidRDefault="22951EEC" w:rsidP="14BDC866">
      <w:pPr>
        <w:pStyle w:val="ListParagraph"/>
        <w:numPr>
          <w:ilvl w:val="0"/>
          <w:numId w:val="14"/>
        </w:numPr>
        <w:spacing w:beforeAutospacing="1" w:afterAutospacing="1" w:line="300" w:lineRule="atLeast"/>
        <w:rPr>
          <w:rFonts w:eastAsia="Verdana" w:cs="Verdana"/>
          <w:color w:val="000000" w:themeColor="text1"/>
        </w:rPr>
      </w:pPr>
      <w:r w:rsidRPr="14BDC866">
        <w:rPr>
          <w:rFonts w:eastAsia="Verdana" w:cs="Verdana"/>
          <w:color w:val="000000" w:themeColor="text1"/>
        </w:rPr>
        <w:t>Joint Commissioning Committee (JCC)</w:t>
      </w:r>
    </w:p>
    <w:p w14:paraId="45944121" w14:textId="6645F834" w:rsidR="22951EEC" w:rsidRDefault="22951EEC" w:rsidP="14BDC866">
      <w:pPr>
        <w:pStyle w:val="ListParagraph"/>
        <w:numPr>
          <w:ilvl w:val="0"/>
          <w:numId w:val="14"/>
        </w:numPr>
        <w:spacing w:beforeAutospacing="1" w:afterAutospacing="1" w:line="300" w:lineRule="atLeast"/>
        <w:rPr>
          <w:rFonts w:eastAsia="Verdana" w:cs="Verdana"/>
          <w:color w:val="000000" w:themeColor="text1"/>
        </w:rPr>
      </w:pPr>
      <w:r w:rsidRPr="14BDC866">
        <w:rPr>
          <w:rFonts w:eastAsia="Verdana" w:cs="Verdana"/>
          <w:color w:val="000000" w:themeColor="text1"/>
        </w:rPr>
        <w:t>TATA Steel/Port Talbot Transition Board</w:t>
      </w:r>
    </w:p>
    <w:p w14:paraId="3C7006A6" w14:textId="3E4B0743" w:rsidR="22951EEC" w:rsidRDefault="22951EEC" w:rsidP="14BDC866">
      <w:pPr>
        <w:pStyle w:val="ListParagraph"/>
        <w:numPr>
          <w:ilvl w:val="0"/>
          <w:numId w:val="14"/>
        </w:numPr>
        <w:spacing w:beforeAutospacing="1" w:afterAutospacing="1" w:line="300" w:lineRule="atLeast"/>
        <w:rPr>
          <w:rFonts w:eastAsia="Verdana" w:cs="Verdana"/>
          <w:color w:val="000000" w:themeColor="text1"/>
        </w:rPr>
      </w:pPr>
      <w:r w:rsidRPr="14BDC866">
        <w:rPr>
          <w:rFonts w:eastAsia="Verdana" w:cs="Verdana"/>
          <w:color w:val="000000" w:themeColor="text1"/>
        </w:rPr>
        <w:t>Foundational Economy NHS Leadership Group</w:t>
      </w:r>
    </w:p>
    <w:p w14:paraId="6875E3C0" w14:textId="7CE18F72" w:rsidR="22951EEC" w:rsidRDefault="22951EEC" w:rsidP="00C11590">
      <w:pPr>
        <w:spacing w:beforeAutospacing="1" w:afterAutospacing="1" w:line="300" w:lineRule="atLeast"/>
        <w:jc w:val="both"/>
        <w:rPr>
          <w:rFonts w:eastAsia="Verdana" w:cs="Verdana"/>
          <w:color w:val="000000" w:themeColor="text1"/>
        </w:rPr>
      </w:pPr>
      <w:r w:rsidRPr="14BDC866">
        <w:rPr>
          <w:rFonts w:eastAsia="Verdana" w:cs="Verdana"/>
          <w:color w:val="000000" w:themeColor="text1"/>
        </w:rPr>
        <w:t>The Tracker provides a shared resource for colleagues across the Health Board, delivering:</w:t>
      </w:r>
    </w:p>
    <w:p w14:paraId="705A88D6" w14:textId="5C4FF945" w:rsidR="22951EEC" w:rsidRDefault="22951EEC" w:rsidP="00C11590">
      <w:pPr>
        <w:pStyle w:val="ListParagraph"/>
        <w:numPr>
          <w:ilvl w:val="0"/>
          <w:numId w:val="13"/>
        </w:numPr>
        <w:spacing w:beforeAutospacing="1" w:afterAutospacing="1" w:line="300" w:lineRule="atLeast"/>
        <w:jc w:val="both"/>
        <w:rPr>
          <w:rFonts w:eastAsia="Verdana" w:cs="Verdana"/>
          <w:color w:val="000000" w:themeColor="text1"/>
        </w:rPr>
      </w:pPr>
      <w:r w:rsidRPr="14BDC866">
        <w:rPr>
          <w:rFonts w:eastAsia="Verdana" w:cs="Verdana"/>
          <w:color w:val="000000" w:themeColor="text1"/>
        </w:rPr>
        <w:t>Increased visibility and awareness of critical partnership forums</w:t>
      </w:r>
    </w:p>
    <w:p w14:paraId="4D90100F" w14:textId="21FE9193" w:rsidR="22951EEC" w:rsidRDefault="22951EEC" w:rsidP="00C11590">
      <w:pPr>
        <w:pStyle w:val="ListParagraph"/>
        <w:numPr>
          <w:ilvl w:val="0"/>
          <w:numId w:val="13"/>
        </w:numPr>
        <w:spacing w:beforeAutospacing="1" w:afterAutospacing="1" w:line="300" w:lineRule="atLeast"/>
        <w:jc w:val="both"/>
        <w:rPr>
          <w:rFonts w:eastAsia="Verdana" w:cs="Verdana"/>
          <w:color w:val="000000" w:themeColor="text1"/>
        </w:rPr>
      </w:pPr>
      <w:r w:rsidRPr="14BDC866">
        <w:rPr>
          <w:rFonts w:eastAsia="Verdana" w:cs="Verdana"/>
          <w:color w:val="000000" w:themeColor="text1"/>
        </w:rPr>
        <w:t>Oversight to ensure compliance with statutory requirements and effective partnership engagement</w:t>
      </w:r>
    </w:p>
    <w:p w14:paraId="038BED55" w14:textId="42869D90" w:rsidR="167541AB" w:rsidRPr="00EC2115" w:rsidRDefault="22951EEC" w:rsidP="00C11590">
      <w:pPr>
        <w:pStyle w:val="ListParagraph"/>
        <w:numPr>
          <w:ilvl w:val="0"/>
          <w:numId w:val="13"/>
        </w:numPr>
        <w:spacing w:beforeAutospacing="1" w:afterAutospacing="1" w:line="300" w:lineRule="atLeast"/>
        <w:jc w:val="both"/>
        <w:rPr>
          <w:rFonts w:eastAsia="Verdana" w:cs="Verdana"/>
          <w:color w:val="000000" w:themeColor="text1"/>
        </w:rPr>
      </w:pPr>
      <w:r w:rsidRPr="00EC2115">
        <w:rPr>
          <w:rFonts w:eastAsia="Verdana" w:cs="Verdana"/>
          <w:color w:val="000000" w:themeColor="text1"/>
        </w:rPr>
        <w:lastRenderedPageBreak/>
        <w:t>Key information on Health Board representation, governance, and statutory guidance, supporting assurance on Executive Team and Independent Member involvement</w:t>
      </w:r>
    </w:p>
    <w:p w14:paraId="65834867" w14:textId="77777777" w:rsidR="00C11590" w:rsidRDefault="22951EEC" w:rsidP="00C11590">
      <w:pPr>
        <w:spacing w:after="0" w:line="240" w:lineRule="auto"/>
        <w:ind w:left="720" w:hanging="720"/>
        <w:jc w:val="both"/>
      </w:pPr>
      <w:r w:rsidRPr="00C11590">
        <w:rPr>
          <w:b/>
          <w:bCs/>
        </w:rPr>
        <w:t>2.1 Partnership Tracker – Accessibility and Reporting</w:t>
      </w:r>
    </w:p>
    <w:p w14:paraId="4F7336F3" w14:textId="751FF191" w:rsidR="22951EEC" w:rsidRDefault="22951EEC" w:rsidP="00C11590">
      <w:pPr>
        <w:spacing w:after="0" w:line="240" w:lineRule="auto"/>
        <w:jc w:val="both"/>
        <w:rPr>
          <w:rFonts w:eastAsia="Verdana" w:cs="Verdana"/>
          <w:color w:val="000000" w:themeColor="text1"/>
        </w:rPr>
      </w:pPr>
      <w:r w:rsidRPr="14BDC866">
        <w:rPr>
          <w:rFonts w:eastAsia="Verdana" w:cs="Verdana"/>
          <w:color w:val="000000" w:themeColor="text1"/>
        </w:rPr>
        <w:t>Colleagues across the Health Board are asked to contribute to ensure all key partnership arrangements and relevant sub-groups are captured and up to date.</w:t>
      </w:r>
    </w:p>
    <w:p w14:paraId="45531842" w14:textId="77777777" w:rsidR="00C11590" w:rsidRDefault="00C11590" w:rsidP="00C11590">
      <w:pPr>
        <w:spacing w:after="0" w:line="240" w:lineRule="auto"/>
        <w:jc w:val="both"/>
        <w:rPr>
          <w:rFonts w:eastAsia="Verdana" w:cs="Verdana"/>
          <w:color w:val="000000" w:themeColor="text1"/>
        </w:rPr>
      </w:pPr>
    </w:p>
    <w:p w14:paraId="76A79750" w14:textId="55B2BEEB" w:rsidR="22951EEC" w:rsidRDefault="22951EEC" w:rsidP="00C11590">
      <w:pPr>
        <w:spacing w:after="0" w:line="240" w:lineRule="auto"/>
        <w:jc w:val="both"/>
        <w:rPr>
          <w:rFonts w:eastAsia="Verdana" w:cs="Verdana"/>
          <w:color w:val="000000" w:themeColor="text1"/>
        </w:rPr>
      </w:pPr>
      <w:r w:rsidRPr="00C11590">
        <w:rPr>
          <w:rFonts w:eastAsia="Verdana" w:cs="Verdana"/>
          <w:color w:val="000000" w:themeColor="text1"/>
        </w:rPr>
        <w:t>To enhance accessibility and collaboration, a dedicated Microsoft Teams channel has been created, with Independent Members and members of the Audit Committee invited to join. The Partnerships Tracker is visible within this channel, but any amendments must be routed through the Partnerships Team to maintain governance and assurance with quarterly updates provided to the Audit Committee</w:t>
      </w:r>
    </w:p>
    <w:p w14:paraId="03586EBF" w14:textId="77777777" w:rsidR="00C11590" w:rsidRDefault="00C11590" w:rsidP="00C11590">
      <w:pPr>
        <w:spacing w:after="0" w:line="240" w:lineRule="auto"/>
        <w:jc w:val="both"/>
        <w:rPr>
          <w:rFonts w:eastAsia="Verdana" w:cs="Verdana"/>
          <w:color w:val="000000" w:themeColor="text1"/>
        </w:rPr>
      </w:pPr>
    </w:p>
    <w:p w14:paraId="1995CE26" w14:textId="5743DF8D" w:rsidR="1918C542" w:rsidRPr="00DE296A" w:rsidRDefault="1918C542" w:rsidP="00C11590">
      <w:pPr>
        <w:pStyle w:val="ListParagraph"/>
        <w:numPr>
          <w:ilvl w:val="1"/>
          <w:numId w:val="16"/>
        </w:numPr>
        <w:tabs>
          <w:tab w:val="left" w:pos="720"/>
        </w:tabs>
        <w:spacing w:after="0" w:line="240" w:lineRule="auto"/>
        <w:ind w:hanging="1080"/>
        <w:jc w:val="both"/>
        <w:rPr>
          <w:rFonts w:eastAsia="Verdana" w:cs="Verdana"/>
          <w:b/>
          <w:bCs/>
          <w:color w:val="000000" w:themeColor="text1"/>
        </w:rPr>
      </w:pPr>
      <w:r w:rsidRPr="00DE296A">
        <w:rPr>
          <w:rFonts w:eastAsia="Verdana" w:cs="Verdana"/>
          <w:b/>
          <w:bCs/>
          <w:color w:val="000000" w:themeColor="text1"/>
        </w:rPr>
        <w:t>Partnerships Tracker – Amendments for Q1 2026/27</w:t>
      </w:r>
    </w:p>
    <w:p w14:paraId="19F2D5D7" w14:textId="56C7618E" w:rsidR="1918C542" w:rsidRDefault="1918C542" w:rsidP="00C11590">
      <w:pPr>
        <w:spacing w:after="0" w:line="240" w:lineRule="auto"/>
        <w:jc w:val="both"/>
        <w:rPr>
          <w:rFonts w:eastAsia="Verdana" w:cs="Verdana"/>
          <w:color w:val="000000" w:themeColor="text1"/>
        </w:rPr>
      </w:pPr>
      <w:r w:rsidRPr="14BDC866">
        <w:rPr>
          <w:rFonts w:eastAsia="Verdana" w:cs="Verdana"/>
          <w:color w:val="000000" w:themeColor="text1"/>
        </w:rPr>
        <w:t>Each quarter, the partnerships team contact the leads for each of the partnerships to identify any changes.  Leads are also asked to submit any changes as soon as possible following the date of the change to ensure the Partnerships Tracker is up-to date.</w:t>
      </w:r>
    </w:p>
    <w:p w14:paraId="005020B1" w14:textId="49C3E265" w:rsidR="14BDC866" w:rsidRDefault="14BDC866" w:rsidP="00C11590">
      <w:pPr>
        <w:spacing w:after="0" w:line="240" w:lineRule="auto"/>
        <w:jc w:val="both"/>
        <w:rPr>
          <w:rFonts w:eastAsia="Verdana" w:cs="Verdana"/>
          <w:color w:val="000000" w:themeColor="text1"/>
        </w:rPr>
      </w:pPr>
    </w:p>
    <w:p w14:paraId="05096B26" w14:textId="505A7192" w:rsidR="1918C542" w:rsidRDefault="1918C542" w:rsidP="00C11590">
      <w:pPr>
        <w:spacing w:after="0" w:line="240" w:lineRule="auto"/>
        <w:jc w:val="both"/>
      </w:pPr>
      <w:r w:rsidRPr="14BDC866">
        <w:rPr>
          <w:rFonts w:eastAsia="Verdana" w:cs="Verdana"/>
          <w:color w:val="000000" w:themeColor="text1"/>
        </w:rPr>
        <w:t>The table below provides a snapshot of the changes recorded in the Partnerships Tracker for Q1 2026/27 with a summary of changes provided in the section below. Further detail is provided in Appendix A.</w:t>
      </w:r>
    </w:p>
    <w:p w14:paraId="2BEE075A" w14:textId="31B265E1" w:rsidR="14BDC866" w:rsidRDefault="14BDC866" w:rsidP="14BDC866">
      <w:pPr>
        <w:spacing w:after="0" w:line="240" w:lineRule="auto"/>
        <w:ind w:left="360"/>
        <w:jc w:val="both"/>
        <w:rPr>
          <w:rFonts w:eastAsia="Verdana" w:cs="Verdana"/>
          <w:color w:val="000000" w:themeColor="text1"/>
        </w:rPr>
      </w:pPr>
    </w:p>
    <w:tbl>
      <w:tblPr>
        <w:tblStyle w:val="TableGrid"/>
        <w:tblW w:w="0" w:type="auto"/>
        <w:tblInd w:w="360" w:type="dxa"/>
        <w:tblLook w:val="06A0" w:firstRow="1" w:lastRow="0" w:firstColumn="1" w:lastColumn="0" w:noHBand="1" w:noVBand="1"/>
      </w:tblPr>
      <w:tblGrid>
        <w:gridCol w:w="1140"/>
        <w:gridCol w:w="2550"/>
        <w:gridCol w:w="3712"/>
        <w:gridCol w:w="1252"/>
      </w:tblGrid>
      <w:tr w:rsidR="14BDC866" w14:paraId="73FAB33E" w14:textId="77777777" w:rsidTr="14BDC866">
        <w:trPr>
          <w:trHeight w:val="300"/>
        </w:trPr>
        <w:tc>
          <w:tcPr>
            <w:tcW w:w="1140" w:type="dxa"/>
            <w:shd w:val="clear" w:color="auto" w:fill="DEEAF6" w:themeFill="accent1" w:themeFillTint="33"/>
          </w:tcPr>
          <w:p w14:paraId="0067FB2C" w14:textId="3FE16125" w:rsidR="1918C542" w:rsidRDefault="1918C542" w:rsidP="14BDC866">
            <w:pPr>
              <w:jc w:val="center"/>
              <w:rPr>
                <w:rFonts w:eastAsia="Verdana" w:cs="Verdana"/>
                <w:b/>
                <w:bCs/>
                <w:color w:val="000000" w:themeColor="text1"/>
              </w:rPr>
            </w:pPr>
            <w:r w:rsidRPr="14BDC866">
              <w:rPr>
                <w:rFonts w:eastAsia="Verdana" w:cs="Verdana"/>
                <w:b/>
                <w:bCs/>
                <w:color w:val="000000" w:themeColor="text1"/>
              </w:rPr>
              <w:t>Ref.</w:t>
            </w:r>
          </w:p>
        </w:tc>
        <w:tc>
          <w:tcPr>
            <w:tcW w:w="2550" w:type="dxa"/>
            <w:shd w:val="clear" w:color="auto" w:fill="DEEAF6" w:themeFill="accent1" w:themeFillTint="33"/>
          </w:tcPr>
          <w:p w14:paraId="60197A36" w14:textId="4AE32974" w:rsidR="1918C542" w:rsidRDefault="1918C542" w:rsidP="14BDC866">
            <w:pPr>
              <w:jc w:val="center"/>
              <w:rPr>
                <w:rFonts w:eastAsia="Verdana" w:cs="Verdana"/>
                <w:b/>
                <w:bCs/>
                <w:color w:val="000000" w:themeColor="text1"/>
              </w:rPr>
            </w:pPr>
            <w:r w:rsidRPr="14BDC866">
              <w:rPr>
                <w:rFonts w:eastAsia="Verdana" w:cs="Verdana"/>
                <w:b/>
                <w:bCs/>
                <w:color w:val="000000" w:themeColor="text1"/>
              </w:rPr>
              <w:t>Partnership Name</w:t>
            </w:r>
          </w:p>
        </w:tc>
        <w:tc>
          <w:tcPr>
            <w:tcW w:w="3712" w:type="dxa"/>
            <w:shd w:val="clear" w:color="auto" w:fill="DEEAF6" w:themeFill="accent1" w:themeFillTint="33"/>
          </w:tcPr>
          <w:p w14:paraId="52A00C03" w14:textId="15535F01" w:rsidR="1918C542" w:rsidRDefault="1918C542" w:rsidP="14BDC866">
            <w:pPr>
              <w:jc w:val="center"/>
              <w:rPr>
                <w:rFonts w:eastAsia="Verdana" w:cs="Verdana"/>
                <w:b/>
                <w:bCs/>
                <w:color w:val="000000" w:themeColor="text1"/>
              </w:rPr>
            </w:pPr>
            <w:r w:rsidRPr="14BDC866">
              <w:rPr>
                <w:rFonts w:eastAsia="Verdana" w:cs="Verdana"/>
                <w:b/>
                <w:bCs/>
                <w:color w:val="000000" w:themeColor="text1"/>
              </w:rPr>
              <w:t>Amendment</w:t>
            </w:r>
          </w:p>
        </w:tc>
        <w:tc>
          <w:tcPr>
            <w:tcW w:w="1252" w:type="dxa"/>
            <w:shd w:val="clear" w:color="auto" w:fill="DEEAF6" w:themeFill="accent1" w:themeFillTint="33"/>
          </w:tcPr>
          <w:p w14:paraId="2B1167E5" w14:textId="4AD6EC0F" w:rsidR="1918C542" w:rsidRDefault="1918C542" w:rsidP="14BDC866">
            <w:pPr>
              <w:jc w:val="center"/>
              <w:rPr>
                <w:rFonts w:eastAsia="Verdana" w:cs="Verdana"/>
                <w:b/>
                <w:bCs/>
                <w:color w:val="000000" w:themeColor="text1"/>
              </w:rPr>
            </w:pPr>
            <w:r w:rsidRPr="14BDC866">
              <w:rPr>
                <w:rFonts w:eastAsia="Verdana" w:cs="Verdana"/>
                <w:b/>
                <w:bCs/>
                <w:color w:val="000000" w:themeColor="text1"/>
              </w:rPr>
              <w:t>Date</w:t>
            </w:r>
          </w:p>
        </w:tc>
      </w:tr>
      <w:tr w:rsidR="14BDC866" w14:paraId="5689E203" w14:textId="77777777" w:rsidTr="14BDC866">
        <w:trPr>
          <w:trHeight w:val="300"/>
        </w:trPr>
        <w:tc>
          <w:tcPr>
            <w:tcW w:w="1140" w:type="dxa"/>
          </w:tcPr>
          <w:p w14:paraId="57E02C5C" w14:textId="2D2C802E" w:rsidR="1918C542" w:rsidRDefault="1918C542" w:rsidP="14BDC866">
            <w:r w:rsidRPr="14BDC866">
              <w:rPr>
                <w:rFonts w:eastAsia="Verdana" w:cs="Verdana"/>
                <w:color w:val="000000" w:themeColor="text1"/>
              </w:rPr>
              <w:t>1.1</w:t>
            </w:r>
          </w:p>
        </w:tc>
        <w:tc>
          <w:tcPr>
            <w:tcW w:w="2550" w:type="dxa"/>
          </w:tcPr>
          <w:p w14:paraId="0F886703" w14:textId="3104A594" w:rsidR="1918C542" w:rsidRDefault="1918C542" w:rsidP="14BDC866">
            <w:pPr>
              <w:jc w:val="both"/>
              <w:rPr>
                <w:rFonts w:eastAsia="Verdana" w:cs="Verdana"/>
              </w:rPr>
            </w:pPr>
            <w:r w:rsidRPr="14BDC866">
              <w:rPr>
                <w:rFonts w:eastAsia="Verdana" w:cs="Verdana"/>
                <w:color w:val="000000" w:themeColor="text1"/>
              </w:rPr>
              <w:t>West Glamorgan Regional Partnership Board</w:t>
            </w:r>
          </w:p>
          <w:p w14:paraId="1A4C3080" w14:textId="7ED90544" w:rsidR="14BDC866" w:rsidRDefault="14BDC866" w:rsidP="14BDC866">
            <w:pPr>
              <w:rPr>
                <w:rFonts w:eastAsia="Verdana" w:cs="Verdana"/>
                <w:color w:val="000000" w:themeColor="text1"/>
              </w:rPr>
            </w:pPr>
          </w:p>
        </w:tc>
        <w:tc>
          <w:tcPr>
            <w:tcW w:w="3712" w:type="dxa"/>
          </w:tcPr>
          <w:p w14:paraId="61BE52CA" w14:textId="54974B81" w:rsidR="1918C542" w:rsidRDefault="1918C542" w:rsidP="14BDC866">
            <w:pPr>
              <w:pStyle w:val="ListParagraph"/>
              <w:numPr>
                <w:ilvl w:val="0"/>
                <w:numId w:val="10"/>
              </w:numPr>
              <w:jc w:val="both"/>
              <w:rPr>
                <w:rFonts w:eastAsia="Verdana" w:cs="Verdana"/>
              </w:rPr>
            </w:pPr>
            <w:r w:rsidRPr="14BDC866">
              <w:rPr>
                <w:rFonts w:eastAsia="Verdana" w:cs="Verdana"/>
                <w:color w:val="000000" w:themeColor="text1"/>
              </w:rPr>
              <w:t>Renaming of Strategic Capital Board to Capital Assurance Board</w:t>
            </w:r>
          </w:p>
          <w:p w14:paraId="20425962" w14:textId="23652607" w:rsidR="14BDC866" w:rsidRDefault="14BDC866" w:rsidP="14BDC866">
            <w:pPr>
              <w:rPr>
                <w:rFonts w:eastAsia="Verdana" w:cs="Verdana"/>
                <w:color w:val="000000" w:themeColor="text1"/>
              </w:rPr>
            </w:pPr>
          </w:p>
        </w:tc>
        <w:tc>
          <w:tcPr>
            <w:tcW w:w="1252" w:type="dxa"/>
          </w:tcPr>
          <w:p w14:paraId="46CF0DBA" w14:textId="28DE8B26" w:rsidR="1918C542" w:rsidRDefault="1918C542" w:rsidP="14BDC866">
            <w:r w:rsidRPr="14BDC866">
              <w:rPr>
                <w:rFonts w:eastAsia="Verdana" w:cs="Verdana"/>
                <w:color w:val="000000" w:themeColor="text1"/>
              </w:rPr>
              <w:t>April 2026</w:t>
            </w:r>
          </w:p>
        </w:tc>
      </w:tr>
      <w:tr w:rsidR="14BDC866" w14:paraId="457B777F" w14:textId="77777777" w:rsidTr="14BDC866">
        <w:trPr>
          <w:trHeight w:val="300"/>
        </w:trPr>
        <w:tc>
          <w:tcPr>
            <w:tcW w:w="1140" w:type="dxa"/>
          </w:tcPr>
          <w:p w14:paraId="6986FD03" w14:textId="2B5A6274" w:rsidR="1918C542" w:rsidRDefault="1918C542" w:rsidP="14BDC866">
            <w:r w:rsidRPr="14BDC866">
              <w:rPr>
                <w:rFonts w:eastAsia="Verdana" w:cs="Verdana"/>
                <w:color w:val="000000" w:themeColor="text1"/>
              </w:rPr>
              <w:t>1.2</w:t>
            </w:r>
          </w:p>
        </w:tc>
        <w:tc>
          <w:tcPr>
            <w:tcW w:w="2550" w:type="dxa"/>
          </w:tcPr>
          <w:p w14:paraId="43D36C2A" w14:textId="26CAFA8E" w:rsidR="1918C542" w:rsidRDefault="1918C542" w:rsidP="14BDC866">
            <w:pPr>
              <w:rPr>
                <w:rFonts w:eastAsia="Verdana" w:cs="Verdana"/>
              </w:rPr>
            </w:pPr>
            <w:r w:rsidRPr="14BDC866">
              <w:rPr>
                <w:rFonts w:eastAsia="Verdana" w:cs="Verdana"/>
                <w:color w:val="000000" w:themeColor="text1"/>
              </w:rPr>
              <w:t>Swansea Public Service Board</w:t>
            </w:r>
          </w:p>
        </w:tc>
        <w:tc>
          <w:tcPr>
            <w:tcW w:w="3712" w:type="dxa"/>
          </w:tcPr>
          <w:p w14:paraId="758BFF6E" w14:textId="4581143B" w:rsidR="1918C542" w:rsidRDefault="1918C542" w:rsidP="14BDC866">
            <w:pPr>
              <w:pStyle w:val="ListParagraph"/>
              <w:numPr>
                <w:ilvl w:val="0"/>
                <w:numId w:val="11"/>
              </w:numPr>
              <w:rPr>
                <w:rFonts w:eastAsia="Verdana" w:cs="Verdana"/>
                <w:color w:val="000000" w:themeColor="text1"/>
              </w:rPr>
            </w:pPr>
            <w:r w:rsidRPr="14BDC866">
              <w:rPr>
                <w:rFonts w:eastAsia="Verdana" w:cs="Verdana"/>
                <w:color w:val="000000" w:themeColor="text1"/>
              </w:rPr>
              <w:t>Renaming of Early Years Integrated Steering Group programme to Early Years Leadership Group (Swansea)</w:t>
            </w:r>
          </w:p>
          <w:p w14:paraId="5E39E5A6" w14:textId="33BFA0F8" w:rsidR="1918C542" w:rsidRDefault="1918C542" w:rsidP="14BDC866">
            <w:pPr>
              <w:pStyle w:val="ListParagraph"/>
              <w:numPr>
                <w:ilvl w:val="0"/>
                <w:numId w:val="11"/>
              </w:numPr>
              <w:rPr>
                <w:rFonts w:eastAsia="Verdana" w:cs="Verdana"/>
                <w:color w:val="000000" w:themeColor="text1"/>
              </w:rPr>
            </w:pPr>
            <w:r w:rsidRPr="14BDC866">
              <w:rPr>
                <w:rFonts w:eastAsia="Verdana" w:cs="Verdana"/>
                <w:color w:val="000000" w:themeColor="text1"/>
              </w:rPr>
              <w:t>Streamlining of SBUHB membership</w:t>
            </w:r>
          </w:p>
          <w:p w14:paraId="6142E39D" w14:textId="5D540DCD" w:rsidR="14BDC866" w:rsidRDefault="14BDC866" w:rsidP="14BDC866">
            <w:pPr>
              <w:rPr>
                <w:rFonts w:eastAsia="Verdana" w:cs="Verdana"/>
                <w:color w:val="000000" w:themeColor="text1"/>
              </w:rPr>
            </w:pPr>
          </w:p>
        </w:tc>
        <w:tc>
          <w:tcPr>
            <w:tcW w:w="1252" w:type="dxa"/>
          </w:tcPr>
          <w:p w14:paraId="0A7C5901" w14:textId="78C7DAA7" w:rsidR="1918C542" w:rsidRDefault="1918C542" w:rsidP="14BDC866">
            <w:r w:rsidRPr="14BDC866">
              <w:rPr>
                <w:rFonts w:eastAsia="Verdana" w:cs="Verdana"/>
                <w:color w:val="000000" w:themeColor="text1"/>
              </w:rPr>
              <w:t>April 2026</w:t>
            </w:r>
          </w:p>
        </w:tc>
      </w:tr>
      <w:tr w:rsidR="14BDC866" w14:paraId="708F1982" w14:textId="77777777" w:rsidTr="14BDC866">
        <w:trPr>
          <w:trHeight w:val="300"/>
        </w:trPr>
        <w:tc>
          <w:tcPr>
            <w:tcW w:w="1140" w:type="dxa"/>
          </w:tcPr>
          <w:p w14:paraId="4EA955E1" w14:textId="2E430FFE" w:rsidR="1918C542" w:rsidRDefault="1918C542" w:rsidP="14BDC866">
            <w:r w:rsidRPr="14BDC866">
              <w:rPr>
                <w:rFonts w:eastAsia="Verdana" w:cs="Verdana"/>
                <w:color w:val="000000" w:themeColor="text1"/>
              </w:rPr>
              <w:t>1.3</w:t>
            </w:r>
          </w:p>
        </w:tc>
        <w:tc>
          <w:tcPr>
            <w:tcW w:w="2550" w:type="dxa"/>
          </w:tcPr>
          <w:p w14:paraId="096E1283" w14:textId="2A5FFD47" w:rsidR="1918C542" w:rsidRDefault="1918C542" w:rsidP="14BDC866">
            <w:pPr>
              <w:jc w:val="both"/>
              <w:rPr>
                <w:rFonts w:eastAsia="Verdana" w:cs="Verdana"/>
              </w:rPr>
            </w:pPr>
            <w:r w:rsidRPr="14BDC866">
              <w:rPr>
                <w:rFonts w:eastAsia="Verdana" w:cs="Verdana"/>
                <w:color w:val="000000" w:themeColor="text1"/>
              </w:rPr>
              <w:t>Neath Port Talbot Public Service Board</w:t>
            </w:r>
          </w:p>
          <w:p w14:paraId="4509FCCA" w14:textId="7BA3A8DD" w:rsidR="14BDC866" w:rsidRDefault="14BDC866" w:rsidP="14BDC866">
            <w:pPr>
              <w:rPr>
                <w:rFonts w:eastAsia="Verdana" w:cs="Verdana"/>
                <w:color w:val="000000" w:themeColor="text1"/>
              </w:rPr>
            </w:pPr>
          </w:p>
        </w:tc>
        <w:tc>
          <w:tcPr>
            <w:tcW w:w="3712" w:type="dxa"/>
          </w:tcPr>
          <w:p w14:paraId="73D38BE9" w14:textId="1AE8BDAE" w:rsidR="1918C542" w:rsidRDefault="1918C542" w:rsidP="14BDC866">
            <w:pPr>
              <w:pStyle w:val="ListParagraph"/>
              <w:numPr>
                <w:ilvl w:val="0"/>
                <w:numId w:val="9"/>
              </w:numPr>
              <w:rPr>
                <w:rFonts w:eastAsia="Verdana" w:cs="Verdana"/>
              </w:rPr>
            </w:pPr>
            <w:r w:rsidRPr="14BDC866">
              <w:rPr>
                <w:rFonts w:eastAsia="Verdana" w:cs="Verdana"/>
                <w:color w:val="000000" w:themeColor="text1"/>
              </w:rPr>
              <w:t>Streamlining of SBUHB membership</w:t>
            </w:r>
          </w:p>
          <w:p w14:paraId="661F6C9C" w14:textId="19D6D9DC" w:rsidR="14BDC866" w:rsidRDefault="14BDC866" w:rsidP="14BDC866">
            <w:pPr>
              <w:rPr>
                <w:rFonts w:eastAsia="Verdana" w:cs="Verdana"/>
                <w:color w:val="000000" w:themeColor="text1"/>
              </w:rPr>
            </w:pPr>
          </w:p>
        </w:tc>
        <w:tc>
          <w:tcPr>
            <w:tcW w:w="1252" w:type="dxa"/>
          </w:tcPr>
          <w:p w14:paraId="40269222" w14:textId="573EEAB6" w:rsidR="1918C542" w:rsidRDefault="1918C542" w:rsidP="14BDC866">
            <w:r w:rsidRPr="14BDC866">
              <w:rPr>
                <w:rFonts w:eastAsia="Verdana" w:cs="Verdana"/>
                <w:color w:val="000000" w:themeColor="text1"/>
              </w:rPr>
              <w:t>May 2026</w:t>
            </w:r>
          </w:p>
        </w:tc>
      </w:tr>
      <w:tr w:rsidR="14BDC866" w14:paraId="6A8CC91B" w14:textId="77777777" w:rsidTr="14BDC866">
        <w:trPr>
          <w:trHeight w:val="300"/>
        </w:trPr>
        <w:tc>
          <w:tcPr>
            <w:tcW w:w="1140" w:type="dxa"/>
          </w:tcPr>
          <w:p w14:paraId="0C4F038F" w14:textId="10654BA9" w:rsidR="1918C542" w:rsidRDefault="1918C542" w:rsidP="14BDC866">
            <w:r w:rsidRPr="14BDC866">
              <w:rPr>
                <w:rFonts w:eastAsia="Verdana" w:cs="Verdana"/>
                <w:color w:val="000000" w:themeColor="text1"/>
              </w:rPr>
              <w:lastRenderedPageBreak/>
              <w:t>1.4</w:t>
            </w:r>
          </w:p>
        </w:tc>
        <w:tc>
          <w:tcPr>
            <w:tcW w:w="2550" w:type="dxa"/>
          </w:tcPr>
          <w:p w14:paraId="4E318D89" w14:textId="3045A069" w:rsidR="1918C542" w:rsidRDefault="1918C542" w:rsidP="14BDC866">
            <w:pPr>
              <w:rPr>
                <w:rFonts w:eastAsia="Verdana" w:cs="Verdana"/>
              </w:rPr>
            </w:pPr>
            <w:r w:rsidRPr="14BDC866">
              <w:rPr>
                <w:rFonts w:eastAsia="Verdana" w:cs="Verdana"/>
                <w:color w:val="000000" w:themeColor="text1"/>
              </w:rPr>
              <w:t>Area Planning Board/Neath Port Talbot &amp; Swansea Drug &amp; Alcohol Leadership Board</w:t>
            </w:r>
          </w:p>
          <w:p w14:paraId="1B63C0FF" w14:textId="70DEB71B" w:rsidR="14BDC866" w:rsidRDefault="14BDC866" w:rsidP="14BDC866">
            <w:pPr>
              <w:rPr>
                <w:rFonts w:eastAsia="Verdana" w:cs="Verdana"/>
                <w:color w:val="000000" w:themeColor="text1"/>
              </w:rPr>
            </w:pPr>
          </w:p>
        </w:tc>
        <w:tc>
          <w:tcPr>
            <w:tcW w:w="3712" w:type="dxa"/>
          </w:tcPr>
          <w:p w14:paraId="1676C954" w14:textId="25D54B32" w:rsidR="1918C542" w:rsidRDefault="1918C542" w:rsidP="14BDC866">
            <w:pPr>
              <w:pStyle w:val="ListParagraph"/>
              <w:numPr>
                <w:ilvl w:val="0"/>
                <w:numId w:val="8"/>
              </w:numPr>
              <w:rPr>
                <w:rFonts w:eastAsia="Verdana" w:cs="Verdana"/>
              </w:rPr>
            </w:pPr>
            <w:r w:rsidRPr="14BDC866">
              <w:rPr>
                <w:rFonts w:eastAsia="Verdana" w:cs="Verdana"/>
                <w:color w:val="000000" w:themeColor="text1"/>
              </w:rPr>
              <w:t>Renaming of Area Planning Board to Neath Port Talbot &amp; Swansea Drug &amp; Alcohol Leadership Board (DALB)</w:t>
            </w:r>
          </w:p>
          <w:p w14:paraId="0A4300C6" w14:textId="18F2C6D1" w:rsidR="14BDC866" w:rsidRDefault="14BDC866" w:rsidP="14BDC866">
            <w:pPr>
              <w:rPr>
                <w:rFonts w:eastAsia="Verdana" w:cs="Verdana"/>
                <w:color w:val="000000" w:themeColor="text1"/>
              </w:rPr>
            </w:pPr>
          </w:p>
        </w:tc>
        <w:tc>
          <w:tcPr>
            <w:tcW w:w="1252" w:type="dxa"/>
          </w:tcPr>
          <w:p w14:paraId="6C2E56D2" w14:textId="42A097CF" w:rsidR="1918C542" w:rsidRDefault="1918C542" w:rsidP="14BDC866">
            <w:r w:rsidRPr="14BDC866">
              <w:rPr>
                <w:rFonts w:eastAsia="Verdana" w:cs="Verdana"/>
                <w:color w:val="000000" w:themeColor="text1"/>
              </w:rPr>
              <w:t>June 2026</w:t>
            </w:r>
          </w:p>
        </w:tc>
      </w:tr>
      <w:tr w:rsidR="14BDC866" w14:paraId="3B195ABF" w14:textId="77777777" w:rsidTr="14BDC866">
        <w:trPr>
          <w:trHeight w:val="300"/>
        </w:trPr>
        <w:tc>
          <w:tcPr>
            <w:tcW w:w="1140" w:type="dxa"/>
          </w:tcPr>
          <w:p w14:paraId="47803E2F" w14:textId="66F39A15" w:rsidR="1918C542" w:rsidRDefault="1918C542" w:rsidP="14BDC866">
            <w:r w:rsidRPr="14BDC866">
              <w:rPr>
                <w:rFonts w:eastAsia="Verdana" w:cs="Verdana"/>
                <w:color w:val="000000" w:themeColor="text1"/>
              </w:rPr>
              <w:t>1.5</w:t>
            </w:r>
          </w:p>
        </w:tc>
        <w:tc>
          <w:tcPr>
            <w:tcW w:w="2550" w:type="dxa"/>
          </w:tcPr>
          <w:p w14:paraId="41AF02C8" w14:textId="274DC0FE" w:rsidR="1918C542" w:rsidRDefault="1918C542" w:rsidP="14BDC866">
            <w:pPr>
              <w:jc w:val="both"/>
              <w:rPr>
                <w:rFonts w:eastAsia="Verdana" w:cs="Verdana"/>
              </w:rPr>
            </w:pPr>
            <w:r w:rsidRPr="14BDC866">
              <w:rPr>
                <w:rFonts w:eastAsia="Verdana" w:cs="Verdana"/>
                <w:color w:val="000000" w:themeColor="text1"/>
              </w:rPr>
              <w:t>TATA Steel/Port Talbot Transition Board</w:t>
            </w:r>
          </w:p>
          <w:p w14:paraId="7113C266" w14:textId="766046A8" w:rsidR="14BDC866" w:rsidRDefault="14BDC866" w:rsidP="14BDC866">
            <w:pPr>
              <w:rPr>
                <w:rFonts w:eastAsia="Verdana" w:cs="Verdana"/>
                <w:color w:val="000000" w:themeColor="text1"/>
              </w:rPr>
            </w:pPr>
          </w:p>
        </w:tc>
        <w:tc>
          <w:tcPr>
            <w:tcW w:w="3712" w:type="dxa"/>
          </w:tcPr>
          <w:p w14:paraId="2936193C" w14:textId="070DD085" w:rsidR="1918C542" w:rsidRDefault="1918C542" w:rsidP="14BDC866">
            <w:pPr>
              <w:pStyle w:val="ListParagraph"/>
              <w:numPr>
                <w:ilvl w:val="0"/>
                <w:numId w:val="7"/>
              </w:numPr>
              <w:rPr>
                <w:rFonts w:eastAsia="Verdana" w:cs="Verdana"/>
              </w:rPr>
            </w:pPr>
            <w:r w:rsidRPr="14BDC866">
              <w:rPr>
                <w:rFonts w:eastAsia="Verdana" w:cs="Verdana"/>
                <w:color w:val="000000" w:themeColor="text1"/>
              </w:rPr>
              <w:t>Addition of new partnership</w:t>
            </w:r>
          </w:p>
          <w:p w14:paraId="5209ECBD" w14:textId="075DAAA8" w:rsidR="14BDC866" w:rsidRDefault="14BDC866" w:rsidP="14BDC866">
            <w:pPr>
              <w:rPr>
                <w:rFonts w:eastAsia="Verdana" w:cs="Verdana"/>
                <w:color w:val="000000" w:themeColor="text1"/>
              </w:rPr>
            </w:pPr>
          </w:p>
        </w:tc>
        <w:tc>
          <w:tcPr>
            <w:tcW w:w="1252" w:type="dxa"/>
          </w:tcPr>
          <w:p w14:paraId="51F817C4" w14:textId="7CABDA2D" w:rsidR="1918C542" w:rsidRDefault="1918C542" w:rsidP="14BDC866">
            <w:r w:rsidRPr="14BDC866">
              <w:rPr>
                <w:rFonts w:eastAsia="Verdana" w:cs="Verdana"/>
                <w:color w:val="000000" w:themeColor="text1"/>
              </w:rPr>
              <w:t>June 2026</w:t>
            </w:r>
          </w:p>
        </w:tc>
      </w:tr>
      <w:tr w:rsidR="14BDC866" w14:paraId="350EDA51" w14:textId="77777777" w:rsidTr="14BDC866">
        <w:trPr>
          <w:trHeight w:val="300"/>
        </w:trPr>
        <w:tc>
          <w:tcPr>
            <w:tcW w:w="1140" w:type="dxa"/>
          </w:tcPr>
          <w:p w14:paraId="254F8B4B" w14:textId="00C05A9C" w:rsidR="1918C542" w:rsidRDefault="1918C542" w:rsidP="14BDC866">
            <w:r w:rsidRPr="14BDC866">
              <w:rPr>
                <w:rFonts w:eastAsia="Verdana" w:cs="Verdana"/>
                <w:color w:val="000000" w:themeColor="text1"/>
              </w:rPr>
              <w:t>1.6</w:t>
            </w:r>
          </w:p>
        </w:tc>
        <w:tc>
          <w:tcPr>
            <w:tcW w:w="2550" w:type="dxa"/>
          </w:tcPr>
          <w:p w14:paraId="343AD780" w14:textId="081AD575" w:rsidR="1918C542" w:rsidRDefault="1918C542" w:rsidP="14BDC866">
            <w:pPr>
              <w:jc w:val="both"/>
              <w:rPr>
                <w:rFonts w:eastAsia="Verdana" w:cs="Verdana"/>
              </w:rPr>
            </w:pPr>
            <w:r w:rsidRPr="14BDC866">
              <w:rPr>
                <w:rFonts w:eastAsia="Verdana" w:cs="Verdana"/>
                <w:color w:val="000000" w:themeColor="text1"/>
              </w:rPr>
              <w:t>NHS Wales Executive: Foundational Economy NHS Leadership Group</w:t>
            </w:r>
          </w:p>
          <w:p w14:paraId="368D5E7C" w14:textId="161515F6" w:rsidR="14BDC866" w:rsidRDefault="14BDC866" w:rsidP="14BDC866">
            <w:pPr>
              <w:rPr>
                <w:rFonts w:eastAsia="Verdana" w:cs="Verdana"/>
                <w:color w:val="000000" w:themeColor="text1"/>
              </w:rPr>
            </w:pPr>
          </w:p>
        </w:tc>
        <w:tc>
          <w:tcPr>
            <w:tcW w:w="3712" w:type="dxa"/>
          </w:tcPr>
          <w:p w14:paraId="0FFE1FA2" w14:textId="00E66AA6" w:rsidR="1918C542" w:rsidRDefault="1918C542" w:rsidP="14BDC866">
            <w:pPr>
              <w:pStyle w:val="ListParagraph"/>
              <w:numPr>
                <w:ilvl w:val="0"/>
                <w:numId w:val="6"/>
              </w:numPr>
              <w:rPr>
                <w:rFonts w:eastAsia="Verdana" w:cs="Verdana"/>
              </w:rPr>
            </w:pPr>
            <w:r w:rsidRPr="14BDC866">
              <w:rPr>
                <w:rFonts w:eastAsia="Verdana" w:cs="Verdana"/>
                <w:color w:val="000000" w:themeColor="text1"/>
              </w:rPr>
              <w:t>Addition of new partnership</w:t>
            </w:r>
          </w:p>
          <w:p w14:paraId="76C91292" w14:textId="4248197F" w:rsidR="14BDC866" w:rsidRDefault="14BDC866" w:rsidP="14BDC866">
            <w:pPr>
              <w:rPr>
                <w:rFonts w:eastAsia="Verdana" w:cs="Verdana"/>
                <w:color w:val="000000" w:themeColor="text1"/>
              </w:rPr>
            </w:pPr>
          </w:p>
        </w:tc>
        <w:tc>
          <w:tcPr>
            <w:tcW w:w="1252" w:type="dxa"/>
          </w:tcPr>
          <w:p w14:paraId="0E517932" w14:textId="356F3255" w:rsidR="1918C542" w:rsidRDefault="1918C542" w:rsidP="14BDC866">
            <w:r w:rsidRPr="14BDC866">
              <w:rPr>
                <w:rFonts w:eastAsia="Verdana" w:cs="Verdana"/>
                <w:color w:val="000000" w:themeColor="text1"/>
              </w:rPr>
              <w:t>June 2026</w:t>
            </w:r>
          </w:p>
        </w:tc>
      </w:tr>
      <w:tr w:rsidR="14BDC866" w14:paraId="1D32630C" w14:textId="77777777" w:rsidTr="14BDC866">
        <w:trPr>
          <w:trHeight w:val="300"/>
        </w:trPr>
        <w:tc>
          <w:tcPr>
            <w:tcW w:w="1140" w:type="dxa"/>
          </w:tcPr>
          <w:p w14:paraId="40DAFCF9" w14:textId="25CDE572" w:rsidR="1918C542" w:rsidRDefault="1918C542" w:rsidP="14BDC866">
            <w:r w:rsidRPr="14BDC866">
              <w:rPr>
                <w:rFonts w:eastAsia="Verdana" w:cs="Verdana"/>
                <w:color w:val="000000" w:themeColor="text1"/>
              </w:rPr>
              <w:t>1.7</w:t>
            </w:r>
          </w:p>
        </w:tc>
        <w:tc>
          <w:tcPr>
            <w:tcW w:w="2550" w:type="dxa"/>
          </w:tcPr>
          <w:p w14:paraId="71DB4321" w14:textId="3F10DD84" w:rsidR="1918C542" w:rsidRDefault="1918C542" w:rsidP="14BDC866">
            <w:pPr>
              <w:jc w:val="both"/>
              <w:rPr>
                <w:rFonts w:eastAsia="Verdana" w:cs="Verdana"/>
              </w:rPr>
            </w:pPr>
            <w:r w:rsidRPr="14BDC866">
              <w:rPr>
                <w:rFonts w:eastAsia="Verdana" w:cs="Verdana"/>
                <w:color w:val="000000" w:themeColor="text1"/>
              </w:rPr>
              <w:t>SBUHB/CTMUHB Bridgend Boundary Change Programme</w:t>
            </w:r>
          </w:p>
          <w:p w14:paraId="1A294705" w14:textId="77AC3D8E" w:rsidR="14BDC866" w:rsidRDefault="14BDC866" w:rsidP="14BDC866">
            <w:pPr>
              <w:rPr>
                <w:rFonts w:eastAsia="Verdana" w:cs="Verdana"/>
                <w:color w:val="000000" w:themeColor="text1"/>
              </w:rPr>
            </w:pPr>
          </w:p>
        </w:tc>
        <w:tc>
          <w:tcPr>
            <w:tcW w:w="3712" w:type="dxa"/>
          </w:tcPr>
          <w:p w14:paraId="23B0817D" w14:textId="66B6DED0" w:rsidR="1918C542" w:rsidRDefault="1918C542" w:rsidP="14BDC866">
            <w:pPr>
              <w:pStyle w:val="ListParagraph"/>
              <w:numPr>
                <w:ilvl w:val="0"/>
                <w:numId w:val="5"/>
              </w:numPr>
              <w:rPr>
                <w:rFonts w:eastAsia="Verdana" w:cs="Verdana"/>
              </w:rPr>
            </w:pPr>
            <w:r w:rsidRPr="14BDC866">
              <w:rPr>
                <w:rFonts w:eastAsia="Verdana" w:cs="Verdana"/>
                <w:color w:val="000000" w:themeColor="text1"/>
              </w:rPr>
              <w:t>Updating of SBUHB membership</w:t>
            </w:r>
          </w:p>
          <w:p w14:paraId="6526F960" w14:textId="406DECF9" w:rsidR="14BDC866" w:rsidRDefault="14BDC866" w:rsidP="14BDC866">
            <w:pPr>
              <w:rPr>
                <w:rFonts w:eastAsia="Verdana" w:cs="Verdana"/>
                <w:color w:val="000000" w:themeColor="text1"/>
              </w:rPr>
            </w:pPr>
          </w:p>
        </w:tc>
        <w:tc>
          <w:tcPr>
            <w:tcW w:w="1252" w:type="dxa"/>
          </w:tcPr>
          <w:p w14:paraId="451CF9AF" w14:textId="62789940" w:rsidR="1918C542" w:rsidRDefault="1918C542" w:rsidP="14BDC866">
            <w:r w:rsidRPr="14BDC866">
              <w:rPr>
                <w:rFonts w:eastAsia="Verdana" w:cs="Verdana"/>
                <w:color w:val="000000" w:themeColor="text1"/>
              </w:rPr>
              <w:t>April 2026</w:t>
            </w:r>
          </w:p>
        </w:tc>
      </w:tr>
    </w:tbl>
    <w:p w14:paraId="6D290421" w14:textId="77777777" w:rsidR="00653AEC" w:rsidRPr="00F8567E" w:rsidRDefault="00653AEC" w:rsidP="14BDC866">
      <w:pPr>
        <w:pStyle w:val="ListParagraph"/>
        <w:spacing w:after="0" w:line="240" w:lineRule="auto"/>
        <w:rPr>
          <w:b/>
          <w:bCs/>
        </w:rPr>
      </w:pPr>
    </w:p>
    <w:p w14:paraId="44E99939" w14:textId="2F525903" w:rsidR="2F3370B6" w:rsidRDefault="2F3370B6" w:rsidP="00C11590">
      <w:pPr>
        <w:pStyle w:val="ListParagraph"/>
        <w:numPr>
          <w:ilvl w:val="1"/>
          <w:numId w:val="4"/>
        </w:numPr>
        <w:spacing w:after="0" w:line="240" w:lineRule="auto"/>
        <w:ind w:left="810"/>
        <w:jc w:val="both"/>
        <w:rPr>
          <w:rFonts w:eastAsia="Verdana" w:cs="Verdana"/>
          <w:color w:val="000000" w:themeColor="text1"/>
        </w:rPr>
      </w:pPr>
      <w:r w:rsidRPr="14BDC866">
        <w:rPr>
          <w:rFonts w:eastAsia="Verdana" w:cs="Verdana"/>
          <w:color w:val="000000" w:themeColor="text1"/>
        </w:rPr>
        <w:t>The Strategic Capital Board was renamed the Capital Assurance Board to better reflect its primary function and remit. The Boards main responsibility is to provide assurance, scrutiny and approval of capital schemes, including funding availability ensuring compliance with governance processes. Strategic capital priorities are determined through wider governance arrangements with the Board acting as a key assurance and control point. The revised name, therefore, provides greater clarity for partners and stakeholders regarding the Boards role.</w:t>
      </w:r>
    </w:p>
    <w:p w14:paraId="6687D9AD" w14:textId="01983F86" w:rsidR="14BDC866" w:rsidRDefault="14BDC866" w:rsidP="00C11590">
      <w:pPr>
        <w:spacing w:after="0" w:line="240" w:lineRule="auto"/>
        <w:ind w:left="810"/>
        <w:jc w:val="both"/>
        <w:rPr>
          <w:rFonts w:eastAsia="Verdana" w:cs="Verdana"/>
          <w:color w:val="000000" w:themeColor="text1"/>
        </w:rPr>
      </w:pPr>
    </w:p>
    <w:p w14:paraId="169D44AE" w14:textId="27EC1682" w:rsidR="2F3370B6" w:rsidRDefault="2F3370B6" w:rsidP="00C11590">
      <w:pPr>
        <w:pStyle w:val="ListParagraph"/>
        <w:numPr>
          <w:ilvl w:val="1"/>
          <w:numId w:val="4"/>
        </w:numPr>
        <w:spacing w:after="0" w:line="240" w:lineRule="auto"/>
        <w:ind w:left="810"/>
        <w:jc w:val="both"/>
        <w:rPr>
          <w:rFonts w:eastAsia="Verdana" w:cs="Verdana"/>
          <w:color w:val="000000" w:themeColor="text1"/>
        </w:rPr>
      </w:pPr>
      <w:r w:rsidRPr="14BDC866">
        <w:rPr>
          <w:rFonts w:eastAsia="Verdana" w:cs="Verdana"/>
          <w:color w:val="000000" w:themeColor="text1"/>
        </w:rPr>
        <w:t>The Early Years Integrated Steering Group programme was renamed the Early Years Leadership Group (Swansea) to provide a clearer reflection of its purpose, remit and geographical focus. The revised title emphases the group’s leadership role in coordinating and driving improvements in outcomes for children aged 0-7years across the Swansea region. It also better reflects the groups strategic focus on collaborative working between the Health Board and Swansea Local Authority ensuring a shared commitment to supporting children and their families during the early years of life.</w:t>
      </w:r>
    </w:p>
    <w:p w14:paraId="4983DDBD" w14:textId="5BFA233E" w:rsidR="14BDC866" w:rsidRDefault="14BDC866" w:rsidP="14BDC866">
      <w:pPr>
        <w:spacing w:after="0" w:line="240" w:lineRule="auto"/>
        <w:ind w:left="1440"/>
        <w:jc w:val="both"/>
        <w:rPr>
          <w:rFonts w:eastAsia="Verdana" w:cs="Verdana"/>
          <w:color w:val="000000" w:themeColor="text1"/>
        </w:rPr>
      </w:pPr>
    </w:p>
    <w:p w14:paraId="7487CC83" w14:textId="7CC90A45" w:rsidR="2F3370B6" w:rsidRDefault="2F3370B6" w:rsidP="00C11590">
      <w:pPr>
        <w:pStyle w:val="ListParagraph"/>
        <w:numPr>
          <w:ilvl w:val="1"/>
          <w:numId w:val="4"/>
        </w:numPr>
        <w:spacing w:after="0" w:line="240" w:lineRule="auto"/>
        <w:ind w:left="720"/>
        <w:jc w:val="both"/>
        <w:rPr>
          <w:rFonts w:eastAsia="Verdana" w:cs="Verdana"/>
          <w:color w:val="000000" w:themeColor="text1"/>
        </w:rPr>
      </w:pPr>
      <w:r w:rsidRPr="14BDC866">
        <w:rPr>
          <w:rFonts w:eastAsia="Verdana" w:cs="Verdana"/>
          <w:color w:val="000000" w:themeColor="text1"/>
        </w:rPr>
        <w:t xml:space="preserve">Membership has been updated to reflect the current SBUHB representatives attending the Climate and Nature Partnership Programme within the Neath Port Talbot Public Services Board, </w:t>
      </w:r>
      <w:r w:rsidRPr="14BDC866">
        <w:rPr>
          <w:rFonts w:eastAsia="Verdana" w:cs="Verdana"/>
          <w:color w:val="000000" w:themeColor="text1"/>
        </w:rPr>
        <w:lastRenderedPageBreak/>
        <w:t>ensuring membership records remain accurate and aligned with current attendance and responsibilities.</w:t>
      </w:r>
    </w:p>
    <w:p w14:paraId="48F7FD79" w14:textId="6205A1D1" w:rsidR="14BDC866" w:rsidRDefault="14BDC866" w:rsidP="14BDC866">
      <w:pPr>
        <w:spacing w:after="0" w:line="240" w:lineRule="auto"/>
        <w:ind w:left="1440"/>
        <w:jc w:val="both"/>
        <w:rPr>
          <w:rFonts w:eastAsia="Verdana" w:cs="Verdana"/>
          <w:color w:val="000000" w:themeColor="text1"/>
        </w:rPr>
      </w:pPr>
    </w:p>
    <w:p w14:paraId="6A192C61" w14:textId="4671BDB6" w:rsidR="2F3370B6" w:rsidRDefault="2F3370B6" w:rsidP="00C11590">
      <w:pPr>
        <w:pStyle w:val="ListParagraph"/>
        <w:numPr>
          <w:ilvl w:val="1"/>
          <w:numId w:val="4"/>
        </w:numPr>
        <w:spacing w:after="0" w:line="240" w:lineRule="auto"/>
        <w:ind w:left="720"/>
        <w:jc w:val="both"/>
        <w:rPr>
          <w:rFonts w:eastAsia="Verdana" w:cs="Verdana"/>
          <w:color w:val="000000" w:themeColor="text1"/>
        </w:rPr>
      </w:pPr>
      <w:r w:rsidRPr="14BDC866">
        <w:rPr>
          <w:rFonts w:eastAsia="Verdana" w:cs="Verdana"/>
          <w:color w:val="000000" w:themeColor="text1"/>
        </w:rPr>
        <w:t xml:space="preserve">The Area Planning Board was renamed the Neath Port Talbot &amp; Swansea Drug &amp; Alcohol Leadership Board (DALB) to better reflect its role in providing strategic leadership, oversight and accountability for the planning, commissioning and delivery of drug and alcohol service across the region. The revised title moves away from the generic term “Are Planning Board” and provides greater clarity regarding both the Board’s geographical focus and its purpose in leading a partnership approach to reducing harm, improving outcomes and driving delivery of agreed proprieties across Neath Port Talbot and Swansea. </w:t>
      </w:r>
    </w:p>
    <w:p w14:paraId="72D69556" w14:textId="7B4D0025" w:rsidR="14BDC866" w:rsidRDefault="14BDC866" w:rsidP="00C11590">
      <w:pPr>
        <w:spacing w:after="0" w:line="240" w:lineRule="auto"/>
        <w:ind w:left="720"/>
        <w:jc w:val="both"/>
        <w:rPr>
          <w:rFonts w:eastAsia="Verdana" w:cs="Verdana"/>
          <w:color w:val="000000" w:themeColor="text1"/>
        </w:rPr>
      </w:pPr>
    </w:p>
    <w:p w14:paraId="697CE9B4" w14:textId="2716B9BE" w:rsidR="2F3370B6" w:rsidRDefault="2F3370B6" w:rsidP="00C11590">
      <w:pPr>
        <w:pStyle w:val="ListParagraph"/>
        <w:numPr>
          <w:ilvl w:val="1"/>
          <w:numId w:val="4"/>
        </w:numPr>
        <w:spacing w:after="0" w:line="240" w:lineRule="auto"/>
        <w:ind w:left="720"/>
        <w:jc w:val="both"/>
        <w:rPr>
          <w:rFonts w:eastAsia="Verdana" w:cs="Verdana"/>
          <w:color w:val="000000" w:themeColor="text1"/>
        </w:rPr>
      </w:pPr>
      <w:r w:rsidRPr="14BDC866">
        <w:rPr>
          <w:rFonts w:eastAsia="Verdana" w:cs="Verdana"/>
          <w:color w:val="000000" w:themeColor="text1"/>
        </w:rPr>
        <w:t>The Tata Steel/Port Talbot Transition Board has been added to the partnership tracker to reflect its importance in coordinating the response to the economic, employment and community impacts arising from changes at the Tata Steel Steal works in Port Talbot. The Board brings together key partners to oversee transition planning and support opportunities for economic regeneration. Its inclusion provides visibility and oversight of the Health Board’s involvement in this partnership.</w:t>
      </w:r>
    </w:p>
    <w:p w14:paraId="7E288034" w14:textId="3A20B6BF" w:rsidR="14BDC866" w:rsidRDefault="14BDC866" w:rsidP="00C11590">
      <w:pPr>
        <w:spacing w:after="0" w:line="240" w:lineRule="auto"/>
        <w:ind w:left="720"/>
        <w:jc w:val="both"/>
        <w:rPr>
          <w:rFonts w:eastAsia="Verdana" w:cs="Verdana"/>
          <w:color w:val="000000" w:themeColor="text1"/>
        </w:rPr>
      </w:pPr>
    </w:p>
    <w:p w14:paraId="4D64A420" w14:textId="3FA028CC" w:rsidR="2F3370B6" w:rsidRDefault="2F3370B6" w:rsidP="00C11590">
      <w:pPr>
        <w:pStyle w:val="ListParagraph"/>
        <w:numPr>
          <w:ilvl w:val="1"/>
          <w:numId w:val="4"/>
        </w:numPr>
        <w:spacing w:after="0" w:line="240" w:lineRule="auto"/>
        <w:ind w:left="720"/>
        <w:jc w:val="both"/>
        <w:rPr>
          <w:rFonts w:eastAsia="Verdana" w:cs="Verdana"/>
          <w:color w:val="000000" w:themeColor="text1"/>
        </w:rPr>
      </w:pPr>
      <w:r w:rsidRPr="14BDC866">
        <w:rPr>
          <w:rFonts w:eastAsia="Verdana" w:cs="Verdana"/>
          <w:color w:val="000000" w:themeColor="text1"/>
        </w:rPr>
        <w:t>The NHS Wales Executive: Foundational Economy NHS Leadership Group has been added to the partnership tracker to reflect its role in supporting NHS organisations to maximise their contribution to Welsh Government’s Foundational Economy agenda. The group helps health boards maximise the social, economic and environmental benefits generated through their everyday activities. Its inclusion provides visibility and oversight of the Health Board’s involvement in this national partnership.</w:t>
      </w:r>
    </w:p>
    <w:p w14:paraId="0103DAB7" w14:textId="6A780876" w:rsidR="14BDC866" w:rsidRDefault="14BDC866" w:rsidP="14BDC866">
      <w:pPr>
        <w:spacing w:after="0" w:line="240" w:lineRule="auto"/>
        <w:ind w:left="1440"/>
        <w:jc w:val="both"/>
        <w:rPr>
          <w:rFonts w:eastAsia="Verdana" w:cs="Verdana"/>
          <w:color w:val="000000" w:themeColor="text1"/>
        </w:rPr>
      </w:pPr>
    </w:p>
    <w:p w14:paraId="40380943" w14:textId="079D3DDB" w:rsidR="2F3370B6" w:rsidRDefault="2F3370B6" w:rsidP="00C11590">
      <w:pPr>
        <w:pStyle w:val="ListParagraph"/>
        <w:numPr>
          <w:ilvl w:val="1"/>
          <w:numId w:val="4"/>
        </w:numPr>
        <w:spacing w:after="0" w:line="240" w:lineRule="auto"/>
        <w:ind w:left="720"/>
        <w:jc w:val="both"/>
        <w:rPr>
          <w:rFonts w:eastAsia="Verdana" w:cs="Verdana"/>
          <w:color w:val="000000" w:themeColor="text1"/>
        </w:rPr>
      </w:pPr>
      <w:r w:rsidRPr="14BDC866">
        <w:rPr>
          <w:rFonts w:eastAsia="Verdana" w:cs="Verdana"/>
          <w:color w:val="000000" w:themeColor="text1"/>
        </w:rPr>
        <w:t>Membership has been updated to reflect the current SBUHB representatives attending the SBUHB/CTMUHB Bridgend Boundary Change Programme ensuring membership records remain accurate and aligned with current attendance and responsibilities.</w:t>
      </w:r>
    </w:p>
    <w:p w14:paraId="3341D05E" w14:textId="080A4F86" w:rsidR="14BDC866" w:rsidRDefault="14BDC866" w:rsidP="14BDC866">
      <w:pPr>
        <w:spacing w:after="0" w:line="240" w:lineRule="auto"/>
        <w:ind w:left="1440"/>
        <w:jc w:val="both"/>
        <w:rPr>
          <w:rFonts w:eastAsia="Verdana" w:cs="Verdana"/>
          <w:color w:val="000000" w:themeColor="text1"/>
        </w:rPr>
      </w:pPr>
    </w:p>
    <w:p w14:paraId="632316BC" w14:textId="4BC2941F" w:rsidR="2F3370B6" w:rsidRDefault="2F3370B6" w:rsidP="00C11590">
      <w:pPr>
        <w:spacing w:after="0" w:line="240" w:lineRule="auto"/>
        <w:jc w:val="both"/>
        <w:rPr>
          <w:rFonts w:eastAsia="Verdana" w:cs="Verdana"/>
          <w:color w:val="000000" w:themeColor="text1"/>
        </w:rPr>
      </w:pPr>
      <w:r w:rsidRPr="14BDC866">
        <w:rPr>
          <w:rFonts w:eastAsia="Verdana" w:cs="Verdana"/>
          <w:color w:val="000000" w:themeColor="text1"/>
        </w:rPr>
        <w:t>During Q1 2026/27, the tracker continued to mature as the Health Board’s central repository for partnership governance arrangements. The amendments recorded this quarter reflect ongoing refinement of partnership arrangements, changes to governance structures and membership updates to ensure accurate representation. The continued identification and recording of changes demonstrate increasing engagement with the Tracker by partnership leads and emphasises its role supporting organisational oversight, transparency and assurance.</w:t>
      </w:r>
    </w:p>
    <w:p w14:paraId="40B897A1" w14:textId="6A2B4ECE" w:rsidR="14BDC866" w:rsidRDefault="14BDC866" w:rsidP="14BDC866">
      <w:pPr>
        <w:spacing w:after="0" w:line="240" w:lineRule="auto"/>
        <w:ind w:left="360"/>
        <w:jc w:val="both"/>
        <w:rPr>
          <w:rFonts w:eastAsia="Verdana" w:cs="Verdana"/>
          <w:color w:val="000000" w:themeColor="text1"/>
        </w:rPr>
      </w:pPr>
    </w:p>
    <w:p w14:paraId="4315562B" w14:textId="4913F096" w:rsidR="2F3370B6" w:rsidRDefault="2F3370B6" w:rsidP="00C11590">
      <w:pPr>
        <w:spacing w:after="0" w:line="240" w:lineRule="auto"/>
        <w:jc w:val="both"/>
      </w:pPr>
      <w:r w:rsidRPr="1544E9DA">
        <w:rPr>
          <w:rFonts w:eastAsia="Verdana" w:cs="Verdana"/>
          <w:b/>
          <w:bCs/>
          <w:color w:val="000000" w:themeColor="text1"/>
        </w:rPr>
        <w:lastRenderedPageBreak/>
        <w:t>2.3 ASSURANCE</w:t>
      </w:r>
    </w:p>
    <w:p w14:paraId="4D1B1A16" w14:textId="20161C48" w:rsidR="1544E9DA" w:rsidRDefault="1544E9DA" w:rsidP="1544E9DA">
      <w:pPr>
        <w:spacing w:after="0" w:line="240" w:lineRule="auto"/>
        <w:ind w:left="363"/>
        <w:jc w:val="both"/>
        <w:rPr>
          <w:rFonts w:eastAsia="Verdana" w:cs="Verdana"/>
          <w:b/>
          <w:bCs/>
          <w:color w:val="000000" w:themeColor="text1"/>
        </w:rPr>
      </w:pPr>
    </w:p>
    <w:p w14:paraId="727C06D3" w14:textId="565A7A89" w:rsidR="2F3370B6" w:rsidRDefault="2F3370B6" w:rsidP="00C11590">
      <w:pPr>
        <w:spacing w:after="0" w:line="240" w:lineRule="auto"/>
        <w:jc w:val="both"/>
        <w:rPr>
          <w:rFonts w:eastAsia="Verdana" w:cs="Verdana"/>
          <w:color w:val="000000" w:themeColor="text1"/>
        </w:rPr>
      </w:pPr>
      <w:r w:rsidRPr="14BDC866">
        <w:rPr>
          <w:rFonts w:eastAsia="Verdana" w:cs="Verdana"/>
          <w:color w:val="000000" w:themeColor="text1"/>
        </w:rPr>
        <w:t>A review undertaken as part of Q1 2026/27 update has identified no significant gaps in Health Board representation across the partnerships currently included in the Tracker. Executive and senior management representation remains aligned with the purpose, scope and governance requirements of individual partnerships.</w:t>
      </w:r>
    </w:p>
    <w:p w14:paraId="1D8B1744" w14:textId="73E5C861" w:rsidR="14BDC866" w:rsidRDefault="14BDC866" w:rsidP="14BDC866">
      <w:pPr>
        <w:pStyle w:val="ListParagraph"/>
        <w:spacing w:after="0" w:line="240" w:lineRule="auto"/>
        <w:rPr>
          <w:b/>
          <w:bCs/>
        </w:rPr>
      </w:pPr>
    </w:p>
    <w:p w14:paraId="6D290422" w14:textId="77777777" w:rsidR="00653AEC" w:rsidRPr="00DE296A" w:rsidRDefault="00653AEC" w:rsidP="00C11590">
      <w:pPr>
        <w:pStyle w:val="ListParagraph"/>
        <w:numPr>
          <w:ilvl w:val="0"/>
          <w:numId w:val="16"/>
        </w:numPr>
        <w:spacing w:after="0" w:line="240" w:lineRule="auto"/>
        <w:ind w:left="360"/>
        <w:rPr>
          <w:b/>
        </w:rPr>
      </w:pPr>
      <w:r w:rsidRPr="14BDC866">
        <w:rPr>
          <w:b/>
          <w:bCs/>
        </w:rPr>
        <w:t>GOVERNANCE AND RISK ISSUES</w:t>
      </w:r>
    </w:p>
    <w:p w14:paraId="35ED542F" w14:textId="77777777" w:rsidR="00DE296A" w:rsidRPr="00F8567E" w:rsidRDefault="00DE296A" w:rsidP="00DE296A">
      <w:pPr>
        <w:pStyle w:val="ListParagraph"/>
        <w:spacing w:after="0" w:line="240" w:lineRule="auto"/>
        <w:rPr>
          <w:b/>
        </w:rPr>
      </w:pPr>
    </w:p>
    <w:p w14:paraId="357F7F86" w14:textId="1C96308D" w:rsidR="1D25BDD4" w:rsidRDefault="1D25BDD4" w:rsidP="00C11590">
      <w:pPr>
        <w:spacing w:after="0" w:line="300" w:lineRule="atLeast"/>
        <w:jc w:val="both"/>
        <w:rPr>
          <w:rFonts w:eastAsia="Verdana" w:cs="Verdana"/>
          <w:color w:val="000000" w:themeColor="text1"/>
        </w:rPr>
      </w:pPr>
      <w:r w:rsidRPr="14BDC866">
        <w:rPr>
          <w:rFonts w:eastAsia="Verdana" w:cs="Verdana"/>
          <w:color w:val="000000" w:themeColor="text1"/>
        </w:rPr>
        <w:t>No issues requiring escalation to the Audit Committee were identified during this reporting period. The Tracker continues to support visibility and assurance of the Health Board’s involvement in statutory and strategic partnerships</w:t>
      </w:r>
    </w:p>
    <w:p w14:paraId="27593765" w14:textId="1FA73D29" w:rsidR="14BDC866" w:rsidRDefault="14BDC866" w:rsidP="14BDC866">
      <w:pPr>
        <w:spacing w:after="0" w:line="300" w:lineRule="atLeast"/>
        <w:ind w:left="142"/>
        <w:jc w:val="both"/>
        <w:rPr>
          <w:rFonts w:eastAsia="Verdana" w:cs="Verdana"/>
          <w:color w:val="000000" w:themeColor="text1"/>
        </w:rPr>
      </w:pPr>
    </w:p>
    <w:p w14:paraId="64CC6A23" w14:textId="1C7A7956" w:rsidR="1D25BDD4" w:rsidRDefault="1D25BDD4" w:rsidP="00C11590">
      <w:pPr>
        <w:spacing w:after="0" w:line="240" w:lineRule="auto"/>
        <w:jc w:val="both"/>
        <w:rPr>
          <w:rFonts w:eastAsia="Verdana" w:cs="Verdana"/>
          <w:color w:val="000000" w:themeColor="text1"/>
        </w:rPr>
      </w:pPr>
      <w:r w:rsidRPr="14BDC866">
        <w:rPr>
          <w:rFonts w:eastAsia="Verdana" w:cs="Verdana"/>
          <w:color w:val="000000" w:themeColor="text1"/>
        </w:rPr>
        <w:t>The Tracker continues to be updated to reflect changes to governance structures, membership and accountability arrangements, ensuring information remains accurate and current.</w:t>
      </w:r>
    </w:p>
    <w:p w14:paraId="6D290426" w14:textId="77777777" w:rsidR="00653AEC" w:rsidRPr="00F8567E" w:rsidRDefault="00653AEC" w:rsidP="00C11590">
      <w:pPr>
        <w:pStyle w:val="ListParagraph"/>
        <w:spacing w:after="0" w:line="240" w:lineRule="auto"/>
        <w:rPr>
          <w:b/>
        </w:rPr>
      </w:pPr>
    </w:p>
    <w:p w14:paraId="7D6248A7" w14:textId="03FA6B07" w:rsidR="00B50ABC" w:rsidRPr="00B50ABC" w:rsidRDefault="00653AEC" w:rsidP="00C11590">
      <w:pPr>
        <w:pStyle w:val="ListParagraph"/>
        <w:numPr>
          <w:ilvl w:val="0"/>
          <w:numId w:val="16"/>
        </w:numPr>
        <w:spacing w:after="0" w:line="240" w:lineRule="auto"/>
        <w:ind w:left="360"/>
        <w:rPr>
          <w:b/>
        </w:rPr>
      </w:pPr>
      <w:r w:rsidRPr="1544E9DA">
        <w:rPr>
          <w:b/>
          <w:bCs/>
        </w:rPr>
        <w:t xml:space="preserve"> </w:t>
      </w:r>
      <w:r w:rsidR="00B50ABC" w:rsidRPr="1544E9DA">
        <w:rPr>
          <w:b/>
          <w:bCs/>
        </w:rPr>
        <w:t xml:space="preserve">OPEN AUDIT RECOMMENDATIONS </w:t>
      </w:r>
    </w:p>
    <w:p w14:paraId="1E131ACE" w14:textId="4852D88E" w:rsidR="1544E9DA" w:rsidRDefault="1544E9DA" w:rsidP="00C11590">
      <w:pPr>
        <w:pStyle w:val="ListParagraph"/>
        <w:spacing w:after="0" w:line="240" w:lineRule="auto"/>
        <w:rPr>
          <w:b/>
          <w:bCs/>
        </w:rPr>
      </w:pPr>
    </w:p>
    <w:p w14:paraId="73E3DF78" w14:textId="1CB6CC00" w:rsidR="1B2D7057" w:rsidRDefault="1B2D7057" w:rsidP="00C11590">
      <w:pPr>
        <w:spacing w:after="0" w:line="240" w:lineRule="auto"/>
      </w:pPr>
      <w:r w:rsidRPr="2C43BF04">
        <w:t>There are no open audit recommendations relating to the Partnership Governance Tracker</w:t>
      </w:r>
    </w:p>
    <w:p w14:paraId="2E68798D" w14:textId="77777777" w:rsidR="00B50ABC" w:rsidRPr="00B50ABC" w:rsidRDefault="00B50ABC" w:rsidP="00C11590">
      <w:pPr>
        <w:spacing w:after="0" w:line="240" w:lineRule="auto"/>
        <w:rPr>
          <w:b/>
        </w:rPr>
      </w:pPr>
    </w:p>
    <w:p w14:paraId="6D290427" w14:textId="5AD01FD6" w:rsidR="00653AEC" w:rsidRPr="00DE296A" w:rsidRDefault="00653AEC" w:rsidP="00C11590">
      <w:pPr>
        <w:pStyle w:val="ListParagraph"/>
        <w:numPr>
          <w:ilvl w:val="0"/>
          <w:numId w:val="16"/>
        </w:numPr>
        <w:spacing w:after="0" w:line="240" w:lineRule="auto"/>
        <w:ind w:left="360"/>
        <w:rPr>
          <w:b/>
        </w:rPr>
      </w:pPr>
      <w:r w:rsidRPr="14BDC866">
        <w:rPr>
          <w:b/>
          <w:bCs/>
        </w:rPr>
        <w:t>FINANCIAL IMPLICATIONS</w:t>
      </w:r>
    </w:p>
    <w:p w14:paraId="1F604D66" w14:textId="77777777" w:rsidR="00DE296A" w:rsidRPr="00F8567E" w:rsidRDefault="00DE296A" w:rsidP="00C11590">
      <w:pPr>
        <w:pStyle w:val="ListParagraph"/>
        <w:spacing w:after="0" w:line="240" w:lineRule="auto"/>
        <w:rPr>
          <w:b/>
        </w:rPr>
      </w:pPr>
    </w:p>
    <w:p w14:paraId="12B0F4AD" w14:textId="0073AA48" w:rsidR="00653AEC" w:rsidRPr="00F8567E" w:rsidRDefault="0138B794" w:rsidP="00C11590">
      <w:pPr>
        <w:spacing w:after="0" w:line="240" w:lineRule="auto"/>
        <w:jc w:val="both"/>
      </w:pPr>
      <w:r w:rsidRPr="14BDC866">
        <w:rPr>
          <w:rFonts w:eastAsia="Verdana" w:cs="Verdana"/>
          <w:color w:val="000000" w:themeColor="text1"/>
        </w:rPr>
        <w:t xml:space="preserve">There are no direct financial implications as a result of this report, however the work programme in relation to Partnerships is a key enabler to the Health Board becoming a productive partner.  </w:t>
      </w:r>
      <w:r w:rsidRPr="14BDC866">
        <w:t xml:space="preserve"> </w:t>
      </w:r>
    </w:p>
    <w:p w14:paraId="6D290429" w14:textId="38004121" w:rsidR="00653AEC" w:rsidRPr="00F8567E" w:rsidRDefault="00653AEC" w:rsidP="00C11590">
      <w:pPr>
        <w:pStyle w:val="ListParagraph"/>
        <w:spacing w:after="0" w:line="240" w:lineRule="auto"/>
        <w:rPr>
          <w:b/>
          <w:bCs/>
        </w:rPr>
      </w:pPr>
    </w:p>
    <w:p w14:paraId="6D29042A" w14:textId="77777777" w:rsidR="00653AEC" w:rsidRPr="00DE296A" w:rsidRDefault="00653AEC" w:rsidP="00C11590">
      <w:pPr>
        <w:pStyle w:val="ListParagraph"/>
        <w:numPr>
          <w:ilvl w:val="0"/>
          <w:numId w:val="16"/>
        </w:numPr>
        <w:spacing w:after="0" w:line="240" w:lineRule="auto"/>
        <w:ind w:left="360"/>
        <w:rPr>
          <w:b/>
        </w:rPr>
      </w:pPr>
      <w:r w:rsidRPr="14BDC866">
        <w:rPr>
          <w:b/>
          <w:bCs/>
        </w:rPr>
        <w:t>RECOMMENDATION</w:t>
      </w:r>
    </w:p>
    <w:p w14:paraId="4B9363C8" w14:textId="77777777" w:rsidR="00DE296A" w:rsidRPr="00F8567E" w:rsidRDefault="00DE296A" w:rsidP="00C11590">
      <w:pPr>
        <w:pStyle w:val="ListParagraph"/>
        <w:spacing w:after="0" w:line="240" w:lineRule="auto"/>
        <w:rPr>
          <w:b/>
        </w:rPr>
      </w:pPr>
    </w:p>
    <w:p w14:paraId="113DAC6B" w14:textId="4DC7BD5E" w:rsidR="00FE7070" w:rsidRDefault="31F43549" w:rsidP="00C11590">
      <w:pPr>
        <w:spacing w:after="0" w:line="240" w:lineRule="auto"/>
        <w:jc w:val="both"/>
        <w:rPr>
          <w:rFonts w:eastAsia="Verdana" w:cs="Verdana"/>
          <w:color w:val="000000" w:themeColor="text1"/>
        </w:rPr>
      </w:pPr>
      <w:r w:rsidRPr="14BDC866">
        <w:rPr>
          <w:rFonts w:eastAsia="Verdana" w:cs="Verdana"/>
          <w:color w:val="000000" w:themeColor="text1"/>
        </w:rPr>
        <w:t>Members of the Committee are asked to seek:</w:t>
      </w:r>
    </w:p>
    <w:p w14:paraId="01AD322C" w14:textId="20962620" w:rsidR="00FE7070" w:rsidRDefault="00FE7070" w:rsidP="00C11590">
      <w:pPr>
        <w:spacing w:after="0" w:line="240" w:lineRule="auto"/>
        <w:jc w:val="both"/>
        <w:rPr>
          <w:rFonts w:eastAsia="Verdana" w:cs="Verdana"/>
          <w:color w:val="000000" w:themeColor="text1"/>
        </w:rPr>
      </w:pPr>
    </w:p>
    <w:p w14:paraId="6E5F261E" w14:textId="7E114229" w:rsidR="00FE7070" w:rsidRDefault="31F43549" w:rsidP="00C11590">
      <w:pPr>
        <w:pStyle w:val="ListParagraph"/>
        <w:numPr>
          <w:ilvl w:val="0"/>
          <w:numId w:val="2"/>
        </w:numPr>
        <w:spacing w:after="0" w:line="240" w:lineRule="auto"/>
        <w:ind w:left="360"/>
        <w:jc w:val="both"/>
        <w:rPr>
          <w:rFonts w:eastAsia="Verdana" w:cs="Verdana"/>
          <w:color w:val="000000" w:themeColor="text1"/>
        </w:rPr>
      </w:pPr>
      <w:r w:rsidRPr="14BDC866">
        <w:rPr>
          <w:rFonts w:eastAsia="Verdana" w:cs="Verdana"/>
          <w:b/>
          <w:bCs/>
          <w:color w:val="000000" w:themeColor="text1"/>
        </w:rPr>
        <w:t xml:space="preserve">ASSURANCE: </w:t>
      </w:r>
      <w:r w:rsidRPr="14BDC866">
        <w:rPr>
          <w:rFonts w:eastAsia="Verdana" w:cs="Verdana"/>
          <w:color w:val="000000" w:themeColor="text1"/>
        </w:rPr>
        <w:t>that</w:t>
      </w:r>
      <w:r w:rsidRPr="14BDC866">
        <w:rPr>
          <w:rFonts w:eastAsia="Verdana" w:cs="Verdana"/>
          <w:b/>
          <w:bCs/>
          <w:color w:val="000000" w:themeColor="text1"/>
        </w:rPr>
        <w:t xml:space="preserve"> </w:t>
      </w:r>
      <w:r w:rsidRPr="14BDC866">
        <w:rPr>
          <w:rFonts w:eastAsia="Verdana" w:cs="Verdana"/>
          <w:color w:val="000000" w:themeColor="text1"/>
        </w:rPr>
        <w:t>amendments to the Tracker follow the agreed process via the Partnerships Team to maintain integrity and accountability</w:t>
      </w:r>
    </w:p>
    <w:p w14:paraId="6D290430" w14:textId="54DA3757" w:rsidR="00FE7070" w:rsidRDefault="00FE7070" w:rsidP="00C11590">
      <w:pPr>
        <w:spacing w:after="0" w:line="240" w:lineRule="auto"/>
        <w:rPr>
          <w:b/>
          <w:bCs/>
        </w:rPr>
      </w:pPr>
      <w:r w:rsidRPr="14BDC866">
        <w:rPr>
          <w:b/>
          <w:bCs/>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2C43BF04">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2C43BF04">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2C43BF04">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2C487C19" w:rsidR="00F5324A" w:rsidRPr="00F8567E" w:rsidRDefault="2A537C61" w:rsidP="0020539A">
                <w:pPr>
                  <w:jc w:val="center"/>
                </w:pPr>
                <w:r w:rsidRPr="2C43BF04">
                  <w:rPr>
                    <w:rFonts w:ascii="MS Gothic" w:eastAsia="MS Gothic" w:hAnsi="MS Gothic" w:cs="MS Gothic"/>
                  </w:rPr>
                  <w:t>☒</w:t>
                </w:r>
              </w:p>
            </w:tc>
          </w:sdtContent>
        </w:sdt>
      </w:tr>
      <w:tr w:rsidR="00F5324A" w:rsidRPr="00F8567E" w14:paraId="6D290442" w14:textId="77777777" w:rsidTr="2C43BF04">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2C43BF04">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1C1A4B6A" w:rsidR="00F5324A" w:rsidRPr="00F8567E" w:rsidRDefault="488CC977" w:rsidP="0020539A">
                <w:pPr>
                  <w:jc w:val="center"/>
                </w:pPr>
                <w:r w:rsidRPr="2C43BF04">
                  <w:rPr>
                    <w:rFonts w:ascii="MS Gothic" w:eastAsia="MS Gothic" w:hAnsi="MS Gothic" w:cs="MS Gothic"/>
                  </w:rPr>
                  <w:t>☐</w:t>
                </w:r>
              </w:p>
            </w:tc>
          </w:sdtContent>
        </w:sdt>
      </w:tr>
      <w:tr w:rsidR="00F5324A" w:rsidRPr="00F8567E" w14:paraId="6D29044D" w14:textId="77777777" w:rsidTr="2C43BF04">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2C43BF04">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2C43BF04">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2C43BF04">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2C43BF04">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2C43BF04">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5EF1D8B5" w:rsidR="00C43F7B" w:rsidRPr="00F8567E" w:rsidRDefault="651E92C9" w:rsidP="14BDC866">
                <w:pPr>
                  <w:jc w:val="center"/>
                  <w:rPr>
                    <w:b/>
                    <w:bCs/>
                  </w:rPr>
                </w:pPr>
                <w:r w:rsidRPr="14BDC866">
                  <w:rPr>
                    <w:rFonts w:ascii="MS Gothic" w:eastAsia="MS Gothic" w:hAnsi="MS Gothic" w:cs="MS Gothic"/>
                  </w:rPr>
                  <w:t>☒</w:t>
                </w:r>
              </w:p>
            </w:tc>
          </w:sdtContent>
        </w:sdt>
      </w:tr>
      <w:tr w:rsidR="00C43F7B" w:rsidRPr="00F8567E" w14:paraId="6D29046F" w14:textId="77777777" w:rsidTr="2C43BF04">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2C43BF04">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2C43BF04">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2C43BF04">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7A30352D" w:rsidR="00C43F7B" w:rsidRPr="00F8567E" w:rsidRDefault="1B8C9919" w:rsidP="14BDC866">
                <w:pPr>
                  <w:jc w:val="center"/>
                  <w:rPr>
                    <w:b/>
                    <w:bCs/>
                  </w:rPr>
                </w:pPr>
                <w:r w:rsidRPr="14BDC866">
                  <w:rPr>
                    <w:rFonts w:ascii="MS Gothic" w:eastAsia="MS Gothic" w:hAnsi="MS Gothic" w:cs="MS Gothic"/>
                  </w:rPr>
                  <w:t>☒</w:t>
                </w:r>
              </w:p>
            </w:tc>
          </w:sdtContent>
        </w:sdt>
      </w:tr>
      <w:tr w:rsidR="00925DA1" w:rsidRPr="00F8567E" w14:paraId="4481435E" w14:textId="77777777" w:rsidTr="2C43BF04">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598D683E" w:rsidR="00925DA1" w:rsidRDefault="62EC17EE" w:rsidP="00925DA1">
                <w:pPr>
                  <w:jc w:val="center"/>
                </w:pPr>
                <w:r w:rsidRPr="14BDC866">
                  <w:rPr>
                    <w:rFonts w:ascii="MS Gothic" w:eastAsia="MS Gothic" w:hAnsi="MS Gothic" w:cs="MS Gothic"/>
                  </w:rPr>
                  <w:t>☒</w:t>
                </w:r>
              </w:p>
            </w:tc>
          </w:sdtContent>
        </w:sdt>
      </w:tr>
      <w:tr w:rsidR="00925DA1" w:rsidRPr="00F8567E" w14:paraId="2D450AA3" w14:textId="77777777" w:rsidTr="2C43BF04">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Content>
            <w:tc>
              <w:tcPr>
                <w:tcW w:w="1624" w:type="dxa"/>
              </w:tcPr>
              <w:p w14:paraId="38BFB30F" w14:textId="2B1C755C" w:rsidR="00925DA1" w:rsidRDefault="0A2F908D" w:rsidP="00925DA1">
                <w:pPr>
                  <w:jc w:val="center"/>
                </w:pPr>
                <w:r w:rsidRPr="14BDC866">
                  <w:rPr>
                    <w:rFonts w:ascii="MS Gothic" w:eastAsia="MS Gothic" w:hAnsi="MS Gothic" w:cs="MS Gothic"/>
                  </w:rPr>
                  <w:t>☒</w:t>
                </w:r>
              </w:p>
            </w:tc>
          </w:sdtContent>
        </w:sdt>
      </w:tr>
      <w:tr w:rsidR="00925DA1" w:rsidRPr="00F8567E" w14:paraId="086E4F8D" w14:textId="77777777" w:rsidTr="2C43BF04">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2C43BF04">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2C43BF04">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2C43BF04">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2C43BF04">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2C43BF04">
        <w:tc>
          <w:tcPr>
            <w:tcW w:w="9245" w:type="dxa"/>
            <w:gridSpan w:val="3"/>
          </w:tcPr>
          <w:p w14:paraId="0060CA97" w14:textId="0A129EFA" w:rsidR="69891EDC" w:rsidRDefault="69891EDC" w:rsidP="14BDC866">
            <w:pPr>
              <w:jc w:val="both"/>
            </w:pPr>
            <w:r w:rsidRPr="14BDC866">
              <w:rPr>
                <w:rFonts w:eastAsia="Verdana" w:cs="Verdana"/>
                <w:color w:val="000000" w:themeColor="text1"/>
              </w:rPr>
              <w:t>There are no direct impacts, however responding to the needs of the communities of Neath Port Talbot and Swansea as set-out in partnership plans such as the Area Plan and the PSB Wellbeing Plans, will in the long term have a positive impact on meeting the needs of our population and patient experience.</w:t>
            </w:r>
            <w:r w:rsidRPr="14BDC866">
              <w:rPr>
                <w:rFonts w:eastAsia="Verdana" w:cs="Verdana"/>
              </w:rPr>
              <w:t xml:space="preserve"> </w:t>
            </w:r>
          </w:p>
          <w:p w14:paraId="6D29047F" w14:textId="77777777" w:rsidR="00925DA1" w:rsidRPr="00F8567E" w:rsidRDefault="00925DA1" w:rsidP="00925DA1">
            <w:pPr>
              <w:jc w:val="center"/>
              <w:rPr>
                <w:b/>
              </w:rPr>
            </w:pPr>
          </w:p>
        </w:tc>
      </w:tr>
      <w:tr w:rsidR="00925DA1" w:rsidRPr="00F8567E" w14:paraId="6D290482" w14:textId="77777777" w:rsidTr="2C43BF04">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2C43BF04">
        <w:tc>
          <w:tcPr>
            <w:tcW w:w="9245" w:type="dxa"/>
            <w:gridSpan w:val="3"/>
          </w:tcPr>
          <w:p w14:paraId="2A853AD5" w14:textId="412576A3" w:rsidR="661ADB94" w:rsidRDefault="661ADB94" w:rsidP="14BDC866">
            <w:pPr>
              <w:jc w:val="both"/>
            </w:pPr>
            <w:r w:rsidRPr="14BDC866">
              <w:rPr>
                <w:rFonts w:eastAsia="Verdana" w:cs="Verdana"/>
                <w:color w:val="000000" w:themeColor="text1"/>
              </w:rPr>
              <w:t>There are no direct financial implications as a result of this report, however the work programme in relation to Partnerships is a key enabler to the Health Board becoming a productive partner.  In the longer term this will add value to the investment decisions, particularly in relation to the Regional Investment available via the WGRPB.</w:t>
            </w:r>
            <w:r w:rsidRPr="14BDC866">
              <w:rPr>
                <w:rFonts w:eastAsia="Verdana" w:cs="Verdana"/>
              </w:rPr>
              <w:t xml:space="preserve"> </w:t>
            </w:r>
          </w:p>
          <w:p w14:paraId="6D290486" w14:textId="77777777" w:rsidR="00925DA1" w:rsidRPr="00F8567E" w:rsidRDefault="00925DA1" w:rsidP="00925DA1">
            <w:pPr>
              <w:ind w:right="96"/>
              <w:rPr>
                <w:color w:val="FF0000"/>
              </w:rPr>
            </w:pPr>
          </w:p>
        </w:tc>
      </w:tr>
      <w:tr w:rsidR="00925DA1" w:rsidRPr="00F8567E" w14:paraId="6D290489" w14:textId="77777777" w:rsidTr="2C43BF04">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2C43BF04">
        <w:tc>
          <w:tcPr>
            <w:tcW w:w="9245" w:type="dxa"/>
            <w:gridSpan w:val="3"/>
          </w:tcPr>
          <w:p w14:paraId="7D148315" w14:textId="2B645069" w:rsidR="6329F8C6" w:rsidRDefault="6329F8C6" w:rsidP="14BDC866">
            <w:pPr>
              <w:ind w:right="96"/>
              <w:jc w:val="both"/>
            </w:pPr>
            <w:r w:rsidRPr="14BDC866">
              <w:rPr>
                <w:rFonts w:eastAsia="Verdana" w:cs="Verdana"/>
                <w:color w:val="000000" w:themeColor="text1"/>
              </w:rPr>
              <w:t>There are no legal implications as a result of this report.</w:t>
            </w:r>
            <w:r w:rsidRPr="14BDC866">
              <w:rPr>
                <w:rFonts w:eastAsia="Verdana" w:cs="Verdana"/>
              </w:rPr>
              <w:t xml:space="preserve"> </w:t>
            </w:r>
          </w:p>
          <w:p w14:paraId="6D29048B" w14:textId="77777777" w:rsidR="00925DA1" w:rsidRPr="00F8567E" w:rsidRDefault="00925DA1" w:rsidP="00925DA1">
            <w:pPr>
              <w:ind w:right="96"/>
              <w:rPr>
                <w:color w:val="FF0000"/>
              </w:rPr>
            </w:pPr>
          </w:p>
        </w:tc>
      </w:tr>
      <w:tr w:rsidR="00925DA1" w:rsidRPr="00F8567E" w14:paraId="6D29048E" w14:textId="77777777" w:rsidTr="2C43BF04">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2C43BF04">
        <w:tc>
          <w:tcPr>
            <w:tcW w:w="9245" w:type="dxa"/>
            <w:gridSpan w:val="3"/>
          </w:tcPr>
          <w:p w14:paraId="5FE91B7C" w14:textId="06B0554B" w:rsidR="6717C73F" w:rsidRDefault="6717C73F" w:rsidP="14BDC866">
            <w:pPr>
              <w:ind w:right="96"/>
              <w:jc w:val="both"/>
            </w:pPr>
            <w:r w:rsidRPr="14BDC866">
              <w:rPr>
                <w:rFonts w:eastAsia="Verdana" w:cs="Verdana"/>
                <w:color w:val="000000" w:themeColor="text1"/>
              </w:rPr>
              <w:t>There are no staffing implications because of this report, however, clarify in relation to the Health Board approach to Partnerships and Collaboration will support staff in the day-to-day work.</w:t>
            </w:r>
            <w:r w:rsidRPr="14BDC866">
              <w:rPr>
                <w:rFonts w:eastAsia="Verdana" w:cs="Verdana"/>
              </w:rPr>
              <w:t xml:space="preserve"> </w:t>
            </w:r>
          </w:p>
          <w:p w14:paraId="6D290490" w14:textId="77777777" w:rsidR="00925DA1" w:rsidRPr="00F8567E" w:rsidRDefault="00925DA1" w:rsidP="00925DA1">
            <w:pPr>
              <w:ind w:right="96"/>
              <w:rPr>
                <w:color w:val="FF0000"/>
              </w:rPr>
            </w:pPr>
          </w:p>
        </w:tc>
      </w:tr>
      <w:tr w:rsidR="00925DA1" w:rsidRPr="00F8567E" w14:paraId="6D290493" w14:textId="77777777" w:rsidTr="2C43BF04">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2C43BF04">
        <w:tc>
          <w:tcPr>
            <w:tcW w:w="9245" w:type="dxa"/>
            <w:gridSpan w:val="3"/>
          </w:tcPr>
          <w:p w14:paraId="6D290495" w14:textId="5058084D" w:rsidR="00925DA1" w:rsidRPr="00F8567E" w:rsidRDefault="527CE1CE" w:rsidP="14BDC866">
            <w:pPr>
              <w:ind w:right="96"/>
              <w:rPr>
                <w:rFonts w:eastAsia="Verdana" w:cs="Verdana"/>
              </w:rPr>
            </w:pPr>
            <w:r w:rsidRPr="14BDC866">
              <w:rPr>
                <w:rFonts w:eastAsia="Verdana" w:cs="Verdana"/>
                <w:color w:val="000000" w:themeColor="text1"/>
              </w:rPr>
              <w:t>Working in partnership both internally within the Health Board and externally with other agencies is key to the delivery of the Well-being of Future Generations (Wales) Act 2015, and specifically Collaboration.</w:t>
            </w:r>
          </w:p>
        </w:tc>
      </w:tr>
      <w:tr w:rsidR="00925DA1" w:rsidRPr="00F8567E" w14:paraId="4C321512" w14:textId="77777777" w:rsidTr="2C43BF04">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2C43BF04">
        <w:tc>
          <w:tcPr>
            <w:tcW w:w="9245" w:type="dxa"/>
            <w:gridSpan w:val="3"/>
          </w:tcPr>
          <w:p w14:paraId="40E182F7" w14:textId="5DFB3722" w:rsidR="00925DA1" w:rsidRPr="00F8567E" w:rsidRDefault="191E6D08" w:rsidP="14BDC866">
            <w:pPr>
              <w:jc w:val="both"/>
              <w:rPr>
                <w:rStyle w:val="normaltextrun"/>
                <w:rFonts w:ascii="Verdana" w:eastAsia="Verdana" w:hAnsi="Verdana" w:cs="Verdana"/>
                <w:color w:val="000000" w:themeColor="text1"/>
                <w:sz w:val="24"/>
                <w:szCs w:val="24"/>
              </w:rPr>
            </w:pPr>
            <w:r w:rsidRPr="14BDC866">
              <w:rPr>
                <w:rStyle w:val="normaltextrun"/>
                <w:rFonts w:ascii="Verdana" w:eastAsia="Verdana" w:hAnsi="Verdana" w:cs="Verdana"/>
                <w:color w:val="000000" w:themeColor="text1"/>
                <w:sz w:val="24"/>
                <w:szCs w:val="24"/>
              </w:rPr>
              <w:t>In September 2025 Committee members agreed to receive quarterly updates on the Partnerships Tracker, and this is the third report. Previous reports were submitted</w:t>
            </w:r>
          </w:p>
          <w:p w14:paraId="5C908607" w14:textId="0E36121A" w:rsidR="00925DA1" w:rsidRPr="00F8567E" w:rsidRDefault="191E6D08" w:rsidP="14BDC866">
            <w:pPr>
              <w:pStyle w:val="ListParagraph"/>
              <w:numPr>
                <w:ilvl w:val="0"/>
                <w:numId w:val="1"/>
              </w:numPr>
              <w:jc w:val="both"/>
              <w:rPr>
                <w:rStyle w:val="normaltextrun"/>
                <w:rFonts w:ascii="Verdana" w:eastAsia="Verdana" w:hAnsi="Verdana" w:cs="Verdana"/>
                <w:color w:val="000000" w:themeColor="text1"/>
                <w:sz w:val="24"/>
                <w:szCs w:val="24"/>
              </w:rPr>
            </w:pPr>
            <w:r w:rsidRPr="14BDC866">
              <w:rPr>
                <w:rStyle w:val="normaltextrun"/>
                <w:rFonts w:ascii="Verdana" w:eastAsia="Verdana" w:hAnsi="Verdana" w:cs="Verdana"/>
                <w:color w:val="000000" w:themeColor="text1"/>
                <w:sz w:val="24"/>
                <w:szCs w:val="24"/>
              </w:rPr>
              <w:t>16</w:t>
            </w:r>
            <w:r w:rsidRPr="14BDC866">
              <w:rPr>
                <w:rStyle w:val="normaltextrun"/>
                <w:rFonts w:ascii="Verdana" w:eastAsia="Verdana" w:hAnsi="Verdana" w:cs="Verdana"/>
                <w:color w:val="000000" w:themeColor="text1"/>
                <w:sz w:val="24"/>
                <w:szCs w:val="24"/>
                <w:vertAlign w:val="superscript"/>
              </w:rPr>
              <w:t>th</w:t>
            </w:r>
            <w:r w:rsidRPr="14BDC866">
              <w:rPr>
                <w:rStyle w:val="normaltextrun"/>
                <w:rFonts w:ascii="Verdana" w:eastAsia="Verdana" w:hAnsi="Verdana" w:cs="Verdana"/>
                <w:color w:val="000000" w:themeColor="text1"/>
                <w:sz w:val="24"/>
                <w:szCs w:val="24"/>
              </w:rPr>
              <w:t xml:space="preserve"> September 2025</w:t>
            </w:r>
          </w:p>
          <w:p w14:paraId="27EB1D6E" w14:textId="1FD1780E" w:rsidR="00925DA1" w:rsidRPr="00F8567E" w:rsidRDefault="191E6D08" w:rsidP="14BDC866">
            <w:pPr>
              <w:pStyle w:val="ListParagraph"/>
              <w:numPr>
                <w:ilvl w:val="0"/>
                <w:numId w:val="1"/>
              </w:numPr>
              <w:jc w:val="both"/>
              <w:rPr>
                <w:rStyle w:val="normaltextrun"/>
                <w:rFonts w:ascii="Verdana" w:eastAsia="Verdana" w:hAnsi="Verdana" w:cs="Verdana"/>
                <w:color w:val="000000" w:themeColor="text1"/>
                <w:sz w:val="24"/>
                <w:szCs w:val="24"/>
              </w:rPr>
            </w:pPr>
            <w:r w:rsidRPr="14BDC866">
              <w:rPr>
                <w:rStyle w:val="normaltextrun"/>
                <w:rFonts w:ascii="Verdana" w:eastAsia="Verdana" w:hAnsi="Verdana" w:cs="Verdana"/>
                <w:color w:val="000000" w:themeColor="text1"/>
                <w:sz w:val="24"/>
                <w:szCs w:val="24"/>
              </w:rPr>
              <w:t>21</w:t>
            </w:r>
            <w:r w:rsidRPr="14BDC866">
              <w:rPr>
                <w:rStyle w:val="normaltextrun"/>
                <w:rFonts w:ascii="Verdana" w:eastAsia="Verdana" w:hAnsi="Verdana" w:cs="Verdana"/>
                <w:color w:val="000000" w:themeColor="text1"/>
                <w:sz w:val="24"/>
                <w:szCs w:val="24"/>
                <w:vertAlign w:val="superscript"/>
              </w:rPr>
              <w:t>st</w:t>
            </w:r>
            <w:r w:rsidRPr="14BDC866">
              <w:rPr>
                <w:rStyle w:val="normaltextrun"/>
                <w:rFonts w:ascii="Verdana" w:eastAsia="Verdana" w:hAnsi="Verdana" w:cs="Verdana"/>
                <w:color w:val="000000" w:themeColor="text1"/>
                <w:sz w:val="24"/>
                <w:szCs w:val="24"/>
              </w:rPr>
              <w:t xml:space="preserve"> May 2026</w:t>
            </w:r>
          </w:p>
          <w:p w14:paraId="6D290499" w14:textId="33980E23" w:rsidR="00925DA1" w:rsidRPr="00F8567E" w:rsidRDefault="00925DA1" w:rsidP="14BDC866">
            <w:pPr>
              <w:ind w:right="96"/>
              <w:rPr>
                <w:rFonts w:eastAsia="Verdana" w:cs="Verdana"/>
                <w:color w:val="000000" w:themeColor="text1"/>
              </w:rPr>
            </w:pPr>
          </w:p>
        </w:tc>
      </w:tr>
      <w:tr w:rsidR="00925DA1" w:rsidRPr="00F8567E" w14:paraId="08CD5C29" w14:textId="77777777" w:rsidTr="2C43BF04">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2C43BF04">
        <w:tc>
          <w:tcPr>
            <w:tcW w:w="9245" w:type="dxa"/>
            <w:gridSpan w:val="3"/>
          </w:tcPr>
          <w:p w14:paraId="01FC3E39" w14:textId="1B11C8FF" w:rsidR="0BD9400F" w:rsidRDefault="0BD9400F" w:rsidP="14BDC866">
            <w:pPr>
              <w:ind w:right="96"/>
            </w:pPr>
            <w:r w:rsidRPr="14BDC866">
              <w:t>Appendix A – Q1 Partnership Tracker Amendments</w:t>
            </w:r>
          </w:p>
          <w:p w14:paraId="6D29049E" w14:textId="6B4C7D22"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4F7E3" w14:textId="77777777" w:rsidR="00C2074C" w:rsidRDefault="00C2074C" w:rsidP="00C107F2">
      <w:pPr>
        <w:spacing w:after="0" w:line="240" w:lineRule="auto"/>
      </w:pPr>
      <w:r>
        <w:separator/>
      </w:r>
    </w:p>
  </w:endnote>
  <w:endnote w:type="continuationSeparator" w:id="0">
    <w:p w14:paraId="10784082" w14:textId="77777777" w:rsidR="00C2074C" w:rsidRDefault="00C2074C"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Segoe UI,Times New Roma">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34821"/>
      <w:docPartObj>
        <w:docPartGallery w:val="Page Numbers (Bottom of Page)"/>
        <w:docPartUnique/>
      </w:docPartObj>
    </w:sdtPr>
    <w:sdtEndPr>
      <w:rPr>
        <w:noProof/>
        <w:sz w:val="20"/>
        <w:szCs w:val="20"/>
      </w:rPr>
    </w:sdtEndPr>
    <w:sdtContent>
      <w:p w14:paraId="5E448D96" w14:textId="3B3CCC1F" w:rsidR="00C11590" w:rsidRPr="00C11590" w:rsidRDefault="00C11590">
        <w:pPr>
          <w:pStyle w:val="Footer"/>
          <w:jc w:val="right"/>
          <w:rPr>
            <w:sz w:val="20"/>
            <w:szCs w:val="20"/>
          </w:rPr>
        </w:pPr>
        <w:r w:rsidRPr="00C11590">
          <w:rPr>
            <w:sz w:val="20"/>
            <w:szCs w:val="20"/>
          </w:rPr>
          <w:fldChar w:fldCharType="begin"/>
        </w:r>
        <w:r w:rsidRPr="00C11590">
          <w:rPr>
            <w:sz w:val="20"/>
            <w:szCs w:val="20"/>
          </w:rPr>
          <w:instrText xml:space="preserve"> PAGE   \* MERGEFORMAT </w:instrText>
        </w:r>
        <w:r w:rsidRPr="00C11590">
          <w:rPr>
            <w:sz w:val="20"/>
            <w:szCs w:val="20"/>
          </w:rPr>
          <w:fldChar w:fldCharType="separate"/>
        </w:r>
        <w:r w:rsidRPr="00C11590">
          <w:rPr>
            <w:noProof/>
            <w:sz w:val="20"/>
            <w:szCs w:val="20"/>
          </w:rPr>
          <w:t>2</w:t>
        </w:r>
        <w:r w:rsidRPr="00C11590">
          <w:rPr>
            <w:noProof/>
            <w:sz w:val="20"/>
            <w:szCs w:val="20"/>
          </w:rPr>
          <w:fldChar w:fldCharType="end"/>
        </w:r>
      </w:p>
    </w:sdtContent>
  </w:sdt>
  <w:p w14:paraId="5EE9C96C" w14:textId="5750DD82"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Content>
      <w:p w14:paraId="6D2904A9" w14:textId="17CD4809" w:rsidR="003324CB" w:rsidRDefault="00C11590"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0T00:00:00Z">
        <w:dateFormat w:val="dddd, dd MMMM yyyy"/>
        <w:lid w:val="en-GB"/>
        <w:storeMappedDataAs w:val="dateTime"/>
        <w:calendar w:val="gregorian"/>
      </w:date>
    </w:sdtPr>
    <w:sdtEndPr>
      <w:rPr>
        <w:rStyle w:val="DefaultParagraphFont"/>
        <w:sz w:val="24"/>
        <w:szCs w:val="20"/>
      </w:rPr>
    </w:sdtEndPr>
    <w:sdtContent>
      <w:p w14:paraId="6DC782A8" w14:textId="7C17034B" w:rsidR="0031077C" w:rsidRPr="0031077C" w:rsidRDefault="00C11590" w:rsidP="0031077C">
        <w:pPr>
          <w:pStyle w:val="Footer"/>
          <w:jc w:val="right"/>
          <w:rPr>
            <w:sz w:val="20"/>
            <w:szCs w:val="20"/>
          </w:rPr>
        </w:pPr>
        <w:r>
          <w:rPr>
            <w:rStyle w:val="CorporateStyle2"/>
          </w:rPr>
          <w:t>Thursday, 10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DE3F6" w14:textId="77777777" w:rsidR="00C2074C" w:rsidRDefault="00C2074C" w:rsidP="00C107F2">
      <w:pPr>
        <w:spacing w:after="0" w:line="240" w:lineRule="auto"/>
      </w:pPr>
      <w:r>
        <w:separator/>
      </w:r>
    </w:p>
  </w:footnote>
  <w:footnote w:type="continuationSeparator" w:id="0">
    <w:p w14:paraId="369497E9" w14:textId="77777777" w:rsidR="00C2074C" w:rsidRDefault="00C2074C"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CDB3" w14:textId="7D608D72" w:rsidR="00C11590" w:rsidRPr="00C11590" w:rsidRDefault="00C11590">
    <w:pPr>
      <w:pStyle w:val="Header"/>
      <w:jc w:val="right"/>
      <w:rPr>
        <w:sz w:val="20"/>
        <w:szCs w:val="20"/>
      </w:rPr>
    </w:pPr>
  </w:p>
  <w:p w14:paraId="6D2904A6" w14:textId="40658ADB" w:rsidR="00767E3E" w:rsidRDefault="00767E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AE0A"/>
    <w:multiLevelType w:val="hybridMultilevel"/>
    <w:tmpl w:val="F0EC0D3C"/>
    <w:lvl w:ilvl="0" w:tplc="FD287F2A">
      <w:start w:val="1"/>
      <w:numFmt w:val="bullet"/>
      <w:lvlText w:val=""/>
      <w:lvlJc w:val="left"/>
      <w:pPr>
        <w:ind w:left="360" w:hanging="360"/>
      </w:pPr>
      <w:rPr>
        <w:rFonts w:ascii="Symbol" w:hAnsi="Symbol" w:hint="default"/>
      </w:rPr>
    </w:lvl>
    <w:lvl w:ilvl="1" w:tplc="E74AB712">
      <w:start w:val="1"/>
      <w:numFmt w:val="bullet"/>
      <w:lvlText w:val="o"/>
      <w:lvlJc w:val="left"/>
      <w:pPr>
        <w:ind w:left="1080" w:hanging="360"/>
      </w:pPr>
      <w:rPr>
        <w:rFonts w:ascii="Courier New" w:hAnsi="Courier New" w:hint="default"/>
      </w:rPr>
    </w:lvl>
    <w:lvl w:ilvl="2" w:tplc="BC048D70">
      <w:start w:val="1"/>
      <w:numFmt w:val="bullet"/>
      <w:lvlText w:val=""/>
      <w:lvlJc w:val="left"/>
      <w:pPr>
        <w:ind w:left="1800" w:hanging="360"/>
      </w:pPr>
      <w:rPr>
        <w:rFonts w:ascii="Wingdings" w:hAnsi="Wingdings" w:hint="default"/>
      </w:rPr>
    </w:lvl>
    <w:lvl w:ilvl="3" w:tplc="8B8E4AEA">
      <w:start w:val="1"/>
      <w:numFmt w:val="bullet"/>
      <w:lvlText w:val=""/>
      <w:lvlJc w:val="left"/>
      <w:pPr>
        <w:ind w:left="2520" w:hanging="360"/>
      </w:pPr>
      <w:rPr>
        <w:rFonts w:ascii="Symbol" w:hAnsi="Symbol" w:hint="default"/>
      </w:rPr>
    </w:lvl>
    <w:lvl w:ilvl="4" w:tplc="7462755C">
      <w:start w:val="1"/>
      <w:numFmt w:val="bullet"/>
      <w:lvlText w:val="o"/>
      <w:lvlJc w:val="left"/>
      <w:pPr>
        <w:ind w:left="3240" w:hanging="360"/>
      </w:pPr>
      <w:rPr>
        <w:rFonts w:ascii="Courier New" w:hAnsi="Courier New" w:hint="default"/>
      </w:rPr>
    </w:lvl>
    <w:lvl w:ilvl="5" w:tplc="DE969C20">
      <w:start w:val="1"/>
      <w:numFmt w:val="bullet"/>
      <w:lvlText w:val=""/>
      <w:lvlJc w:val="left"/>
      <w:pPr>
        <w:ind w:left="3960" w:hanging="360"/>
      </w:pPr>
      <w:rPr>
        <w:rFonts w:ascii="Wingdings" w:hAnsi="Wingdings" w:hint="default"/>
      </w:rPr>
    </w:lvl>
    <w:lvl w:ilvl="6" w:tplc="EC40E72A">
      <w:start w:val="1"/>
      <w:numFmt w:val="bullet"/>
      <w:lvlText w:val=""/>
      <w:lvlJc w:val="left"/>
      <w:pPr>
        <w:ind w:left="4680" w:hanging="360"/>
      </w:pPr>
      <w:rPr>
        <w:rFonts w:ascii="Symbol" w:hAnsi="Symbol" w:hint="default"/>
      </w:rPr>
    </w:lvl>
    <w:lvl w:ilvl="7" w:tplc="FB301E9A">
      <w:start w:val="1"/>
      <w:numFmt w:val="bullet"/>
      <w:lvlText w:val="o"/>
      <w:lvlJc w:val="left"/>
      <w:pPr>
        <w:ind w:left="5400" w:hanging="360"/>
      </w:pPr>
      <w:rPr>
        <w:rFonts w:ascii="Courier New" w:hAnsi="Courier New" w:hint="default"/>
      </w:rPr>
    </w:lvl>
    <w:lvl w:ilvl="8" w:tplc="758CE128">
      <w:start w:val="1"/>
      <w:numFmt w:val="bullet"/>
      <w:lvlText w:val=""/>
      <w:lvlJc w:val="left"/>
      <w:pPr>
        <w:ind w:left="6120" w:hanging="360"/>
      </w:pPr>
      <w:rPr>
        <w:rFonts w:ascii="Wingdings" w:hAnsi="Wingdings" w:hint="default"/>
      </w:rPr>
    </w:lvl>
  </w:abstractNum>
  <w:abstractNum w:abstractNumId="1" w15:restartNumberingAfterBreak="0">
    <w:nsid w:val="0C2C011B"/>
    <w:multiLevelType w:val="multilevel"/>
    <w:tmpl w:val="63AE646A"/>
    <w:lvl w:ilvl="0">
      <w:start w:val="1"/>
      <w:numFmt w:val="decimal"/>
      <w:lvlText w:val="%1."/>
      <w:lvlJc w:val="left"/>
      <w:pPr>
        <w:ind w:left="720" w:hanging="360"/>
      </w:pPr>
    </w:lvl>
    <w:lvl w:ilvl="1">
      <w:start w:val="3"/>
      <w:numFmt w:val="decimal"/>
      <w:lvlText w:val="%1.%2"/>
      <w:lvlJc w:val="left"/>
      <w:pPr>
        <w:ind w:left="1080" w:hanging="720"/>
      </w:pPr>
      <w:rPr>
        <w:rFonts w:ascii="Verdana" w:hAnsi="Verdan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18BC71"/>
    <w:multiLevelType w:val="hybridMultilevel"/>
    <w:tmpl w:val="367E12E4"/>
    <w:lvl w:ilvl="0" w:tplc="073E3AD8">
      <w:start w:val="1"/>
      <w:numFmt w:val="bullet"/>
      <w:lvlText w:val=""/>
      <w:lvlJc w:val="left"/>
      <w:pPr>
        <w:ind w:left="720" w:hanging="360"/>
      </w:pPr>
      <w:rPr>
        <w:rFonts w:ascii="Symbol" w:hAnsi="Symbol" w:hint="default"/>
      </w:rPr>
    </w:lvl>
    <w:lvl w:ilvl="1" w:tplc="F6A0DC90">
      <w:start w:val="1"/>
      <w:numFmt w:val="bullet"/>
      <w:lvlText w:val="o"/>
      <w:lvlJc w:val="left"/>
      <w:pPr>
        <w:ind w:left="1440" w:hanging="360"/>
      </w:pPr>
      <w:rPr>
        <w:rFonts w:ascii="Courier New" w:hAnsi="Courier New" w:hint="default"/>
      </w:rPr>
    </w:lvl>
    <w:lvl w:ilvl="2" w:tplc="428A1A1E">
      <w:start w:val="1"/>
      <w:numFmt w:val="bullet"/>
      <w:lvlText w:val=""/>
      <w:lvlJc w:val="left"/>
      <w:pPr>
        <w:ind w:left="2160" w:hanging="360"/>
      </w:pPr>
      <w:rPr>
        <w:rFonts w:ascii="Wingdings" w:hAnsi="Wingdings" w:hint="default"/>
      </w:rPr>
    </w:lvl>
    <w:lvl w:ilvl="3" w:tplc="657245B2">
      <w:start w:val="1"/>
      <w:numFmt w:val="bullet"/>
      <w:lvlText w:val=""/>
      <w:lvlJc w:val="left"/>
      <w:pPr>
        <w:ind w:left="2880" w:hanging="360"/>
      </w:pPr>
      <w:rPr>
        <w:rFonts w:ascii="Symbol" w:hAnsi="Symbol" w:hint="default"/>
      </w:rPr>
    </w:lvl>
    <w:lvl w:ilvl="4" w:tplc="50AC2956">
      <w:start w:val="1"/>
      <w:numFmt w:val="bullet"/>
      <w:lvlText w:val="o"/>
      <w:lvlJc w:val="left"/>
      <w:pPr>
        <w:ind w:left="3600" w:hanging="360"/>
      </w:pPr>
      <w:rPr>
        <w:rFonts w:ascii="Courier New" w:hAnsi="Courier New" w:hint="default"/>
      </w:rPr>
    </w:lvl>
    <w:lvl w:ilvl="5" w:tplc="15BAD732">
      <w:start w:val="1"/>
      <w:numFmt w:val="bullet"/>
      <w:lvlText w:val=""/>
      <w:lvlJc w:val="left"/>
      <w:pPr>
        <w:ind w:left="4320" w:hanging="360"/>
      </w:pPr>
      <w:rPr>
        <w:rFonts w:ascii="Wingdings" w:hAnsi="Wingdings" w:hint="default"/>
      </w:rPr>
    </w:lvl>
    <w:lvl w:ilvl="6" w:tplc="4A2C123E">
      <w:start w:val="1"/>
      <w:numFmt w:val="bullet"/>
      <w:lvlText w:val=""/>
      <w:lvlJc w:val="left"/>
      <w:pPr>
        <w:ind w:left="5040" w:hanging="360"/>
      </w:pPr>
      <w:rPr>
        <w:rFonts w:ascii="Symbol" w:hAnsi="Symbol" w:hint="default"/>
      </w:rPr>
    </w:lvl>
    <w:lvl w:ilvl="7" w:tplc="2AF453F4">
      <w:start w:val="1"/>
      <w:numFmt w:val="bullet"/>
      <w:lvlText w:val="o"/>
      <w:lvlJc w:val="left"/>
      <w:pPr>
        <w:ind w:left="5760" w:hanging="360"/>
      </w:pPr>
      <w:rPr>
        <w:rFonts w:ascii="Courier New" w:hAnsi="Courier New" w:hint="default"/>
      </w:rPr>
    </w:lvl>
    <w:lvl w:ilvl="8" w:tplc="310CDE2C">
      <w:start w:val="1"/>
      <w:numFmt w:val="bullet"/>
      <w:lvlText w:val=""/>
      <w:lvlJc w:val="left"/>
      <w:pPr>
        <w:ind w:left="6480" w:hanging="360"/>
      </w:pPr>
      <w:rPr>
        <w:rFonts w:ascii="Wingdings" w:hAnsi="Wingdings" w:hint="default"/>
      </w:rPr>
    </w:lvl>
  </w:abstractNum>
  <w:abstractNum w:abstractNumId="3" w15:restartNumberingAfterBreak="0">
    <w:nsid w:val="10BF710D"/>
    <w:multiLevelType w:val="hybridMultilevel"/>
    <w:tmpl w:val="B5BA528C"/>
    <w:lvl w:ilvl="0" w:tplc="2D2EBEB6">
      <w:start w:val="1"/>
      <w:numFmt w:val="bullet"/>
      <w:lvlText w:val=""/>
      <w:lvlJc w:val="left"/>
      <w:pPr>
        <w:ind w:left="360" w:hanging="360"/>
      </w:pPr>
      <w:rPr>
        <w:rFonts w:ascii="Symbol" w:hAnsi="Symbol" w:hint="default"/>
      </w:rPr>
    </w:lvl>
    <w:lvl w:ilvl="1" w:tplc="E0941070">
      <w:start w:val="1"/>
      <w:numFmt w:val="bullet"/>
      <w:lvlText w:val="o"/>
      <w:lvlJc w:val="left"/>
      <w:pPr>
        <w:ind w:left="1080" w:hanging="360"/>
      </w:pPr>
      <w:rPr>
        <w:rFonts w:ascii="Courier New" w:hAnsi="Courier New" w:hint="default"/>
      </w:rPr>
    </w:lvl>
    <w:lvl w:ilvl="2" w:tplc="D4125730">
      <w:start w:val="1"/>
      <w:numFmt w:val="bullet"/>
      <w:lvlText w:val=""/>
      <w:lvlJc w:val="left"/>
      <w:pPr>
        <w:ind w:left="1800" w:hanging="360"/>
      </w:pPr>
      <w:rPr>
        <w:rFonts w:ascii="Wingdings" w:hAnsi="Wingdings" w:hint="default"/>
      </w:rPr>
    </w:lvl>
    <w:lvl w:ilvl="3" w:tplc="4AE48E94">
      <w:start w:val="1"/>
      <w:numFmt w:val="bullet"/>
      <w:lvlText w:val=""/>
      <w:lvlJc w:val="left"/>
      <w:pPr>
        <w:ind w:left="2520" w:hanging="360"/>
      </w:pPr>
      <w:rPr>
        <w:rFonts w:ascii="Symbol" w:hAnsi="Symbol" w:hint="default"/>
      </w:rPr>
    </w:lvl>
    <w:lvl w:ilvl="4" w:tplc="30FC8B0A">
      <w:start w:val="1"/>
      <w:numFmt w:val="bullet"/>
      <w:lvlText w:val="o"/>
      <w:lvlJc w:val="left"/>
      <w:pPr>
        <w:ind w:left="3240" w:hanging="360"/>
      </w:pPr>
      <w:rPr>
        <w:rFonts w:ascii="Courier New" w:hAnsi="Courier New" w:hint="default"/>
      </w:rPr>
    </w:lvl>
    <w:lvl w:ilvl="5" w:tplc="7EBEA872">
      <w:start w:val="1"/>
      <w:numFmt w:val="bullet"/>
      <w:lvlText w:val=""/>
      <w:lvlJc w:val="left"/>
      <w:pPr>
        <w:ind w:left="3960" w:hanging="360"/>
      </w:pPr>
      <w:rPr>
        <w:rFonts w:ascii="Wingdings" w:hAnsi="Wingdings" w:hint="default"/>
      </w:rPr>
    </w:lvl>
    <w:lvl w:ilvl="6" w:tplc="9514C594">
      <w:start w:val="1"/>
      <w:numFmt w:val="bullet"/>
      <w:lvlText w:val=""/>
      <w:lvlJc w:val="left"/>
      <w:pPr>
        <w:ind w:left="4680" w:hanging="360"/>
      </w:pPr>
      <w:rPr>
        <w:rFonts w:ascii="Symbol" w:hAnsi="Symbol" w:hint="default"/>
      </w:rPr>
    </w:lvl>
    <w:lvl w:ilvl="7" w:tplc="46102624">
      <w:start w:val="1"/>
      <w:numFmt w:val="bullet"/>
      <w:lvlText w:val="o"/>
      <w:lvlJc w:val="left"/>
      <w:pPr>
        <w:ind w:left="5400" w:hanging="360"/>
      </w:pPr>
      <w:rPr>
        <w:rFonts w:ascii="Courier New" w:hAnsi="Courier New" w:hint="default"/>
      </w:rPr>
    </w:lvl>
    <w:lvl w:ilvl="8" w:tplc="B2B6648E">
      <w:start w:val="1"/>
      <w:numFmt w:val="bullet"/>
      <w:lvlText w:val=""/>
      <w:lvlJc w:val="left"/>
      <w:pPr>
        <w:ind w:left="6120" w:hanging="360"/>
      </w:pPr>
      <w:rPr>
        <w:rFonts w:ascii="Wingdings" w:hAnsi="Wingdings" w:hint="default"/>
      </w:rPr>
    </w:lvl>
  </w:abstractNum>
  <w:abstractNum w:abstractNumId="4" w15:restartNumberingAfterBreak="0">
    <w:nsid w:val="163B0B92"/>
    <w:multiLevelType w:val="multilevel"/>
    <w:tmpl w:val="D7C2DC22"/>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238C9099"/>
    <w:multiLevelType w:val="hybridMultilevel"/>
    <w:tmpl w:val="5FC09CC0"/>
    <w:lvl w:ilvl="0" w:tplc="1332BCF0">
      <w:start w:val="1"/>
      <w:numFmt w:val="bullet"/>
      <w:lvlText w:val=""/>
      <w:lvlJc w:val="left"/>
      <w:pPr>
        <w:ind w:left="720" w:hanging="360"/>
      </w:pPr>
      <w:rPr>
        <w:rFonts w:ascii="Symbol" w:hAnsi="Symbol" w:hint="default"/>
      </w:rPr>
    </w:lvl>
    <w:lvl w:ilvl="1" w:tplc="E6F61312">
      <w:start w:val="1"/>
      <w:numFmt w:val="bullet"/>
      <w:lvlText w:val="o"/>
      <w:lvlJc w:val="left"/>
      <w:pPr>
        <w:ind w:left="1440" w:hanging="360"/>
      </w:pPr>
      <w:rPr>
        <w:rFonts w:ascii="Courier New" w:hAnsi="Courier New" w:hint="default"/>
      </w:rPr>
    </w:lvl>
    <w:lvl w:ilvl="2" w:tplc="1F0C58F6">
      <w:start w:val="1"/>
      <w:numFmt w:val="bullet"/>
      <w:lvlText w:val=""/>
      <w:lvlJc w:val="left"/>
      <w:pPr>
        <w:ind w:left="2160" w:hanging="360"/>
      </w:pPr>
      <w:rPr>
        <w:rFonts w:ascii="Wingdings" w:hAnsi="Wingdings" w:hint="default"/>
      </w:rPr>
    </w:lvl>
    <w:lvl w:ilvl="3" w:tplc="6448ACE8">
      <w:start w:val="1"/>
      <w:numFmt w:val="bullet"/>
      <w:lvlText w:val=""/>
      <w:lvlJc w:val="left"/>
      <w:pPr>
        <w:ind w:left="2880" w:hanging="360"/>
      </w:pPr>
      <w:rPr>
        <w:rFonts w:ascii="Symbol" w:hAnsi="Symbol" w:hint="default"/>
      </w:rPr>
    </w:lvl>
    <w:lvl w:ilvl="4" w:tplc="D6921E6A">
      <w:start w:val="1"/>
      <w:numFmt w:val="bullet"/>
      <w:lvlText w:val="o"/>
      <w:lvlJc w:val="left"/>
      <w:pPr>
        <w:ind w:left="3600" w:hanging="360"/>
      </w:pPr>
      <w:rPr>
        <w:rFonts w:ascii="Courier New" w:hAnsi="Courier New" w:hint="default"/>
      </w:rPr>
    </w:lvl>
    <w:lvl w:ilvl="5" w:tplc="4C1AFB70">
      <w:start w:val="1"/>
      <w:numFmt w:val="bullet"/>
      <w:lvlText w:val=""/>
      <w:lvlJc w:val="left"/>
      <w:pPr>
        <w:ind w:left="4320" w:hanging="360"/>
      </w:pPr>
      <w:rPr>
        <w:rFonts w:ascii="Wingdings" w:hAnsi="Wingdings" w:hint="default"/>
      </w:rPr>
    </w:lvl>
    <w:lvl w:ilvl="6" w:tplc="C276AB3A">
      <w:start w:val="1"/>
      <w:numFmt w:val="bullet"/>
      <w:lvlText w:val=""/>
      <w:lvlJc w:val="left"/>
      <w:pPr>
        <w:ind w:left="5040" w:hanging="360"/>
      </w:pPr>
      <w:rPr>
        <w:rFonts w:ascii="Symbol" w:hAnsi="Symbol" w:hint="default"/>
      </w:rPr>
    </w:lvl>
    <w:lvl w:ilvl="7" w:tplc="4F920552">
      <w:start w:val="1"/>
      <w:numFmt w:val="bullet"/>
      <w:lvlText w:val="o"/>
      <w:lvlJc w:val="left"/>
      <w:pPr>
        <w:ind w:left="5760" w:hanging="360"/>
      </w:pPr>
      <w:rPr>
        <w:rFonts w:ascii="Courier New" w:hAnsi="Courier New" w:hint="default"/>
      </w:rPr>
    </w:lvl>
    <w:lvl w:ilvl="8" w:tplc="71ECC3C2">
      <w:start w:val="1"/>
      <w:numFmt w:val="bullet"/>
      <w:lvlText w:val=""/>
      <w:lvlJc w:val="left"/>
      <w:pPr>
        <w:ind w:left="6480" w:hanging="360"/>
      </w:pPr>
      <w:rPr>
        <w:rFonts w:ascii="Wingdings" w:hAnsi="Wingdings" w:hint="default"/>
      </w:rPr>
    </w:lvl>
  </w:abstractNum>
  <w:abstractNum w:abstractNumId="7" w15:restartNumberingAfterBreak="0">
    <w:nsid w:val="361D2F53"/>
    <w:multiLevelType w:val="hybridMultilevel"/>
    <w:tmpl w:val="080E6B4C"/>
    <w:lvl w:ilvl="0" w:tplc="BAC21CCE">
      <w:start w:val="1"/>
      <w:numFmt w:val="bullet"/>
      <w:lvlText w:val=""/>
      <w:lvlJc w:val="left"/>
      <w:pPr>
        <w:ind w:left="360" w:hanging="360"/>
      </w:pPr>
      <w:rPr>
        <w:rFonts w:ascii="Symbol" w:hAnsi="Symbol" w:hint="default"/>
      </w:rPr>
    </w:lvl>
    <w:lvl w:ilvl="1" w:tplc="7EF865E0">
      <w:start w:val="1"/>
      <w:numFmt w:val="bullet"/>
      <w:lvlText w:val="o"/>
      <w:lvlJc w:val="left"/>
      <w:pPr>
        <w:ind w:left="1080" w:hanging="360"/>
      </w:pPr>
      <w:rPr>
        <w:rFonts w:ascii="Courier New" w:hAnsi="Courier New" w:hint="default"/>
      </w:rPr>
    </w:lvl>
    <w:lvl w:ilvl="2" w:tplc="B41E7D5E">
      <w:start w:val="1"/>
      <w:numFmt w:val="bullet"/>
      <w:lvlText w:val=""/>
      <w:lvlJc w:val="left"/>
      <w:pPr>
        <w:ind w:left="1800" w:hanging="360"/>
      </w:pPr>
      <w:rPr>
        <w:rFonts w:ascii="Wingdings" w:hAnsi="Wingdings" w:hint="default"/>
      </w:rPr>
    </w:lvl>
    <w:lvl w:ilvl="3" w:tplc="F6F83C96">
      <w:start w:val="1"/>
      <w:numFmt w:val="bullet"/>
      <w:lvlText w:val=""/>
      <w:lvlJc w:val="left"/>
      <w:pPr>
        <w:ind w:left="2520" w:hanging="360"/>
      </w:pPr>
      <w:rPr>
        <w:rFonts w:ascii="Symbol" w:hAnsi="Symbol" w:hint="default"/>
      </w:rPr>
    </w:lvl>
    <w:lvl w:ilvl="4" w:tplc="D86A0544">
      <w:start w:val="1"/>
      <w:numFmt w:val="bullet"/>
      <w:lvlText w:val="o"/>
      <w:lvlJc w:val="left"/>
      <w:pPr>
        <w:ind w:left="3240" w:hanging="360"/>
      </w:pPr>
      <w:rPr>
        <w:rFonts w:ascii="Courier New" w:hAnsi="Courier New" w:hint="default"/>
      </w:rPr>
    </w:lvl>
    <w:lvl w:ilvl="5" w:tplc="53DA587E">
      <w:start w:val="1"/>
      <w:numFmt w:val="bullet"/>
      <w:lvlText w:val=""/>
      <w:lvlJc w:val="left"/>
      <w:pPr>
        <w:ind w:left="3960" w:hanging="360"/>
      </w:pPr>
      <w:rPr>
        <w:rFonts w:ascii="Wingdings" w:hAnsi="Wingdings" w:hint="default"/>
      </w:rPr>
    </w:lvl>
    <w:lvl w:ilvl="6" w:tplc="5B7C165C">
      <w:start w:val="1"/>
      <w:numFmt w:val="bullet"/>
      <w:lvlText w:val=""/>
      <w:lvlJc w:val="left"/>
      <w:pPr>
        <w:ind w:left="4680" w:hanging="360"/>
      </w:pPr>
      <w:rPr>
        <w:rFonts w:ascii="Symbol" w:hAnsi="Symbol" w:hint="default"/>
      </w:rPr>
    </w:lvl>
    <w:lvl w:ilvl="7" w:tplc="46743DF6">
      <w:start w:val="1"/>
      <w:numFmt w:val="bullet"/>
      <w:lvlText w:val="o"/>
      <w:lvlJc w:val="left"/>
      <w:pPr>
        <w:ind w:left="5400" w:hanging="360"/>
      </w:pPr>
      <w:rPr>
        <w:rFonts w:ascii="Courier New" w:hAnsi="Courier New" w:hint="default"/>
      </w:rPr>
    </w:lvl>
    <w:lvl w:ilvl="8" w:tplc="7B3AEE94">
      <w:start w:val="1"/>
      <w:numFmt w:val="bullet"/>
      <w:lvlText w:val=""/>
      <w:lvlJc w:val="left"/>
      <w:pPr>
        <w:ind w:left="6120" w:hanging="360"/>
      </w:pPr>
      <w:rPr>
        <w:rFonts w:ascii="Wingdings" w:hAnsi="Wingdings" w:hint="default"/>
      </w:rPr>
    </w:lvl>
  </w:abstractNum>
  <w:abstractNum w:abstractNumId="8" w15:restartNumberingAfterBreak="0">
    <w:nsid w:val="393A209E"/>
    <w:multiLevelType w:val="multilevel"/>
    <w:tmpl w:val="ACBE6800"/>
    <w:lvl w:ilvl="0">
      <w:start w:val="1"/>
      <w:numFmt w:val="decimal"/>
      <w:lvlText w:val="%1."/>
      <w:lvlJc w:val="left"/>
      <w:pPr>
        <w:ind w:left="720" w:hanging="360"/>
      </w:pPr>
    </w:lvl>
    <w:lvl w:ilvl="1">
      <w:start w:val="1"/>
      <w:numFmt w:val="decimal"/>
      <w:lvlText w:val="%1.%2"/>
      <w:lvlJc w:val="left"/>
      <w:pPr>
        <w:ind w:left="1440" w:hanging="720"/>
      </w:pPr>
      <w:rPr>
        <w:rFonts w:ascii="Verdana" w:hAnsi="Verdan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ADF2D11"/>
    <w:multiLevelType w:val="multilevel"/>
    <w:tmpl w:val="D4B0EBCE"/>
    <w:lvl w:ilvl="0">
      <w:start w:val="1"/>
      <w:numFmt w:val="decimal"/>
      <w:lvlText w:val="%1."/>
      <w:lvlJc w:val="left"/>
      <w:pPr>
        <w:ind w:left="720" w:hanging="360"/>
      </w:pPr>
      <w:rPr>
        <w:rFonts w:ascii="Verdana,Segoe UI,Times New Roma" w:hAnsi="Verdana,Segoe UI,Times New Rom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9BB2D2"/>
    <w:multiLevelType w:val="hybridMultilevel"/>
    <w:tmpl w:val="DBDC4256"/>
    <w:lvl w:ilvl="0" w:tplc="2D3EEE78">
      <w:start w:val="1"/>
      <w:numFmt w:val="bullet"/>
      <w:lvlText w:val=""/>
      <w:lvlJc w:val="left"/>
      <w:pPr>
        <w:ind w:left="360" w:hanging="360"/>
      </w:pPr>
      <w:rPr>
        <w:rFonts w:ascii="Symbol" w:hAnsi="Symbol" w:hint="default"/>
      </w:rPr>
    </w:lvl>
    <w:lvl w:ilvl="1" w:tplc="F210DB04">
      <w:start w:val="1"/>
      <w:numFmt w:val="bullet"/>
      <w:lvlText w:val="o"/>
      <w:lvlJc w:val="left"/>
      <w:pPr>
        <w:ind w:left="1440" w:hanging="360"/>
      </w:pPr>
      <w:rPr>
        <w:rFonts w:ascii="Courier New" w:hAnsi="Courier New" w:hint="default"/>
      </w:rPr>
    </w:lvl>
    <w:lvl w:ilvl="2" w:tplc="BA8E5E70">
      <w:start w:val="1"/>
      <w:numFmt w:val="bullet"/>
      <w:lvlText w:val=""/>
      <w:lvlJc w:val="left"/>
      <w:pPr>
        <w:ind w:left="2160" w:hanging="360"/>
      </w:pPr>
      <w:rPr>
        <w:rFonts w:ascii="Wingdings" w:hAnsi="Wingdings" w:hint="default"/>
      </w:rPr>
    </w:lvl>
    <w:lvl w:ilvl="3" w:tplc="5FEA16D2">
      <w:start w:val="1"/>
      <w:numFmt w:val="bullet"/>
      <w:lvlText w:val=""/>
      <w:lvlJc w:val="left"/>
      <w:pPr>
        <w:ind w:left="2880" w:hanging="360"/>
      </w:pPr>
      <w:rPr>
        <w:rFonts w:ascii="Symbol" w:hAnsi="Symbol" w:hint="default"/>
      </w:rPr>
    </w:lvl>
    <w:lvl w:ilvl="4" w:tplc="F3B4C02E">
      <w:start w:val="1"/>
      <w:numFmt w:val="bullet"/>
      <w:lvlText w:val="o"/>
      <w:lvlJc w:val="left"/>
      <w:pPr>
        <w:ind w:left="3600" w:hanging="360"/>
      </w:pPr>
      <w:rPr>
        <w:rFonts w:ascii="Courier New" w:hAnsi="Courier New" w:hint="default"/>
      </w:rPr>
    </w:lvl>
    <w:lvl w:ilvl="5" w:tplc="367C797E">
      <w:start w:val="1"/>
      <w:numFmt w:val="bullet"/>
      <w:lvlText w:val=""/>
      <w:lvlJc w:val="left"/>
      <w:pPr>
        <w:ind w:left="4320" w:hanging="360"/>
      </w:pPr>
      <w:rPr>
        <w:rFonts w:ascii="Wingdings" w:hAnsi="Wingdings" w:hint="default"/>
      </w:rPr>
    </w:lvl>
    <w:lvl w:ilvl="6" w:tplc="6654362A">
      <w:start w:val="1"/>
      <w:numFmt w:val="bullet"/>
      <w:lvlText w:val=""/>
      <w:lvlJc w:val="left"/>
      <w:pPr>
        <w:ind w:left="5040" w:hanging="360"/>
      </w:pPr>
      <w:rPr>
        <w:rFonts w:ascii="Symbol" w:hAnsi="Symbol" w:hint="default"/>
      </w:rPr>
    </w:lvl>
    <w:lvl w:ilvl="7" w:tplc="3E9675AC">
      <w:start w:val="1"/>
      <w:numFmt w:val="bullet"/>
      <w:lvlText w:val="o"/>
      <w:lvlJc w:val="left"/>
      <w:pPr>
        <w:ind w:left="5760" w:hanging="360"/>
      </w:pPr>
      <w:rPr>
        <w:rFonts w:ascii="Courier New" w:hAnsi="Courier New" w:hint="default"/>
      </w:rPr>
    </w:lvl>
    <w:lvl w:ilvl="8" w:tplc="AEBA8114">
      <w:start w:val="1"/>
      <w:numFmt w:val="bullet"/>
      <w:lvlText w:val=""/>
      <w:lvlJc w:val="left"/>
      <w:pPr>
        <w:ind w:left="6480" w:hanging="360"/>
      </w:pPr>
      <w:rPr>
        <w:rFonts w:ascii="Wingdings" w:hAnsi="Wingdings" w:hint="default"/>
      </w:rPr>
    </w:lvl>
  </w:abstractNum>
  <w:abstractNum w:abstractNumId="1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5" w15:restartNumberingAfterBreak="0">
    <w:nsid w:val="674861A8"/>
    <w:multiLevelType w:val="hybridMultilevel"/>
    <w:tmpl w:val="D736C30C"/>
    <w:lvl w:ilvl="0" w:tplc="38AEF8A6">
      <w:start w:val="1"/>
      <w:numFmt w:val="bullet"/>
      <w:lvlText w:val=""/>
      <w:lvlJc w:val="left"/>
      <w:pPr>
        <w:ind w:left="720" w:hanging="360"/>
      </w:pPr>
      <w:rPr>
        <w:rFonts w:ascii="Symbol" w:hAnsi="Symbol" w:hint="default"/>
      </w:rPr>
    </w:lvl>
    <w:lvl w:ilvl="1" w:tplc="B2248822">
      <w:start w:val="1"/>
      <w:numFmt w:val="bullet"/>
      <w:lvlText w:val="o"/>
      <w:lvlJc w:val="left"/>
      <w:pPr>
        <w:ind w:left="1440" w:hanging="360"/>
      </w:pPr>
      <w:rPr>
        <w:rFonts w:ascii="Courier New" w:hAnsi="Courier New" w:hint="default"/>
      </w:rPr>
    </w:lvl>
    <w:lvl w:ilvl="2" w:tplc="E65034B8">
      <w:start w:val="1"/>
      <w:numFmt w:val="bullet"/>
      <w:lvlText w:val=""/>
      <w:lvlJc w:val="left"/>
      <w:pPr>
        <w:ind w:left="2160" w:hanging="360"/>
      </w:pPr>
      <w:rPr>
        <w:rFonts w:ascii="Wingdings" w:hAnsi="Wingdings" w:hint="default"/>
      </w:rPr>
    </w:lvl>
    <w:lvl w:ilvl="3" w:tplc="F522B29A">
      <w:start w:val="1"/>
      <w:numFmt w:val="bullet"/>
      <w:lvlText w:val=""/>
      <w:lvlJc w:val="left"/>
      <w:pPr>
        <w:ind w:left="2880" w:hanging="360"/>
      </w:pPr>
      <w:rPr>
        <w:rFonts w:ascii="Symbol" w:hAnsi="Symbol" w:hint="default"/>
      </w:rPr>
    </w:lvl>
    <w:lvl w:ilvl="4" w:tplc="4F0262C0">
      <w:start w:val="1"/>
      <w:numFmt w:val="bullet"/>
      <w:lvlText w:val="o"/>
      <w:lvlJc w:val="left"/>
      <w:pPr>
        <w:ind w:left="3600" w:hanging="360"/>
      </w:pPr>
      <w:rPr>
        <w:rFonts w:ascii="Courier New" w:hAnsi="Courier New" w:hint="default"/>
      </w:rPr>
    </w:lvl>
    <w:lvl w:ilvl="5" w:tplc="FC8C52E6">
      <w:start w:val="1"/>
      <w:numFmt w:val="bullet"/>
      <w:lvlText w:val=""/>
      <w:lvlJc w:val="left"/>
      <w:pPr>
        <w:ind w:left="4320" w:hanging="360"/>
      </w:pPr>
      <w:rPr>
        <w:rFonts w:ascii="Wingdings" w:hAnsi="Wingdings" w:hint="default"/>
      </w:rPr>
    </w:lvl>
    <w:lvl w:ilvl="6" w:tplc="D9F63336">
      <w:start w:val="1"/>
      <w:numFmt w:val="bullet"/>
      <w:lvlText w:val=""/>
      <w:lvlJc w:val="left"/>
      <w:pPr>
        <w:ind w:left="5040" w:hanging="360"/>
      </w:pPr>
      <w:rPr>
        <w:rFonts w:ascii="Symbol" w:hAnsi="Symbol" w:hint="default"/>
      </w:rPr>
    </w:lvl>
    <w:lvl w:ilvl="7" w:tplc="0CE87352">
      <w:start w:val="1"/>
      <w:numFmt w:val="bullet"/>
      <w:lvlText w:val="o"/>
      <w:lvlJc w:val="left"/>
      <w:pPr>
        <w:ind w:left="5760" w:hanging="360"/>
      </w:pPr>
      <w:rPr>
        <w:rFonts w:ascii="Courier New" w:hAnsi="Courier New" w:hint="default"/>
      </w:rPr>
    </w:lvl>
    <w:lvl w:ilvl="8" w:tplc="9B8CB93E">
      <w:start w:val="1"/>
      <w:numFmt w:val="bullet"/>
      <w:lvlText w:val=""/>
      <w:lvlJc w:val="left"/>
      <w:pPr>
        <w:ind w:left="6480" w:hanging="360"/>
      </w:pPr>
      <w:rPr>
        <w:rFonts w:ascii="Wingdings" w:hAnsi="Wingdings" w:hint="default"/>
      </w:rPr>
    </w:lvl>
  </w:abstractNum>
  <w:abstractNum w:abstractNumId="1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CC99F87"/>
    <w:multiLevelType w:val="hybridMultilevel"/>
    <w:tmpl w:val="E5F20686"/>
    <w:lvl w:ilvl="0" w:tplc="B3E6FD8A">
      <w:start w:val="1"/>
      <w:numFmt w:val="bullet"/>
      <w:lvlText w:val=""/>
      <w:lvlJc w:val="left"/>
      <w:pPr>
        <w:ind w:left="360" w:hanging="360"/>
      </w:pPr>
      <w:rPr>
        <w:rFonts w:ascii="Symbol" w:hAnsi="Symbol" w:hint="default"/>
      </w:rPr>
    </w:lvl>
    <w:lvl w:ilvl="1" w:tplc="22E86E7A">
      <w:start w:val="1"/>
      <w:numFmt w:val="bullet"/>
      <w:lvlText w:val="o"/>
      <w:lvlJc w:val="left"/>
      <w:pPr>
        <w:ind w:left="1080" w:hanging="360"/>
      </w:pPr>
      <w:rPr>
        <w:rFonts w:ascii="Courier New" w:hAnsi="Courier New" w:hint="default"/>
      </w:rPr>
    </w:lvl>
    <w:lvl w:ilvl="2" w:tplc="B872840A">
      <w:start w:val="1"/>
      <w:numFmt w:val="bullet"/>
      <w:lvlText w:val=""/>
      <w:lvlJc w:val="left"/>
      <w:pPr>
        <w:ind w:left="1800" w:hanging="360"/>
      </w:pPr>
      <w:rPr>
        <w:rFonts w:ascii="Wingdings" w:hAnsi="Wingdings" w:hint="default"/>
      </w:rPr>
    </w:lvl>
    <w:lvl w:ilvl="3" w:tplc="E90ABBE6">
      <w:start w:val="1"/>
      <w:numFmt w:val="bullet"/>
      <w:lvlText w:val=""/>
      <w:lvlJc w:val="left"/>
      <w:pPr>
        <w:ind w:left="2520" w:hanging="360"/>
      </w:pPr>
      <w:rPr>
        <w:rFonts w:ascii="Symbol" w:hAnsi="Symbol" w:hint="default"/>
      </w:rPr>
    </w:lvl>
    <w:lvl w:ilvl="4" w:tplc="EE20CA52">
      <w:start w:val="1"/>
      <w:numFmt w:val="bullet"/>
      <w:lvlText w:val="o"/>
      <w:lvlJc w:val="left"/>
      <w:pPr>
        <w:ind w:left="3240" w:hanging="360"/>
      </w:pPr>
      <w:rPr>
        <w:rFonts w:ascii="Courier New" w:hAnsi="Courier New" w:hint="default"/>
      </w:rPr>
    </w:lvl>
    <w:lvl w:ilvl="5" w:tplc="346808DA">
      <w:start w:val="1"/>
      <w:numFmt w:val="bullet"/>
      <w:lvlText w:val=""/>
      <w:lvlJc w:val="left"/>
      <w:pPr>
        <w:ind w:left="3960" w:hanging="360"/>
      </w:pPr>
      <w:rPr>
        <w:rFonts w:ascii="Wingdings" w:hAnsi="Wingdings" w:hint="default"/>
      </w:rPr>
    </w:lvl>
    <w:lvl w:ilvl="6" w:tplc="D4B80DDC">
      <w:start w:val="1"/>
      <w:numFmt w:val="bullet"/>
      <w:lvlText w:val=""/>
      <w:lvlJc w:val="left"/>
      <w:pPr>
        <w:ind w:left="4680" w:hanging="360"/>
      </w:pPr>
      <w:rPr>
        <w:rFonts w:ascii="Symbol" w:hAnsi="Symbol" w:hint="default"/>
      </w:rPr>
    </w:lvl>
    <w:lvl w:ilvl="7" w:tplc="338A8F66">
      <w:start w:val="1"/>
      <w:numFmt w:val="bullet"/>
      <w:lvlText w:val="o"/>
      <w:lvlJc w:val="left"/>
      <w:pPr>
        <w:ind w:left="5400" w:hanging="360"/>
      </w:pPr>
      <w:rPr>
        <w:rFonts w:ascii="Courier New" w:hAnsi="Courier New" w:hint="default"/>
      </w:rPr>
    </w:lvl>
    <w:lvl w:ilvl="8" w:tplc="DDA46DC8">
      <w:start w:val="1"/>
      <w:numFmt w:val="bullet"/>
      <w:lvlText w:val=""/>
      <w:lvlJc w:val="left"/>
      <w:pPr>
        <w:ind w:left="6120" w:hanging="360"/>
      </w:pPr>
      <w:rPr>
        <w:rFonts w:ascii="Wingdings" w:hAnsi="Wingdings" w:hint="default"/>
      </w:rPr>
    </w:lvl>
  </w:abstractNum>
  <w:abstractNum w:abstractNumId="18" w15:restartNumberingAfterBreak="0">
    <w:nsid w:val="6DBFF7E3"/>
    <w:multiLevelType w:val="multilevel"/>
    <w:tmpl w:val="F23202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3B9D637"/>
    <w:multiLevelType w:val="hybridMultilevel"/>
    <w:tmpl w:val="D7845EA8"/>
    <w:lvl w:ilvl="0" w:tplc="DE0AA38C">
      <w:start w:val="1"/>
      <w:numFmt w:val="bullet"/>
      <w:lvlText w:val=""/>
      <w:lvlJc w:val="left"/>
      <w:pPr>
        <w:ind w:left="720" w:hanging="360"/>
      </w:pPr>
      <w:rPr>
        <w:rFonts w:ascii="Symbol" w:hAnsi="Symbol" w:hint="default"/>
      </w:rPr>
    </w:lvl>
    <w:lvl w:ilvl="1" w:tplc="AB7C5348">
      <w:start w:val="1"/>
      <w:numFmt w:val="bullet"/>
      <w:lvlText w:val="o"/>
      <w:lvlJc w:val="left"/>
      <w:pPr>
        <w:ind w:left="1440" w:hanging="360"/>
      </w:pPr>
      <w:rPr>
        <w:rFonts w:ascii="Courier New" w:hAnsi="Courier New" w:hint="default"/>
      </w:rPr>
    </w:lvl>
    <w:lvl w:ilvl="2" w:tplc="71B00A2E">
      <w:start w:val="1"/>
      <w:numFmt w:val="bullet"/>
      <w:lvlText w:val=""/>
      <w:lvlJc w:val="left"/>
      <w:pPr>
        <w:ind w:left="2160" w:hanging="360"/>
      </w:pPr>
      <w:rPr>
        <w:rFonts w:ascii="Wingdings" w:hAnsi="Wingdings" w:hint="default"/>
      </w:rPr>
    </w:lvl>
    <w:lvl w:ilvl="3" w:tplc="0866764A">
      <w:start w:val="1"/>
      <w:numFmt w:val="bullet"/>
      <w:lvlText w:val=""/>
      <w:lvlJc w:val="left"/>
      <w:pPr>
        <w:ind w:left="2880" w:hanging="360"/>
      </w:pPr>
      <w:rPr>
        <w:rFonts w:ascii="Symbol" w:hAnsi="Symbol" w:hint="default"/>
      </w:rPr>
    </w:lvl>
    <w:lvl w:ilvl="4" w:tplc="8C3C4D0E">
      <w:start w:val="1"/>
      <w:numFmt w:val="bullet"/>
      <w:lvlText w:val="o"/>
      <w:lvlJc w:val="left"/>
      <w:pPr>
        <w:ind w:left="3600" w:hanging="360"/>
      </w:pPr>
      <w:rPr>
        <w:rFonts w:ascii="Courier New" w:hAnsi="Courier New" w:hint="default"/>
      </w:rPr>
    </w:lvl>
    <w:lvl w:ilvl="5" w:tplc="855A7872">
      <w:start w:val="1"/>
      <w:numFmt w:val="bullet"/>
      <w:lvlText w:val=""/>
      <w:lvlJc w:val="left"/>
      <w:pPr>
        <w:ind w:left="4320" w:hanging="360"/>
      </w:pPr>
      <w:rPr>
        <w:rFonts w:ascii="Wingdings" w:hAnsi="Wingdings" w:hint="default"/>
      </w:rPr>
    </w:lvl>
    <w:lvl w:ilvl="6" w:tplc="1706B048">
      <w:start w:val="1"/>
      <w:numFmt w:val="bullet"/>
      <w:lvlText w:val=""/>
      <w:lvlJc w:val="left"/>
      <w:pPr>
        <w:ind w:left="5040" w:hanging="360"/>
      </w:pPr>
      <w:rPr>
        <w:rFonts w:ascii="Symbol" w:hAnsi="Symbol" w:hint="default"/>
      </w:rPr>
    </w:lvl>
    <w:lvl w:ilvl="7" w:tplc="442487DE">
      <w:start w:val="1"/>
      <w:numFmt w:val="bullet"/>
      <w:lvlText w:val="o"/>
      <w:lvlJc w:val="left"/>
      <w:pPr>
        <w:ind w:left="5760" w:hanging="360"/>
      </w:pPr>
      <w:rPr>
        <w:rFonts w:ascii="Courier New" w:hAnsi="Courier New" w:hint="default"/>
      </w:rPr>
    </w:lvl>
    <w:lvl w:ilvl="8" w:tplc="EB769A7C">
      <w:start w:val="1"/>
      <w:numFmt w:val="bullet"/>
      <w:lvlText w:val=""/>
      <w:lvlJc w:val="left"/>
      <w:pPr>
        <w:ind w:left="6480" w:hanging="360"/>
      </w:pPr>
      <w:rPr>
        <w:rFonts w:ascii="Wingdings" w:hAnsi="Wingdings" w:hint="default"/>
      </w:rPr>
    </w:lvl>
  </w:abstractNum>
  <w:abstractNum w:abstractNumId="20" w15:restartNumberingAfterBreak="0">
    <w:nsid w:val="767DB1C3"/>
    <w:multiLevelType w:val="hybridMultilevel"/>
    <w:tmpl w:val="54D043A4"/>
    <w:lvl w:ilvl="0" w:tplc="81947572">
      <w:start w:val="1"/>
      <w:numFmt w:val="bullet"/>
      <w:lvlText w:val=""/>
      <w:lvlJc w:val="left"/>
      <w:pPr>
        <w:ind w:left="360" w:hanging="360"/>
      </w:pPr>
      <w:rPr>
        <w:rFonts w:ascii="Symbol" w:hAnsi="Symbol" w:hint="default"/>
      </w:rPr>
    </w:lvl>
    <w:lvl w:ilvl="1" w:tplc="08C0FB94">
      <w:start w:val="1"/>
      <w:numFmt w:val="bullet"/>
      <w:lvlText w:val="o"/>
      <w:lvlJc w:val="left"/>
      <w:pPr>
        <w:ind w:left="1080" w:hanging="360"/>
      </w:pPr>
      <w:rPr>
        <w:rFonts w:ascii="Courier New" w:hAnsi="Courier New" w:hint="default"/>
      </w:rPr>
    </w:lvl>
    <w:lvl w:ilvl="2" w:tplc="F5124DD2">
      <w:start w:val="1"/>
      <w:numFmt w:val="bullet"/>
      <w:lvlText w:val=""/>
      <w:lvlJc w:val="left"/>
      <w:pPr>
        <w:ind w:left="1800" w:hanging="360"/>
      </w:pPr>
      <w:rPr>
        <w:rFonts w:ascii="Wingdings" w:hAnsi="Wingdings" w:hint="default"/>
      </w:rPr>
    </w:lvl>
    <w:lvl w:ilvl="3" w:tplc="F20AEC22">
      <w:start w:val="1"/>
      <w:numFmt w:val="bullet"/>
      <w:lvlText w:val=""/>
      <w:lvlJc w:val="left"/>
      <w:pPr>
        <w:ind w:left="2520" w:hanging="360"/>
      </w:pPr>
      <w:rPr>
        <w:rFonts w:ascii="Symbol" w:hAnsi="Symbol" w:hint="default"/>
      </w:rPr>
    </w:lvl>
    <w:lvl w:ilvl="4" w:tplc="57DAC82C">
      <w:start w:val="1"/>
      <w:numFmt w:val="bullet"/>
      <w:lvlText w:val="o"/>
      <w:lvlJc w:val="left"/>
      <w:pPr>
        <w:ind w:left="3240" w:hanging="360"/>
      </w:pPr>
      <w:rPr>
        <w:rFonts w:ascii="Courier New" w:hAnsi="Courier New" w:hint="default"/>
      </w:rPr>
    </w:lvl>
    <w:lvl w:ilvl="5" w:tplc="C08C4324">
      <w:start w:val="1"/>
      <w:numFmt w:val="bullet"/>
      <w:lvlText w:val=""/>
      <w:lvlJc w:val="left"/>
      <w:pPr>
        <w:ind w:left="3960" w:hanging="360"/>
      </w:pPr>
      <w:rPr>
        <w:rFonts w:ascii="Wingdings" w:hAnsi="Wingdings" w:hint="default"/>
      </w:rPr>
    </w:lvl>
    <w:lvl w:ilvl="6" w:tplc="395AB5D0">
      <w:start w:val="1"/>
      <w:numFmt w:val="bullet"/>
      <w:lvlText w:val=""/>
      <w:lvlJc w:val="left"/>
      <w:pPr>
        <w:ind w:left="4680" w:hanging="360"/>
      </w:pPr>
      <w:rPr>
        <w:rFonts w:ascii="Symbol" w:hAnsi="Symbol" w:hint="default"/>
      </w:rPr>
    </w:lvl>
    <w:lvl w:ilvl="7" w:tplc="8F4003EE">
      <w:start w:val="1"/>
      <w:numFmt w:val="bullet"/>
      <w:lvlText w:val="o"/>
      <w:lvlJc w:val="left"/>
      <w:pPr>
        <w:ind w:left="5400" w:hanging="360"/>
      </w:pPr>
      <w:rPr>
        <w:rFonts w:ascii="Courier New" w:hAnsi="Courier New" w:hint="default"/>
      </w:rPr>
    </w:lvl>
    <w:lvl w:ilvl="8" w:tplc="2642312E">
      <w:start w:val="1"/>
      <w:numFmt w:val="bullet"/>
      <w:lvlText w:val=""/>
      <w:lvlJc w:val="left"/>
      <w:pPr>
        <w:ind w:left="6120" w:hanging="360"/>
      </w:pPr>
      <w:rPr>
        <w:rFonts w:ascii="Wingdings" w:hAnsi="Wingdings" w:hint="default"/>
      </w:rPr>
    </w:lvl>
  </w:abstractNum>
  <w:abstractNum w:abstractNumId="21"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BEEE5C"/>
    <w:multiLevelType w:val="hybridMultilevel"/>
    <w:tmpl w:val="47BA01B6"/>
    <w:lvl w:ilvl="0" w:tplc="E6247CA4">
      <w:start w:val="1"/>
      <w:numFmt w:val="bullet"/>
      <w:lvlText w:val=""/>
      <w:lvlJc w:val="left"/>
      <w:pPr>
        <w:ind w:left="360" w:hanging="360"/>
      </w:pPr>
      <w:rPr>
        <w:rFonts w:ascii="Symbol" w:hAnsi="Symbol" w:hint="default"/>
      </w:rPr>
    </w:lvl>
    <w:lvl w:ilvl="1" w:tplc="00F4F6D2">
      <w:start w:val="1"/>
      <w:numFmt w:val="bullet"/>
      <w:lvlText w:val="o"/>
      <w:lvlJc w:val="left"/>
      <w:pPr>
        <w:ind w:left="1080" w:hanging="360"/>
      </w:pPr>
      <w:rPr>
        <w:rFonts w:ascii="Courier New" w:hAnsi="Courier New" w:hint="default"/>
      </w:rPr>
    </w:lvl>
    <w:lvl w:ilvl="2" w:tplc="6BC28CA2">
      <w:start w:val="1"/>
      <w:numFmt w:val="bullet"/>
      <w:lvlText w:val=""/>
      <w:lvlJc w:val="left"/>
      <w:pPr>
        <w:ind w:left="1800" w:hanging="360"/>
      </w:pPr>
      <w:rPr>
        <w:rFonts w:ascii="Wingdings" w:hAnsi="Wingdings" w:hint="default"/>
      </w:rPr>
    </w:lvl>
    <w:lvl w:ilvl="3" w:tplc="9EC45E7E">
      <w:start w:val="1"/>
      <w:numFmt w:val="bullet"/>
      <w:lvlText w:val=""/>
      <w:lvlJc w:val="left"/>
      <w:pPr>
        <w:ind w:left="2520" w:hanging="360"/>
      </w:pPr>
      <w:rPr>
        <w:rFonts w:ascii="Symbol" w:hAnsi="Symbol" w:hint="default"/>
      </w:rPr>
    </w:lvl>
    <w:lvl w:ilvl="4" w:tplc="652E2B1A">
      <w:start w:val="1"/>
      <w:numFmt w:val="bullet"/>
      <w:lvlText w:val="o"/>
      <w:lvlJc w:val="left"/>
      <w:pPr>
        <w:ind w:left="3240" w:hanging="360"/>
      </w:pPr>
      <w:rPr>
        <w:rFonts w:ascii="Courier New" w:hAnsi="Courier New" w:hint="default"/>
      </w:rPr>
    </w:lvl>
    <w:lvl w:ilvl="5" w:tplc="D64CCC98">
      <w:start w:val="1"/>
      <w:numFmt w:val="bullet"/>
      <w:lvlText w:val=""/>
      <w:lvlJc w:val="left"/>
      <w:pPr>
        <w:ind w:left="3960" w:hanging="360"/>
      </w:pPr>
      <w:rPr>
        <w:rFonts w:ascii="Wingdings" w:hAnsi="Wingdings" w:hint="default"/>
      </w:rPr>
    </w:lvl>
    <w:lvl w:ilvl="6" w:tplc="82A8E074">
      <w:start w:val="1"/>
      <w:numFmt w:val="bullet"/>
      <w:lvlText w:val=""/>
      <w:lvlJc w:val="left"/>
      <w:pPr>
        <w:ind w:left="4680" w:hanging="360"/>
      </w:pPr>
      <w:rPr>
        <w:rFonts w:ascii="Symbol" w:hAnsi="Symbol" w:hint="default"/>
      </w:rPr>
    </w:lvl>
    <w:lvl w:ilvl="7" w:tplc="58680AB0">
      <w:start w:val="1"/>
      <w:numFmt w:val="bullet"/>
      <w:lvlText w:val="o"/>
      <w:lvlJc w:val="left"/>
      <w:pPr>
        <w:ind w:left="5400" w:hanging="360"/>
      </w:pPr>
      <w:rPr>
        <w:rFonts w:ascii="Courier New" w:hAnsi="Courier New" w:hint="default"/>
      </w:rPr>
    </w:lvl>
    <w:lvl w:ilvl="8" w:tplc="4AC250A4">
      <w:start w:val="1"/>
      <w:numFmt w:val="bullet"/>
      <w:lvlText w:val=""/>
      <w:lvlJc w:val="left"/>
      <w:pPr>
        <w:ind w:left="6120" w:hanging="360"/>
      </w:pPr>
      <w:rPr>
        <w:rFonts w:ascii="Wingdings" w:hAnsi="Wingdings" w:hint="default"/>
      </w:rPr>
    </w:lvl>
  </w:abstractNum>
  <w:abstractNum w:abstractNumId="24"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393742925">
    <w:abstractNumId w:val="2"/>
  </w:num>
  <w:num w:numId="2" w16cid:durableId="1535264472">
    <w:abstractNumId w:val="6"/>
  </w:num>
  <w:num w:numId="3" w16cid:durableId="1096632768">
    <w:abstractNumId w:val="1"/>
  </w:num>
  <w:num w:numId="4" w16cid:durableId="1873297941">
    <w:abstractNumId w:val="8"/>
  </w:num>
  <w:num w:numId="5" w16cid:durableId="675379498">
    <w:abstractNumId w:val="17"/>
  </w:num>
  <w:num w:numId="6" w16cid:durableId="817498265">
    <w:abstractNumId w:val="3"/>
  </w:num>
  <w:num w:numId="7" w16cid:durableId="1572959843">
    <w:abstractNumId w:val="7"/>
  </w:num>
  <w:num w:numId="8" w16cid:durableId="1215582847">
    <w:abstractNumId w:val="0"/>
  </w:num>
  <w:num w:numId="9" w16cid:durableId="1342078596">
    <w:abstractNumId w:val="23"/>
  </w:num>
  <w:num w:numId="10" w16cid:durableId="1197111627">
    <w:abstractNumId w:val="20"/>
  </w:num>
  <w:num w:numId="11" w16cid:durableId="381296714">
    <w:abstractNumId w:val="13"/>
  </w:num>
  <w:num w:numId="12" w16cid:durableId="1917782415">
    <w:abstractNumId w:val="19"/>
  </w:num>
  <w:num w:numId="13" w16cid:durableId="1075787951">
    <w:abstractNumId w:val="9"/>
  </w:num>
  <w:num w:numId="14" w16cid:durableId="1881672933">
    <w:abstractNumId w:val="18"/>
  </w:num>
  <w:num w:numId="15" w16cid:durableId="1970233975">
    <w:abstractNumId w:val="15"/>
  </w:num>
  <w:num w:numId="16" w16cid:durableId="704521321">
    <w:abstractNumId w:val="4"/>
  </w:num>
  <w:num w:numId="17" w16cid:durableId="1731493387">
    <w:abstractNumId w:val="12"/>
  </w:num>
  <w:num w:numId="18" w16cid:durableId="358313792">
    <w:abstractNumId w:val="11"/>
  </w:num>
  <w:num w:numId="19" w16cid:durableId="1144618638">
    <w:abstractNumId w:val="10"/>
  </w:num>
  <w:num w:numId="20" w16cid:durableId="211239042">
    <w:abstractNumId w:val="5"/>
  </w:num>
  <w:num w:numId="21" w16cid:durableId="1874800944">
    <w:abstractNumId w:val="22"/>
  </w:num>
  <w:num w:numId="22" w16cid:durableId="263198079">
    <w:abstractNumId w:val="24"/>
  </w:num>
  <w:num w:numId="23" w16cid:durableId="1535070366">
    <w:abstractNumId w:val="14"/>
  </w:num>
  <w:num w:numId="24" w16cid:durableId="1823614381">
    <w:abstractNumId w:val="16"/>
  </w:num>
  <w:num w:numId="25" w16cid:durableId="8754299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401B"/>
    <w:rsid w:val="00015859"/>
    <w:rsid w:val="00017807"/>
    <w:rsid w:val="000203BD"/>
    <w:rsid w:val="00021C60"/>
    <w:rsid w:val="00034194"/>
    <w:rsid w:val="00041CF6"/>
    <w:rsid w:val="00047C99"/>
    <w:rsid w:val="00052D01"/>
    <w:rsid w:val="00054F8C"/>
    <w:rsid w:val="00061E86"/>
    <w:rsid w:val="00065531"/>
    <w:rsid w:val="00072D3B"/>
    <w:rsid w:val="00083FC0"/>
    <w:rsid w:val="000940E7"/>
    <w:rsid w:val="000A0751"/>
    <w:rsid w:val="000C3280"/>
    <w:rsid w:val="000E379E"/>
    <w:rsid w:val="000F361B"/>
    <w:rsid w:val="00110100"/>
    <w:rsid w:val="00133EA1"/>
    <w:rsid w:val="0016096B"/>
    <w:rsid w:val="001707C4"/>
    <w:rsid w:val="0018209C"/>
    <w:rsid w:val="00182C00"/>
    <w:rsid w:val="0019127F"/>
    <w:rsid w:val="001A4E1B"/>
    <w:rsid w:val="001B3120"/>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2BD5"/>
    <w:rsid w:val="00274652"/>
    <w:rsid w:val="002950FF"/>
    <w:rsid w:val="00296CD9"/>
    <w:rsid w:val="002A706E"/>
    <w:rsid w:val="002B7C9A"/>
    <w:rsid w:val="002C1322"/>
    <w:rsid w:val="002C3DD6"/>
    <w:rsid w:val="002D77FE"/>
    <w:rsid w:val="002F6428"/>
    <w:rsid w:val="0030739E"/>
    <w:rsid w:val="0031077C"/>
    <w:rsid w:val="003261FD"/>
    <w:rsid w:val="00327324"/>
    <w:rsid w:val="0032747D"/>
    <w:rsid w:val="003324CB"/>
    <w:rsid w:val="003464BA"/>
    <w:rsid w:val="00366FDD"/>
    <w:rsid w:val="00375605"/>
    <w:rsid w:val="00387A41"/>
    <w:rsid w:val="003B31B1"/>
    <w:rsid w:val="003C0FF8"/>
    <w:rsid w:val="0040753F"/>
    <w:rsid w:val="004140C9"/>
    <w:rsid w:val="00414894"/>
    <w:rsid w:val="004221DC"/>
    <w:rsid w:val="004222DD"/>
    <w:rsid w:val="0042635B"/>
    <w:rsid w:val="00461835"/>
    <w:rsid w:val="00466612"/>
    <w:rsid w:val="00466F20"/>
    <w:rsid w:val="004671D2"/>
    <w:rsid w:val="004754FC"/>
    <w:rsid w:val="00487F94"/>
    <w:rsid w:val="004937D3"/>
    <w:rsid w:val="00496BA0"/>
    <w:rsid w:val="004E109D"/>
    <w:rsid w:val="004F0667"/>
    <w:rsid w:val="0052297E"/>
    <w:rsid w:val="00524839"/>
    <w:rsid w:val="0053076A"/>
    <w:rsid w:val="005404F4"/>
    <w:rsid w:val="005506AE"/>
    <w:rsid w:val="00556711"/>
    <w:rsid w:val="00574BCF"/>
    <w:rsid w:val="00576395"/>
    <w:rsid w:val="005835C5"/>
    <w:rsid w:val="00585277"/>
    <w:rsid w:val="00594E39"/>
    <w:rsid w:val="005D1652"/>
    <w:rsid w:val="005D2C4A"/>
    <w:rsid w:val="005D3DF1"/>
    <w:rsid w:val="005D5AFA"/>
    <w:rsid w:val="005D5E16"/>
    <w:rsid w:val="005E6797"/>
    <w:rsid w:val="005F38A1"/>
    <w:rsid w:val="005F4E71"/>
    <w:rsid w:val="006201D0"/>
    <w:rsid w:val="0064147E"/>
    <w:rsid w:val="00646AAE"/>
    <w:rsid w:val="00653AEC"/>
    <w:rsid w:val="00655190"/>
    <w:rsid w:val="00656183"/>
    <w:rsid w:val="00662218"/>
    <w:rsid w:val="006715A4"/>
    <w:rsid w:val="006729DA"/>
    <w:rsid w:val="00672A4C"/>
    <w:rsid w:val="00685AE0"/>
    <w:rsid w:val="0068703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B683C"/>
    <w:rsid w:val="007D313C"/>
    <w:rsid w:val="007E5BB1"/>
    <w:rsid w:val="007F125F"/>
    <w:rsid w:val="00804324"/>
    <w:rsid w:val="00820546"/>
    <w:rsid w:val="008267FB"/>
    <w:rsid w:val="00850C29"/>
    <w:rsid w:val="00857D93"/>
    <w:rsid w:val="00860674"/>
    <w:rsid w:val="00885CE9"/>
    <w:rsid w:val="00891BA2"/>
    <w:rsid w:val="008C15D9"/>
    <w:rsid w:val="008C50D5"/>
    <w:rsid w:val="008D0747"/>
    <w:rsid w:val="008E13D1"/>
    <w:rsid w:val="008F442A"/>
    <w:rsid w:val="00910C0A"/>
    <w:rsid w:val="009112DC"/>
    <w:rsid w:val="00925DA1"/>
    <w:rsid w:val="00926AB5"/>
    <w:rsid w:val="00931E6B"/>
    <w:rsid w:val="009331F3"/>
    <w:rsid w:val="00982988"/>
    <w:rsid w:val="00983F5E"/>
    <w:rsid w:val="009911F2"/>
    <w:rsid w:val="00996159"/>
    <w:rsid w:val="009A77F9"/>
    <w:rsid w:val="009B52E7"/>
    <w:rsid w:val="009E14BB"/>
    <w:rsid w:val="009E53B8"/>
    <w:rsid w:val="009E7AF7"/>
    <w:rsid w:val="00A35122"/>
    <w:rsid w:val="00A671E8"/>
    <w:rsid w:val="00A83E54"/>
    <w:rsid w:val="00A84941"/>
    <w:rsid w:val="00A94002"/>
    <w:rsid w:val="00A97D23"/>
    <w:rsid w:val="00AA4753"/>
    <w:rsid w:val="00AB4B93"/>
    <w:rsid w:val="00AC4AD4"/>
    <w:rsid w:val="00AD064D"/>
    <w:rsid w:val="00AD40B8"/>
    <w:rsid w:val="00AD486E"/>
    <w:rsid w:val="00AD5848"/>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BC6474"/>
    <w:rsid w:val="00C107F2"/>
    <w:rsid w:val="00C11590"/>
    <w:rsid w:val="00C2074C"/>
    <w:rsid w:val="00C2143D"/>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C381D"/>
    <w:rsid w:val="00CD4B63"/>
    <w:rsid w:val="00CD7AA5"/>
    <w:rsid w:val="00CE06DC"/>
    <w:rsid w:val="00D11351"/>
    <w:rsid w:val="00D16C84"/>
    <w:rsid w:val="00D40B91"/>
    <w:rsid w:val="00D45B01"/>
    <w:rsid w:val="00D53020"/>
    <w:rsid w:val="00D6215B"/>
    <w:rsid w:val="00D77A4B"/>
    <w:rsid w:val="00D914F2"/>
    <w:rsid w:val="00DA0F82"/>
    <w:rsid w:val="00DA51E0"/>
    <w:rsid w:val="00DA76AD"/>
    <w:rsid w:val="00DB308E"/>
    <w:rsid w:val="00DB4061"/>
    <w:rsid w:val="00DB76B3"/>
    <w:rsid w:val="00DC6D73"/>
    <w:rsid w:val="00DD41FA"/>
    <w:rsid w:val="00DE296A"/>
    <w:rsid w:val="00DF3645"/>
    <w:rsid w:val="00E06294"/>
    <w:rsid w:val="00E10124"/>
    <w:rsid w:val="00E242E5"/>
    <w:rsid w:val="00E31442"/>
    <w:rsid w:val="00E3794C"/>
    <w:rsid w:val="00E52C94"/>
    <w:rsid w:val="00E575AE"/>
    <w:rsid w:val="00E87B30"/>
    <w:rsid w:val="00EA436A"/>
    <w:rsid w:val="00EA4667"/>
    <w:rsid w:val="00EA58C1"/>
    <w:rsid w:val="00EC2115"/>
    <w:rsid w:val="00EC231A"/>
    <w:rsid w:val="00EC7151"/>
    <w:rsid w:val="00ED754B"/>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E7070"/>
    <w:rsid w:val="0138B794"/>
    <w:rsid w:val="022FC777"/>
    <w:rsid w:val="02404F0F"/>
    <w:rsid w:val="0397427D"/>
    <w:rsid w:val="042E1A41"/>
    <w:rsid w:val="044F698C"/>
    <w:rsid w:val="061C6B1F"/>
    <w:rsid w:val="06CF49C0"/>
    <w:rsid w:val="0932A891"/>
    <w:rsid w:val="09C0D583"/>
    <w:rsid w:val="0A2F908D"/>
    <w:rsid w:val="0AA1EC8F"/>
    <w:rsid w:val="0BD9400F"/>
    <w:rsid w:val="0EF394BC"/>
    <w:rsid w:val="0F242EA0"/>
    <w:rsid w:val="12206066"/>
    <w:rsid w:val="12413FBE"/>
    <w:rsid w:val="12DD2A8F"/>
    <w:rsid w:val="14BDC866"/>
    <w:rsid w:val="1544E9DA"/>
    <w:rsid w:val="15EBF6D6"/>
    <w:rsid w:val="167541AB"/>
    <w:rsid w:val="17C3A500"/>
    <w:rsid w:val="1918C542"/>
    <w:rsid w:val="191E6D08"/>
    <w:rsid w:val="19A7C909"/>
    <w:rsid w:val="1A0B8E01"/>
    <w:rsid w:val="1B2D7057"/>
    <w:rsid w:val="1B8C9919"/>
    <w:rsid w:val="1BB3B88A"/>
    <w:rsid w:val="1D25BDD4"/>
    <w:rsid w:val="1D639E71"/>
    <w:rsid w:val="1FED1A00"/>
    <w:rsid w:val="221F945F"/>
    <w:rsid w:val="22951EEC"/>
    <w:rsid w:val="22BF7B42"/>
    <w:rsid w:val="24D01AD7"/>
    <w:rsid w:val="28F0B2A3"/>
    <w:rsid w:val="2A31D359"/>
    <w:rsid w:val="2A537C61"/>
    <w:rsid w:val="2AC2871D"/>
    <w:rsid w:val="2C43BF04"/>
    <w:rsid w:val="2DA52C4E"/>
    <w:rsid w:val="2DF5795D"/>
    <w:rsid w:val="2F3370B6"/>
    <w:rsid w:val="31E83FA2"/>
    <w:rsid w:val="31F43549"/>
    <w:rsid w:val="320D6227"/>
    <w:rsid w:val="324F95E1"/>
    <w:rsid w:val="34B1D11C"/>
    <w:rsid w:val="35493B5A"/>
    <w:rsid w:val="3B8B33FB"/>
    <w:rsid w:val="3DDFE608"/>
    <w:rsid w:val="3FD661F6"/>
    <w:rsid w:val="417E2099"/>
    <w:rsid w:val="4180A4AD"/>
    <w:rsid w:val="42E14E91"/>
    <w:rsid w:val="43E7C766"/>
    <w:rsid w:val="48068515"/>
    <w:rsid w:val="488CC977"/>
    <w:rsid w:val="4892F3BE"/>
    <w:rsid w:val="4DCE7EEE"/>
    <w:rsid w:val="509FDF42"/>
    <w:rsid w:val="5104482F"/>
    <w:rsid w:val="527CE1CE"/>
    <w:rsid w:val="542C00C3"/>
    <w:rsid w:val="54527535"/>
    <w:rsid w:val="556B38F9"/>
    <w:rsid w:val="5664897C"/>
    <w:rsid w:val="5AAD5164"/>
    <w:rsid w:val="5B4E89E2"/>
    <w:rsid w:val="5BE635B1"/>
    <w:rsid w:val="5C74CCA9"/>
    <w:rsid w:val="5ED4E45B"/>
    <w:rsid w:val="5F0FBFE7"/>
    <w:rsid w:val="5F45E744"/>
    <w:rsid w:val="60AD0DC9"/>
    <w:rsid w:val="6163AAFF"/>
    <w:rsid w:val="618138C1"/>
    <w:rsid w:val="62EC17EE"/>
    <w:rsid w:val="6329F8C6"/>
    <w:rsid w:val="6356600A"/>
    <w:rsid w:val="63F8812E"/>
    <w:rsid w:val="645B2EB9"/>
    <w:rsid w:val="651E92C9"/>
    <w:rsid w:val="65838811"/>
    <w:rsid w:val="661ADB94"/>
    <w:rsid w:val="6717C73F"/>
    <w:rsid w:val="69891EDC"/>
    <w:rsid w:val="6CCBB9BC"/>
    <w:rsid w:val="6D21DE65"/>
    <w:rsid w:val="6E0DEF08"/>
    <w:rsid w:val="6E954515"/>
    <w:rsid w:val="6FC5F940"/>
    <w:rsid w:val="727EC865"/>
    <w:rsid w:val="73A86B99"/>
    <w:rsid w:val="7439085B"/>
    <w:rsid w:val="75A0B966"/>
    <w:rsid w:val="7678CBAF"/>
    <w:rsid w:val="786760C6"/>
    <w:rsid w:val="7BEEF9E7"/>
    <w:rsid w:val="7C078191"/>
    <w:rsid w:val="7D3CB343"/>
    <w:rsid w:val="7E2AD5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normaltextrun">
    <w:name w:val="normaltextrun"/>
    <w:basedOn w:val="DefaultParagraphFont"/>
    <w:uiPriority w:val="1"/>
    <w:rsid w:val="14BDC866"/>
    <w:rPr>
      <w:rFonts w:asciiTheme="minorHAnsi" w:eastAsiaTheme="minorEastAsia" w:hAnsiTheme="minorHAnsi" w:cstheme="minorBidi"/>
      <w:sz w:val="22"/>
      <w:szCs w:val="22"/>
    </w:rPr>
  </w:style>
  <w:style w:type="character" w:customStyle="1" w:styleId="eop">
    <w:name w:val="eop"/>
    <w:basedOn w:val="DefaultParagraphFont"/>
    <w:uiPriority w:val="1"/>
    <w:rsid w:val="14BDC866"/>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Segoe UI,Times New Roma">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D7989"/>
    <w:rsid w:val="003136DF"/>
    <w:rsid w:val="003261FD"/>
    <w:rsid w:val="00327324"/>
    <w:rsid w:val="00387A41"/>
    <w:rsid w:val="0040753F"/>
    <w:rsid w:val="004140C9"/>
    <w:rsid w:val="00467E8C"/>
    <w:rsid w:val="00496BA0"/>
    <w:rsid w:val="00500DD2"/>
    <w:rsid w:val="00524839"/>
    <w:rsid w:val="00591655"/>
    <w:rsid w:val="00604B27"/>
    <w:rsid w:val="00672A4C"/>
    <w:rsid w:val="006D0E46"/>
    <w:rsid w:val="006F549F"/>
    <w:rsid w:val="0076681D"/>
    <w:rsid w:val="007C0D8F"/>
    <w:rsid w:val="007D313C"/>
    <w:rsid w:val="00926AB5"/>
    <w:rsid w:val="009E14BB"/>
    <w:rsid w:val="00AD486E"/>
    <w:rsid w:val="00AD5848"/>
    <w:rsid w:val="00B06ACB"/>
    <w:rsid w:val="00B904E5"/>
    <w:rsid w:val="00C3159D"/>
    <w:rsid w:val="00CB2F21"/>
    <w:rsid w:val="00CC048E"/>
    <w:rsid w:val="00CD4B63"/>
    <w:rsid w:val="00CE06DC"/>
    <w:rsid w:val="00D51109"/>
    <w:rsid w:val="00D914F2"/>
    <w:rsid w:val="00E10124"/>
    <w:rsid w:val="00E62F67"/>
    <w:rsid w:val="00E72344"/>
    <w:rsid w:val="00EA58C1"/>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C9283C6E21C64EAFCD1DB737BF5140" ma:contentTypeVersion="16" ma:contentTypeDescription="Create a new document." ma:contentTypeScope="" ma:versionID="38a1f8cf3e8ac6a708842263af9a2d98">
  <xsd:schema xmlns:xsd="http://www.w3.org/2001/XMLSchema" xmlns:xs="http://www.w3.org/2001/XMLSchema" xmlns:p="http://schemas.microsoft.com/office/2006/metadata/properties" xmlns:ns1="http://schemas.microsoft.com/sharepoint/v3" xmlns:ns2="f5c15d57-0850-43d1-8f71-eae3277e0e6b" xmlns:ns3="65460339-c1cb-475d-965e-7dcfd1b35c45" targetNamespace="http://schemas.microsoft.com/office/2006/metadata/properties" ma:root="true" ma:fieldsID="9c9e805cd34ffbf21d28f0aee4fe8020" ns1:_="" ns2:_="" ns3:_="">
    <xsd:import namespace="http://schemas.microsoft.com/sharepoint/v3"/>
    <xsd:import namespace="f5c15d57-0850-43d1-8f71-eae3277e0e6b"/>
    <xsd:import namespace="65460339-c1cb-475d-965e-7dcfd1b35c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c15d57-0850-43d1-8f71-eae3277e0e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460339-c1cb-475d-965e-7dcfd1b35c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fcb3c8-1e89-41f5-b7c0-0253c4610a09}" ma:internalName="TaxCatchAll" ma:showField="CatchAllData" ma:web="65460339-c1cb-475d-965e-7dcfd1b35c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5c15d57-0850-43d1-8f71-eae3277e0e6b">
      <Terms xmlns="http://schemas.microsoft.com/office/infopath/2007/PartnerControls"/>
    </lcf76f155ced4ddcb4097134ff3c332f>
    <TaxCatchAll xmlns="65460339-c1cb-475d-965e-7dcfd1b35c4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2F271-A3F7-4299-9FB0-C4489AE38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c15d57-0850-43d1-8f71-eae3277e0e6b"/>
    <ds:schemaRef ds:uri="65460339-c1cb-475d-965e-7dcfd1b35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f5c15d57-0850-43d1-8f71-eae3277e0e6b"/>
    <ds:schemaRef ds:uri="65460339-c1cb-475d-965e-7dcfd1b35c45"/>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1944</Words>
  <Characters>11087</Characters>
  <Application>Microsoft Office Word</Application>
  <DocSecurity>0</DocSecurity>
  <Lines>92</Lines>
  <Paragraphs>26</Paragraphs>
  <ScaleCrop>false</ScaleCrop>
  <Company>ABM LHB</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4</cp:revision>
  <dcterms:created xsi:type="dcterms:W3CDTF">2026-08-25T15:01:00Z</dcterms:created>
  <dcterms:modified xsi:type="dcterms:W3CDTF">2026-09-03T10:00:00Z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0x010100B6C9283C6E21C64EAFCD1DB737BF5140</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