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57C6792D"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57C6792D" w:rsidRDefault="005D3DF1" w14:paraId="6D2903DF" w14:textId="1508EDF3">
            <w:pPr>
              <w:rPr>
                <w:rFonts w:ascii="Verdana" w:hAnsi="Verdana" w:cs="Arial"/>
                <w:b w:val="1"/>
                <w:bCs w:val="1"/>
                <w:sz w:val="24"/>
                <w:szCs w:val="24"/>
              </w:rPr>
            </w:pPr>
            <w:r w:rsidRPr="57C6792D" w:rsidR="6BD17A50">
              <w:rPr>
                <w:rFonts w:ascii="Verdana" w:hAnsi="Verdana" w:cs="Arial"/>
                <w:b w:val="1"/>
                <w:bCs w:val="1"/>
                <w:sz w:val="24"/>
                <w:szCs w:val="24"/>
              </w:rPr>
              <w:t xml:space="preserve">22 </w:t>
            </w:r>
            <w:r w:rsidRPr="57C6792D" w:rsidR="005D3DF1">
              <w:rPr>
                <w:rFonts w:ascii="Verdana" w:hAnsi="Verdana" w:cs="Arial"/>
                <w:b w:val="1"/>
                <w:bCs w:val="1"/>
                <w:sz w:val="24"/>
                <w:szCs w:val="24"/>
              </w:rPr>
              <w:t>January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57C6792D" w:rsidRDefault="00F5082D" w14:paraId="6D2903E1" w14:textId="792403E4">
            <w:pPr>
              <w:rPr>
                <w:rFonts w:ascii="Verdana" w:hAnsi="Verdana" w:cs="Arial"/>
                <w:b w:val="1"/>
                <w:bCs w:val="1"/>
                <w:sz w:val="24"/>
                <w:szCs w:val="24"/>
              </w:rPr>
            </w:pPr>
            <w:r w:rsidRPr="57C6792D" w:rsidR="1152FBF8">
              <w:rPr>
                <w:rFonts w:ascii="Verdana" w:hAnsi="Verdana" w:cs="Arial"/>
                <w:b w:val="1"/>
                <w:bCs w:val="1"/>
                <w:sz w:val="24"/>
                <w:szCs w:val="24"/>
              </w:rPr>
              <w:t>3.2</w:t>
            </w:r>
          </w:p>
        </w:tc>
      </w:tr>
      <w:tr w:rsidRPr="00F8567E" w:rsidR="00033105" w:rsidTr="57C6792D" w14:paraId="1EEB45B2" w14:textId="77777777">
        <w:tc>
          <w:tcPr>
            <w:tcW w:w="2547" w:type="dxa"/>
            <w:tcMar/>
          </w:tcPr>
          <w:p w:rsidRPr="00F8567E" w:rsidR="00033105" w:rsidP="00033105" w:rsidRDefault="00033105"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033105" w:rsidP="00033105" w:rsidRDefault="00033105" w14:paraId="5687483E" w14:textId="63179FFD">
            <w:pPr>
              <w:rPr>
                <w:rFonts w:ascii="Verdana" w:hAnsi="Verdana" w:cs="Arial"/>
                <w:b/>
                <w:sz w:val="24"/>
                <w:szCs w:val="24"/>
                <w:highlight w:val="yellow"/>
              </w:rPr>
            </w:pPr>
            <w:r w:rsidRPr="00EF4AD4">
              <w:rPr>
                <w:rFonts w:ascii="Verdana" w:hAnsi="Verdana" w:cs="Arial"/>
                <w:b/>
                <w:sz w:val="24"/>
                <w:szCs w:val="24"/>
              </w:rPr>
              <w:t>Data, Digital, Research and Innovation Committee</w:t>
            </w:r>
          </w:p>
        </w:tc>
      </w:tr>
      <w:tr w:rsidRPr="00F8567E" w:rsidR="00033105" w:rsidTr="57C6792D" w14:paraId="6D2903E5" w14:textId="77777777">
        <w:tc>
          <w:tcPr>
            <w:tcW w:w="2547" w:type="dxa"/>
            <w:tcMar/>
          </w:tcPr>
          <w:p w:rsidRPr="00F8567E" w:rsidR="00033105" w:rsidP="00033105" w:rsidRDefault="00033105"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3105" w:rsidP="00033105" w:rsidRDefault="00D71034" w14:paraId="6D2903E4" w14:textId="28BBE81A">
            <w:pPr>
              <w:rPr>
                <w:rFonts w:ascii="Verdana" w:hAnsi="Verdana" w:cs="Arial"/>
                <w:b/>
                <w:sz w:val="24"/>
                <w:szCs w:val="24"/>
              </w:rPr>
            </w:pPr>
            <w:r>
              <w:rPr>
                <w:rFonts w:ascii="Verdana" w:hAnsi="Verdana" w:cs="Arial"/>
                <w:b/>
                <w:sz w:val="24"/>
                <w:szCs w:val="24"/>
              </w:rPr>
              <w:t xml:space="preserve">SBU Response to </w:t>
            </w:r>
            <w:r w:rsidR="000D1CB7">
              <w:rPr>
                <w:rFonts w:ascii="Verdana" w:hAnsi="Verdana" w:cs="Arial"/>
                <w:b/>
                <w:sz w:val="24"/>
                <w:szCs w:val="24"/>
              </w:rPr>
              <w:t xml:space="preserve">Exploring </w:t>
            </w:r>
            <w:r>
              <w:rPr>
                <w:rFonts w:ascii="Verdana" w:hAnsi="Verdana" w:cs="Arial"/>
                <w:b/>
                <w:sz w:val="24"/>
                <w:szCs w:val="24"/>
              </w:rPr>
              <w:t>Digital Ageism</w:t>
            </w:r>
            <w:r w:rsidR="000D1CB7">
              <w:rPr>
                <w:rFonts w:ascii="Verdana" w:hAnsi="Verdana" w:cs="Arial"/>
                <w:b/>
                <w:sz w:val="24"/>
                <w:szCs w:val="24"/>
              </w:rPr>
              <w:t xml:space="preserve"> Report</w:t>
            </w:r>
            <w:r>
              <w:rPr>
                <w:rFonts w:ascii="Verdana" w:hAnsi="Verdana" w:cs="Arial"/>
                <w:b/>
                <w:sz w:val="24"/>
                <w:szCs w:val="24"/>
              </w:rPr>
              <w:t xml:space="preserve"> </w:t>
            </w:r>
          </w:p>
        </w:tc>
      </w:tr>
      <w:tr w:rsidRPr="00F8567E" w:rsidR="00033105" w:rsidTr="57C6792D" w14:paraId="6D2903E8" w14:textId="77777777">
        <w:tc>
          <w:tcPr>
            <w:tcW w:w="2547" w:type="dxa"/>
            <w:tcMar/>
          </w:tcPr>
          <w:p w:rsidRPr="00F8567E" w:rsidR="00033105" w:rsidP="00033105" w:rsidRDefault="00033105"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3105" w:rsidP="00033105" w:rsidRDefault="000D1CB7" w14:paraId="6D2903E7" w14:textId="5151C9B4">
            <w:pPr>
              <w:rPr>
                <w:rFonts w:ascii="Verdana" w:hAnsi="Verdana" w:cs="Arial"/>
                <w:sz w:val="24"/>
                <w:szCs w:val="24"/>
              </w:rPr>
            </w:pPr>
            <w:r>
              <w:rPr>
                <w:rFonts w:ascii="Verdana" w:hAnsi="Verdana" w:cs="Arial"/>
                <w:sz w:val="24"/>
                <w:szCs w:val="24"/>
              </w:rPr>
              <w:t>Matthew John, Director of Digital</w:t>
            </w:r>
          </w:p>
        </w:tc>
      </w:tr>
      <w:tr w:rsidRPr="00F8567E" w:rsidR="00033105" w:rsidTr="57C6792D" w14:paraId="6D2903EB" w14:textId="77777777">
        <w:tc>
          <w:tcPr>
            <w:tcW w:w="2547" w:type="dxa"/>
            <w:tcMar/>
          </w:tcPr>
          <w:p w:rsidRPr="00F8567E" w:rsidR="00033105" w:rsidP="00033105" w:rsidRDefault="00033105"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033105" w:rsidP="00033105" w:rsidRDefault="000D1CB7" w14:paraId="6D2903EA" w14:textId="1EBD50E1">
            <w:pPr>
              <w:rPr>
                <w:rFonts w:ascii="Verdana" w:hAnsi="Verdana" w:cs="Arial"/>
                <w:sz w:val="24"/>
                <w:szCs w:val="24"/>
              </w:rPr>
            </w:pPr>
            <w:r>
              <w:rPr>
                <w:rFonts w:ascii="Verdana" w:hAnsi="Verdana" w:cs="Arial"/>
                <w:sz w:val="24"/>
                <w:szCs w:val="24"/>
              </w:rPr>
              <w:t>Matthew John</w:t>
            </w:r>
          </w:p>
        </w:tc>
      </w:tr>
      <w:tr w:rsidRPr="00F8567E" w:rsidR="00033105" w:rsidTr="57C6792D" w14:paraId="6D2903EE" w14:textId="77777777">
        <w:tc>
          <w:tcPr>
            <w:tcW w:w="2547" w:type="dxa"/>
            <w:tcMar/>
          </w:tcPr>
          <w:p w:rsidRPr="00F8567E" w:rsidR="00033105" w:rsidP="00033105" w:rsidRDefault="00033105"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033105" w:rsidP="00033105" w:rsidRDefault="000D1CB7" w14:paraId="6D2903ED" w14:textId="254E876A">
            <w:pPr>
              <w:rPr>
                <w:rFonts w:ascii="Verdana" w:hAnsi="Verdana" w:cs="Arial"/>
                <w:sz w:val="24"/>
                <w:szCs w:val="24"/>
              </w:rPr>
            </w:pPr>
            <w:r>
              <w:rPr>
                <w:rFonts w:ascii="Verdana" w:hAnsi="Verdana" w:cs="Arial"/>
                <w:sz w:val="24"/>
                <w:szCs w:val="24"/>
              </w:rPr>
              <w:t>Matthew John</w:t>
            </w:r>
          </w:p>
        </w:tc>
      </w:tr>
      <w:tr w:rsidRPr="00F8567E" w:rsidR="00033105" w:rsidTr="57C6792D" w14:paraId="6D2903F1" w14:textId="77777777">
        <w:tc>
          <w:tcPr>
            <w:tcW w:w="2547" w:type="dxa"/>
            <w:tcMar/>
          </w:tcPr>
          <w:p w:rsidRPr="00F8567E" w:rsidR="00033105" w:rsidP="00033105" w:rsidRDefault="00033105"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033105" w:rsidP="00033105" w:rsidRDefault="001C3ADB" w14:paraId="6D2903F0" w14:textId="1DBA473A">
            <w:pPr>
              <w:rPr>
                <w:rFonts w:ascii="Verdana" w:hAnsi="Verdana" w:cs="Arial"/>
                <w:sz w:val="24"/>
                <w:szCs w:val="24"/>
              </w:rPr>
            </w:pPr>
            <w:r w:rsidRPr="001C3ADB">
              <w:rPr>
                <w:rFonts w:ascii="Verdana" w:hAnsi="Verdana" w:cs="Arial"/>
                <w:sz w:val="24"/>
                <w:szCs w:val="24"/>
              </w:rPr>
              <w:t>Open</w:t>
            </w:r>
            <w:r w:rsidRPr="00F8567E" w:rsidR="00033105">
              <w:rPr>
                <w:rFonts w:ascii="Verdana" w:hAnsi="Verdana" w:cs="Arial"/>
                <w:color w:val="FF0000"/>
                <w:sz w:val="24"/>
                <w:szCs w:val="24"/>
              </w:rPr>
              <w:t xml:space="preserve"> </w:t>
            </w:r>
          </w:p>
        </w:tc>
      </w:tr>
      <w:tr w:rsidRPr="00F8567E" w:rsidR="00033105" w:rsidTr="57C6792D" w14:paraId="6D2903F8" w14:textId="77777777">
        <w:tc>
          <w:tcPr>
            <w:tcW w:w="2547" w:type="dxa"/>
            <w:tcMar/>
          </w:tcPr>
          <w:p w:rsidRPr="00F8567E" w:rsidR="00033105" w:rsidP="00033105" w:rsidRDefault="00033105"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D11DE9" w:rsidR="00033105" w:rsidP="00D11DE9" w:rsidRDefault="00D11DE9" w14:paraId="6D2903F6" w14:textId="6B926C03">
            <w:pPr>
              <w:spacing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 xml:space="preserve">The purpose of this paper is to provide assurance to the Digital, Data, Research and Innovation (DDRI) Committee that Swansea Bay University Health Board (SBUHB) is acting on the findings and recommendations associated with the </w:t>
            </w:r>
            <w:r>
              <w:rPr>
                <w:rFonts w:ascii="Verdana" w:hAnsi="Verdana" w:eastAsia="Times New Roman" w:cs="Segoe UI"/>
                <w:sz w:val="24"/>
                <w:szCs w:val="24"/>
                <w:lang w:eastAsia="en-GB"/>
              </w:rPr>
              <w:t>“</w:t>
            </w:r>
            <w:r w:rsidRPr="00537B35">
              <w:rPr>
                <w:rFonts w:ascii="Verdana" w:hAnsi="Verdana" w:eastAsia="Times New Roman" w:cs="Segoe UI"/>
                <w:i/>
                <w:iCs/>
                <w:sz w:val="24"/>
                <w:szCs w:val="24"/>
                <w:lang w:eastAsia="en-GB"/>
              </w:rPr>
              <w:t>Exploring Digital Ageism</w:t>
            </w:r>
            <w:r>
              <w:rPr>
                <w:rFonts w:ascii="Verdana" w:hAnsi="Verdana" w:eastAsia="Times New Roman" w:cs="Segoe UI"/>
                <w:i/>
                <w:iCs/>
                <w:sz w:val="24"/>
                <w:szCs w:val="24"/>
                <w:lang w:eastAsia="en-GB"/>
              </w:rPr>
              <w:t>”</w:t>
            </w:r>
            <w:r w:rsidRPr="00537B35">
              <w:rPr>
                <w:rFonts w:ascii="Verdana" w:hAnsi="Verdana" w:eastAsia="Times New Roman" w:cs="Segoe UI"/>
                <w:sz w:val="24"/>
                <w:szCs w:val="24"/>
                <w:lang w:eastAsia="en-GB"/>
              </w:rPr>
              <w:t xml:space="preserve">. The paper outlines the actions already taken by the Health Board, explores alignment with national expectations on digital inclusion and equity, and identifies areas in which further improvement is required. </w:t>
            </w:r>
          </w:p>
          <w:p w:rsidRPr="00F8567E" w:rsidR="00033105" w:rsidP="00033105" w:rsidRDefault="00033105" w14:paraId="6D2903F7" w14:textId="77777777">
            <w:pPr>
              <w:rPr>
                <w:rFonts w:ascii="Verdana" w:hAnsi="Verdana" w:cs="Arial"/>
                <w:sz w:val="24"/>
                <w:szCs w:val="24"/>
              </w:rPr>
            </w:pPr>
          </w:p>
        </w:tc>
      </w:tr>
      <w:tr w:rsidRPr="00F8567E" w:rsidR="00033105" w:rsidTr="57C6792D" w14:paraId="6D290402" w14:textId="77777777">
        <w:tc>
          <w:tcPr>
            <w:tcW w:w="2547" w:type="dxa"/>
            <w:tcMar/>
          </w:tcPr>
          <w:p w:rsidRPr="00F8567E" w:rsidR="00033105" w:rsidP="00033105" w:rsidRDefault="00033105"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033105" w:rsidP="00033105" w:rsidRDefault="00033105" w14:paraId="6D2903FA" w14:textId="77777777">
            <w:pPr>
              <w:rPr>
                <w:rFonts w:ascii="Verdana" w:hAnsi="Verdana" w:cs="Arial"/>
                <w:b/>
                <w:sz w:val="24"/>
                <w:szCs w:val="24"/>
              </w:rPr>
            </w:pPr>
          </w:p>
          <w:p w:rsidRPr="00F8567E" w:rsidR="00033105" w:rsidP="00033105" w:rsidRDefault="00033105" w14:paraId="6D2903FB" w14:textId="77777777">
            <w:pPr>
              <w:rPr>
                <w:rFonts w:ascii="Verdana" w:hAnsi="Verdana" w:cs="Arial"/>
                <w:b/>
                <w:sz w:val="24"/>
                <w:szCs w:val="24"/>
              </w:rPr>
            </w:pPr>
          </w:p>
          <w:p w:rsidRPr="00F8567E" w:rsidR="00033105" w:rsidP="00033105" w:rsidRDefault="00033105" w14:paraId="6D2903FC" w14:textId="77777777">
            <w:pPr>
              <w:rPr>
                <w:rFonts w:ascii="Verdana" w:hAnsi="Verdana" w:cs="Arial"/>
                <w:b/>
                <w:sz w:val="24"/>
                <w:szCs w:val="24"/>
              </w:rPr>
            </w:pPr>
          </w:p>
        </w:tc>
        <w:tc>
          <w:tcPr>
            <w:tcW w:w="6469" w:type="dxa"/>
            <w:gridSpan w:val="6"/>
            <w:tcMar/>
          </w:tcPr>
          <w:p w:rsidR="00A16562" w:rsidP="00B450B0" w:rsidRDefault="007974F1" w14:paraId="5DC40BA6" w14:textId="199A8983">
            <w:pPr>
              <w:pStyle w:val="ListParagraph"/>
              <w:numPr>
                <w:ilvl w:val="0"/>
                <w:numId w:val="15"/>
              </w:numPr>
              <w:ind w:right="96"/>
              <w:rPr>
                <w:rFonts w:ascii="Verdana" w:hAnsi="Verdana" w:cs="Arial"/>
                <w:sz w:val="24"/>
                <w:szCs w:val="24"/>
              </w:rPr>
            </w:pPr>
            <w:r w:rsidRPr="57C6792D" w:rsidR="007974F1">
              <w:rPr>
                <w:rFonts w:ascii="Verdana" w:hAnsi="Verdana" w:cs="Arial"/>
                <w:sz w:val="24"/>
                <w:szCs w:val="24"/>
              </w:rPr>
              <w:t>S</w:t>
            </w:r>
            <w:r w:rsidRPr="57C6792D" w:rsidR="23AC4568">
              <w:rPr>
                <w:rFonts w:ascii="Verdana" w:hAnsi="Verdana" w:cs="Arial"/>
                <w:sz w:val="24"/>
                <w:szCs w:val="24"/>
              </w:rPr>
              <w:t>B</w:t>
            </w:r>
            <w:r w:rsidRPr="57C6792D" w:rsidR="007974F1">
              <w:rPr>
                <w:rFonts w:ascii="Verdana" w:hAnsi="Verdana" w:cs="Arial"/>
                <w:sz w:val="24"/>
                <w:szCs w:val="24"/>
              </w:rPr>
              <w:t xml:space="preserve">UHB is actively responding to the findings of the </w:t>
            </w:r>
            <w:r w:rsidRPr="57C6792D" w:rsidR="007974F1">
              <w:rPr>
                <w:rFonts w:ascii="Verdana" w:hAnsi="Verdana" w:cs="Arial"/>
                <w:i w:val="1"/>
                <w:iCs w:val="1"/>
                <w:sz w:val="24"/>
                <w:szCs w:val="24"/>
              </w:rPr>
              <w:t>Exploring Digital Ageism</w:t>
            </w:r>
            <w:r w:rsidRPr="57C6792D" w:rsidR="007974F1">
              <w:rPr>
                <w:rFonts w:ascii="Verdana" w:hAnsi="Verdana" w:cs="Arial"/>
                <w:sz w:val="24"/>
                <w:szCs w:val="24"/>
              </w:rPr>
              <w:t xml:space="preserve"> report by embedding digital inclusion as a core principle of its Digital Strategy and ensuring multiple non</w:t>
            </w:r>
            <w:r w:rsidRPr="57C6792D" w:rsidR="007974F1">
              <w:rPr>
                <w:rFonts w:ascii="Verdana" w:hAnsi="Verdana" w:cs="Arial"/>
                <w:sz w:val="24"/>
                <w:szCs w:val="24"/>
              </w:rPr>
              <w:t xml:space="preserve">digital access routes </w:t>
            </w:r>
            <w:r w:rsidRPr="57C6792D" w:rsidR="007974F1">
              <w:rPr>
                <w:rFonts w:ascii="Verdana" w:hAnsi="Verdana" w:cs="Arial"/>
                <w:sz w:val="24"/>
                <w:szCs w:val="24"/>
              </w:rPr>
              <w:t>remain</w:t>
            </w:r>
            <w:r w:rsidRPr="57C6792D" w:rsidR="007974F1">
              <w:rPr>
                <w:rFonts w:ascii="Verdana" w:hAnsi="Verdana" w:cs="Arial"/>
                <w:sz w:val="24"/>
                <w:szCs w:val="24"/>
              </w:rPr>
              <w:t xml:space="preserve"> in place. </w:t>
            </w:r>
          </w:p>
          <w:p w:rsidR="00A16562" w:rsidP="007A3EDE" w:rsidRDefault="007974F1" w14:paraId="371AEFBE" w14:textId="77777777">
            <w:pPr>
              <w:pStyle w:val="ListParagraph"/>
              <w:numPr>
                <w:ilvl w:val="0"/>
                <w:numId w:val="15"/>
              </w:numPr>
              <w:ind w:right="96"/>
              <w:rPr>
                <w:rFonts w:ascii="Verdana" w:hAnsi="Verdana" w:cs="Arial"/>
                <w:sz w:val="24"/>
                <w:szCs w:val="24"/>
              </w:rPr>
            </w:pPr>
            <w:r w:rsidRPr="007974F1">
              <w:rPr>
                <w:rFonts w:ascii="Verdana" w:hAnsi="Verdana" w:cs="Arial"/>
                <w:sz w:val="24"/>
                <w:szCs w:val="24"/>
              </w:rPr>
              <w:t>The Health Board has already implemented actions aligned to national recommendations, including hybrid communication methods, regional inclusion initiatives, and improved accessible design guidance—though application remains inconsistent.</w:t>
            </w:r>
          </w:p>
          <w:p w:rsidR="00CB23DE" w:rsidP="0008438F" w:rsidRDefault="007974F1" w14:paraId="1ED527B7" w14:textId="77777777">
            <w:pPr>
              <w:pStyle w:val="ListParagraph"/>
              <w:numPr>
                <w:ilvl w:val="0"/>
                <w:numId w:val="15"/>
              </w:numPr>
              <w:ind w:right="96"/>
              <w:rPr>
                <w:rFonts w:ascii="Verdana" w:hAnsi="Verdana" w:cs="Arial"/>
                <w:sz w:val="24"/>
                <w:szCs w:val="24"/>
              </w:rPr>
            </w:pPr>
            <w:r w:rsidRPr="007974F1">
              <w:rPr>
                <w:rFonts w:ascii="Verdana" w:hAnsi="Verdana" w:cs="Arial"/>
                <w:sz w:val="24"/>
                <w:szCs w:val="24"/>
              </w:rPr>
              <w:t>Key risks remain around increasing digital</w:t>
            </w:r>
            <w:r w:rsidRPr="007974F1">
              <w:rPr>
                <w:rFonts w:ascii="Verdana" w:hAnsi="Verdana" w:cs="Arial"/>
                <w:sz w:val="24"/>
                <w:szCs w:val="24"/>
              </w:rPr>
              <w:noBreakHyphen/>
              <w:t>by</w:t>
            </w:r>
            <w:r w:rsidRPr="007974F1">
              <w:rPr>
                <w:rFonts w:ascii="Verdana" w:hAnsi="Verdana" w:cs="Arial"/>
                <w:sz w:val="24"/>
                <w:szCs w:val="24"/>
              </w:rPr>
              <w:noBreakHyphen/>
              <w:t xml:space="preserve">default service models, inconsistent accessibility standards across digital systems, and limited data on digital exclusion among older adults. </w:t>
            </w:r>
          </w:p>
          <w:p w:rsidR="00CB23DE" w:rsidP="00F64CDA" w:rsidRDefault="007974F1" w14:paraId="23B08018" w14:textId="77777777">
            <w:pPr>
              <w:pStyle w:val="ListParagraph"/>
              <w:numPr>
                <w:ilvl w:val="0"/>
                <w:numId w:val="15"/>
              </w:numPr>
              <w:ind w:right="96"/>
              <w:rPr>
                <w:rFonts w:ascii="Verdana" w:hAnsi="Verdana" w:cs="Arial"/>
                <w:sz w:val="24"/>
                <w:szCs w:val="24"/>
              </w:rPr>
            </w:pPr>
            <w:r w:rsidRPr="007974F1">
              <w:rPr>
                <w:rFonts w:ascii="Verdana" w:hAnsi="Verdana" w:cs="Arial"/>
                <w:sz w:val="24"/>
                <w:szCs w:val="24"/>
              </w:rPr>
              <w:t>Current assurance is reasonable in relation to maintaining access options and engaging users, but limited regarding systematic accessibility compliance and age</w:t>
            </w:r>
            <w:r w:rsidRPr="007974F1">
              <w:rPr>
                <w:rFonts w:ascii="Verdana" w:hAnsi="Verdana" w:cs="Arial"/>
                <w:sz w:val="24"/>
                <w:szCs w:val="24"/>
              </w:rPr>
              <w:noBreakHyphen/>
              <w:t>specific monitoring of digital exclusion.</w:t>
            </w:r>
          </w:p>
          <w:p w:rsidR="00CB23DE" w:rsidP="00DC4AAB" w:rsidRDefault="007974F1" w14:paraId="33349750" w14:textId="77777777">
            <w:pPr>
              <w:pStyle w:val="ListParagraph"/>
              <w:numPr>
                <w:ilvl w:val="0"/>
                <w:numId w:val="15"/>
              </w:numPr>
              <w:ind w:right="96"/>
              <w:rPr>
                <w:rFonts w:ascii="Verdana" w:hAnsi="Verdana" w:cs="Arial"/>
                <w:sz w:val="24"/>
                <w:szCs w:val="24"/>
              </w:rPr>
            </w:pPr>
            <w:r w:rsidRPr="007974F1">
              <w:rPr>
                <w:rFonts w:ascii="Verdana" w:hAnsi="Verdana" w:cs="Arial"/>
                <w:sz w:val="24"/>
                <w:szCs w:val="24"/>
              </w:rPr>
              <w:t xml:space="preserve">No direct financial implications arise from this paper, but the findings highlight the need for </w:t>
            </w:r>
            <w:r w:rsidRPr="007974F1">
              <w:rPr>
                <w:rFonts w:ascii="Verdana" w:hAnsi="Verdana" w:cs="Arial"/>
                <w:sz w:val="24"/>
                <w:szCs w:val="24"/>
              </w:rPr>
              <w:lastRenderedPageBreak/>
              <w:t>ongoing resource consideration to support non</w:t>
            </w:r>
            <w:r w:rsidRPr="007974F1">
              <w:rPr>
                <w:rFonts w:ascii="Verdana" w:hAnsi="Verdana" w:cs="Arial"/>
                <w:sz w:val="24"/>
                <w:szCs w:val="24"/>
              </w:rPr>
              <w:noBreakHyphen/>
              <w:t>digital pathways and inclusion</w:t>
            </w:r>
            <w:r w:rsidRPr="007974F1">
              <w:rPr>
                <w:rFonts w:ascii="Verdana" w:hAnsi="Verdana" w:cs="Arial"/>
                <w:sz w:val="24"/>
                <w:szCs w:val="24"/>
              </w:rPr>
              <w:noBreakHyphen/>
              <w:t>focused improvements</w:t>
            </w:r>
            <w:r w:rsidR="00CB23DE">
              <w:rPr>
                <w:rFonts w:ascii="Verdana" w:hAnsi="Verdana" w:cs="Arial"/>
                <w:sz w:val="24"/>
                <w:szCs w:val="24"/>
              </w:rPr>
              <w:t>.</w:t>
            </w:r>
          </w:p>
          <w:p w:rsidRPr="007974F1" w:rsidR="00033105" w:rsidP="00CB23DE" w:rsidRDefault="00033105" w14:paraId="6D290401" w14:textId="77777777">
            <w:pPr>
              <w:rPr>
                <w:rFonts w:ascii="Verdana" w:hAnsi="Verdana" w:cs="Arial"/>
                <w:sz w:val="24"/>
                <w:szCs w:val="24"/>
              </w:rPr>
            </w:pPr>
          </w:p>
        </w:tc>
      </w:tr>
      <w:tr w:rsidRPr="00F8567E" w:rsidR="00033105" w:rsidTr="57C6792D" w14:paraId="6D290409" w14:textId="77777777">
        <w:trPr>
          <w:trHeight w:val="97"/>
        </w:trPr>
        <w:tc>
          <w:tcPr>
            <w:tcW w:w="2547" w:type="dxa"/>
            <w:vMerge w:val="restart"/>
            <w:tcMar/>
          </w:tcPr>
          <w:p w:rsidRPr="00F8567E" w:rsidR="00033105" w:rsidP="00033105" w:rsidRDefault="00033105"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033105" w:rsidP="00033105" w:rsidRDefault="00033105"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033105" w:rsidP="00033105" w:rsidRDefault="00033105"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033105" w:rsidP="00033105" w:rsidRDefault="00033105"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033105" w:rsidP="00033105" w:rsidRDefault="00033105"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033105" w:rsidP="00033105" w:rsidRDefault="00033105"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033105" w:rsidTr="57C6792D" w14:paraId="6D29040F" w14:textId="77777777">
        <w:trPr>
          <w:trHeight w:val="96"/>
        </w:trPr>
        <w:tc>
          <w:tcPr>
            <w:tcW w:w="2547" w:type="dxa"/>
            <w:vMerge/>
            <w:tcMar/>
          </w:tcPr>
          <w:p w:rsidRPr="00F8567E" w:rsidR="00033105" w:rsidP="00033105" w:rsidRDefault="00033105"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033105" w:rsidP="00033105" w:rsidRDefault="00033105"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033105" w:rsidP="00033105" w:rsidRDefault="00033105"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033105" w:rsidP="00033105" w:rsidRDefault="00FB279D" w14:paraId="6D29040D" w14:textId="5FE8A336">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033105" w:rsidP="00033105" w:rsidRDefault="00033105"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033105" w:rsidTr="57C6792D" w14:paraId="6D290418" w14:textId="77777777">
        <w:tc>
          <w:tcPr>
            <w:tcW w:w="2547" w:type="dxa"/>
            <w:tcMar/>
          </w:tcPr>
          <w:p w:rsidRPr="00F8567E" w:rsidR="00033105" w:rsidP="00033105" w:rsidRDefault="00033105"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033105" w:rsidP="00033105" w:rsidRDefault="00033105" w14:paraId="6D290411" w14:textId="77777777">
            <w:pPr>
              <w:rPr>
                <w:rFonts w:ascii="Verdana" w:hAnsi="Verdana" w:cs="Arial"/>
                <w:b/>
                <w:sz w:val="24"/>
                <w:szCs w:val="24"/>
              </w:rPr>
            </w:pPr>
          </w:p>
        </w:tc>
        <w:tc>
          <w:tcPr>
            <w:tcW w:w="6469" w:type="dxa"/>
            <w:gridSpan w:val="6"/>
            <w:tcMar/>
          </w:tcPr>
          <w:p w:rsidRPr="000C2B31" w:rsidR="0020592A" w:rsidP="0020592A" w:rsidRDefault="0020592A" w14:paraId="195FBD2B" w14:textId="047875CC">
            <w:pPr>
              <w:spacing w:line="300" w:lineRule="atLeast"/>
              <w:rPr>
                <w:rFonts w:ascii="Verdana" w:hAnsi="Verdana" w:eastAsia="Times New Roman" w:cs="Segoe UI"/>
                <w:b/>
                <w:bCs/>
                <w:sz w:val="24"/>
                <w:szCs w:val="24"/>
                <w:lang w:eastAsia="en-GB"/>
              </w:rPr>
            </w:pPr>
            <w:r>
              <w:rPr>
                <w:rFonts w:ascii="Verdana" w:hAnsi="Verdana" w:eastAsia="Times New Roman" w:cs="Segoe UI"/>
                <w:b/>
                <w:bCs/>
                <w:sz w:val="24"/>
                <w:szCs w:val="24"/>
                <w:lang w:eastAsia="en-GB"/>
              </w:rPr>
              <w:t xml:space="preserve">Members are asked </w:t>
            </w:r>
            <w:r w:rsidRPr="000C2B31">
              <w:rPr>
                <w:rFonts w:ascii="Verdana" w:hAnsi="Verdana" w:eastAsia="Times New Roman" w:cs="Segoe UI"/>
                <w:b/>
                <w:bCs/>
                <w:sz w:val="24"/>
                <w:szCs w:val="24"/>
                <w:lang w:eastAsia="en-GB"/>
              </w:rPr>
              <w:t>to:</w:t>
            </w:r>
          </w:p>
          <w:p w:rsidR="0020592A" w:rsidP="0020592A" w:rsidRDefault="0020592A" w14:paraId="08E8E88D" w14:textId="77777777">
            <w:pPr>
              <w:spacing w:line="300" w:lineRule="atLeast"/>
              <w:rPr>
                <w:rFonts w:ascii="Verdana" w:hAnsi="Verdana" w:eastAsia="Times New Roman" w:cs="Segoe UI"/>
                <w:sz w:val="24"/>
                <w:szCs w:val="24"/>
                <w:lang w:eastAsia="en-GB"/>
              </w:rPr>
            </w:pPr>
          </w:p>
          <w:p w:rsidR="0020592A" w:rsidP="0020592A" w:rsidRDefault="0020592A" w14:paraId="6A2E1919" w14:textId="668B50A6">
            <w:pPr>
              <w:pStyle w:val="ListParagraph"/>
              <w:numPr>
                <w:ilvl w:val="0"/>
                <w:numId w:val="14"/>
              </w:numPr>
              <w:spacing w:line="300" w:lineRule="atLeast"/>
              <w:rPr>
                <w:rFonts w:ascii="Verdana" w:hAnsi="Verdana" w:eastAsia="Times New Roman" w:cs="Segoe UI"/>
                <w:sz w:val="24"/>
                <w:szCs w:val="24"/>
                <w:lang w:eastAsia="en-GB"/>
              </w:rPr>
            </w:pPr>
            <w:r w:rsidRPr="57C6792D" w:rsidR="7C8F3BC7">
              <w:rPr>
                <w:rFonts w:ascii="Verdana" w:hAnsi="Verdana" w:eastAsia="Times New Roman" w:cs="Segoe UI"/>
                <w:sz w:val="24"/>
                <w:szCs w:val="24"/>
                <w:lang w:eastAsia="en-GB"/>
              </w:rPr>
              <w:t>E</w:t>
            </w:r>
            <w:r w:rsidRPr="57C6792D" w:rsidR="0020592A">
              <w:rPr>
                <w:rFonts w:ascii="Verdana" w:hAnsi="Verdana" w:eastAsia="Times New Roman" w:cs="Segoe UI"/>
                <w:sz w:val="24"/>
                <w:szCs w:val="24"/>
                <w:lang w:eastAsia="en-GB"/>
              </w:rPr>
              <w:t>ndorse the content of this assurance paper</w:t>
            </w:r>
          </w:p>
          <w:p w:rsidRPr="000C2B31" w:rsidR="0020592A" w:rsidP="0020592A" w:rsidRDefault="0020592A" w14:paraId="0585D6E9" w14:textId="13ED7EB0">
            <w:pPr>
              <w:pStyle w:val="ListParagraph"/>
              <w:numPr>
                <w:ilvl w:val="0"/>
                <w:numId w:val="14"/>
              </w:numPr>
              <w:spacing w:line="300" w:lineRule="atLeast"/>
              <w:rPr>
                <w:rFonts w:ascii="Verdana" w:hAnsi="Verdana" w:eastAsia="Times New Roman" w:cs="Segoe UI"/>
                <w:sz w:val="24"/>
                <w:szCs w:val="24"/>
                <w:lang w:eastAsia="en-GB"/>
              </w:rPr>
            </w:pPr>
            <w:r w:rsidRPr="57C6792D" w:rsidR="2E91A52F">
              <w:rPr>
                <w:rFonts w:ascii="Verdana" w:hAnsi="Verdana" w:eastAsia="Times New Roman" w:cs="Segoe UI"/>
                <w:sz w:val="24"/>
                <w:szCs w:val="24"/>
                <w:lang w:eastAsia="en-GB"/>
              </w:rPr>
              <w:t>E</w:t>
            </w:r>
            <w:r w:rsidRPr="57C6792D" w:rsidR="0020592A">
              <w:rPr>
                <w:rFonts w:ascii="Verdana" w:hAnsi="Verdana" w:eastAsia="Times New Roman" w:cs="Segoe UI"/>
                <w:sz w:val="24"/>
                <w:szCs w:val="24"/>
                <w:lang w:eastAsia="en-GB"/>
              </w:rPr>
              <w:t xml:space="preserve">ndorse the recommendations for action and request a </w:t>
            </w:r>
            <w:r w:rsidRPr="57C6792D" w:rsidR="0020592A">
              <w:rPr>
                <w:rFonts w:ascii="Verdana" w:hAnsi="Verdana" w:eastAsia="Times New Roman" w:cs="Segoe UI"/>
                <w:sz w:val="24"/>
                <w:szCs w:val="24"/>
                <w:lang w:eastAsia="en-GB"/>
              </w:rPr>
              <w:t>follow</w:t>
            </w:r>
            <w:r w:rsidRPr="57C6792D" w:rsidR="0020592A">
              <w:rPr>
                <w:rFonts w:ascii="Verdana" w:hAnsi="Verdana" w:eastAsia="Times New Roman" w:cs="Segoe UI"/>
                <w:sz w:val="24"/>
                <w:szCs w:val="24"/>
                <w:lang w:eastAsia="en-GB"/>
              </w:rPr>
              <w:t>up</w:t>
            </w:r>
            <w:r w:rsidRPr="57C6792D" w:rsidR="0020592A">
              <w:rPr>
                <w:rFonts w:ascii="Verdana" w:hAnsi="Verdana" w:eastAsia="Times New Roman" w:cs="Segoe UI"/>
                <w:sz w:val="24"/>
                <w:szCs w:val="24"/>
                <w:lang w:eastAsia="en-GB"/>
              </w:rPr>
              <w:t xml:space="preserve"> paper within </w:t>
            </w:r>
            <w:r w:rsidRPr="57C6792D" w:rsidR="000C320C">
              <w:rPr>
                <w:rFonts w:ascii="Verdana" w:hAnsi="Verdana" w:eastAsia="Times New Roman" w:cs="Segoe UI"/>
                <w:sz w:val="24"/>
                <w:szCs w:val="24"/>
                <w:lang w:eastAsia="en-GB"/>
              </w:rPr>
              <w:t>twelve</w:t>
            </w:r>
            <w:r w:rsidRPr="57C6792D" w:rsidR="0020592A">
              <w:rPr>
                <w:rFonts w:ascii="Verdana" w:hAnsi="Verdana" w:eastAsia="Times New Roman" w:cs="Segoe UI"/>
                <w:sz w:val="24"/>
                <w:szCs w:val="24"/>
                <w:lang w:eastAsia="en-GB"/>
              </w:rPr>
              <w:t xml:space="preserve"> months that presents measurable progress</w:t>
            </w:r>
            <w:r w:rsidRPr="57C6792D" w:rsidR="0020592A">
              <w:rPr>
                <w:rFonts w:ascii="Verdana" w:hAnsi="Verdana" w:eastAsia="Times New Roman" w:cs="Segoe UI"/>
                <w:sz w:val="24"/>
                <w:szCs w:val="24"/>
                <w:lang w:eastAsia="en-GB"/>
              </w:rPr>
              <w:t xml:space="preserve"> against the Health Board specific </w:t>
            </w:r>
            <w:r w:rsidRPr="57C6792D" w:rsidR="006C5B1E">
              <w:rPr>
                <w:rFonts w:ascii="Verdana" w:hAnsi="Verdana" w:eastAsia="Times New Roman" w:cs="Segoe UI"/>
                <w:sz w:val="24"/>
                <w:szCs w:val="24"/>
                <w:lang w:eastAsia="en-GB"/>
              </w:rPr>
              <w:t>actions</w:t>
            </w:r>
            <w:r w:rsidRPr="57C6792D" w:rsidR="0020592A">
              <w:rPr>
                <w:rFonts w:ascii="Verdana" w:hAnsi="Verdana" w:eastAsia="Times New Roman" w:cs="Segoe UI"/>
                <w:sz w:val="24"/>
                <w:szCs w:val="24"/>
                <w:lang w:eastAsia="en-GB"/>
              </w:rPr>
              <w:t xml:space="preserve"> </w:t>
            </w:r>
          </w:p>
          <w:p w:rsidRPr="00F8567E" w:rsidR="00033105" w:rsidP="00033105" w:rsidRDefault="00033105"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6372C2" w:rsidR="00653AEC" w:rsidP="00653AEC" w:rsidRDefault="0020539A" w14:paraId="6D29041A" w14:textId="2F6B8AF6">
      <w:pPr>
        <w:spacing w:after="0" w:line="240" w:lineRule="auto"/>
        <w:jc w:val="center"/>
        <w:rPr>
          <w:rFonts w:ascii="Verdana" w:hAnsi="Verdana" w:cs="Arial"/>
          <w:b/>
          <w:sz w:val="28"/>
          <w:szCs w:val="28"/>
        </w:rPr>
      </w:pPr>
      <w:r w:rsidRPr="00F8567E">
        <w:rPr>
          <w:rFonts w:ascii="Verdana" w:hAnsi="Verdana"/>
          <w:sz w:val="24"/>
          <w:szCs w:val="24"/>
        </w:rPr>
        <w:br w:type="page"/>
      </w:r>
      <w:r w:rsidRPr="006372C2" w:rsidR="002D5078">
        <w:rPr>
          <w:rFonts w:ascii="Verdana" w:hAnsi="Verdana" w:cs="Arial"/>
          <w:b/>
          <w:sz w:val="28"/>
          <w:szCs w:val="28"/>
        </w:rPr>
        <w:lastRenderedPageBreak/>
        <w:t>SBU Response to Exploring Digital Ageism Report</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354FCD" w:rsidP="00537B35" w:rsidRDefault="00354FCD" w14:paraId="347787B1" w14:textId="77777777">
      <w:pPr>
        <w:spacing w:after="0" w:line="300" w:lineRule="atLeast"/>
        <w:rPr>
          <w:rFonts w:ascii="Verdana" w:hAnsi="Verdana" w:eastAsia="Times New Roman" w:cs="Segoe UI"/>
          <w:sz w:val="24"/>
          <w:szCs w:val="24"/>
          <w:lang w:eastAsia="en-GB"/>
        </w:rPr>
      </w:pPr>
    </w:p>
    <w:p w:rsidRPr="00537B35" w:rsidR="00537B35" w:rsidP="00537B35" w:rsidRDefault="00537B35" w14:paraId="2419CD79" w14:textId="1BDF241C">
      <w:pPr>
        <w:spacing w:after="0" w:line="300" w:lineRule="atLeast"/>
        <w:rPr>
          <w:rFonts w:ascii="Verdana" w:hAnsi="Verdana" w:eastAsia="Times New Roman" w:cs="Segoe UI"/>
          <w:sz w:val="24"/>
          <w:szCs w:val="24"/>
          <w:lang w:eastAsia="en-GB"/>
        </w:rPr>
      </w:pPr>
      <w:r w:rsidRPr="57C6792D" w:rsidR="00537B35">
        <w:rPr>
          <w:rFonts w:ascii="Verdana" w:hAnsi="Verdana" w:eastAsia="Times New Roman" w:cs="Segoe UI"/>
          <w:sz w:val="24"/>
          <w:szCs w:val="24"/>
          <w:lang w:eastAsia="en-GB"/>
        </w:rPr>
        <w:t xml:space="preserve">The purpose of this paper is to provide assurance to the Digital, Data, </w:t>
      </w:r>
      <w:r w:rsidRPr="57C6792D" w:rsidR="00537B35">
        <w:rPr>
          <w:rFonts w:ascii="Verdana" w:hAnsi="Verdana" w:eastAsia="Times New Roman" w:cs="Segoe UI"/>
          <w:sz w:val="24"/>
          <w:szCs w:val="24"/>
          <w:lang w:eastAsia="en-GB"/>
        </w:rPr>
        <w:t>Research</w:t>
      </w:r>
      <w:r w:rsidRPr="57C6792D" w:rsidR="00537B35">
        <w:rPr>
          <w:rFonts w:ascii="Verdana" w:hAnsi="Verdana" w:eastAsia="Times New Roman" w:cs="Segoe UI"/>
          <w:sz w:val="24"/>
          <w:szCs w:val="24"/>
          <w:lang w:eastAsia="en-GB"/>
        </w:rPr>
        <w:t xml:space="preserve"> and Innovation (DDRI) Committee that SBUHB is acting on the findings and recommendations associated with the </w:t>
      </w:r>
      <w:r w:rsidRPr="57C6792D" w:rsidR="008B2F70">
        <w:rPr>
          <w:rFonts w:ascii="Verdana" w:hAnsi="Verdana" w:eastAsia="Times New Roman" w:cs="Segoe UI"/>
          <w:sz w:val="24"/>
          <w:szCs w:val="24"/>
          <w:lang w:eastAsia="en-GB"/>
        </w:rPr>
        <w:t>“</w:t>
      </w:r>
      <w:r w:rsidRPr="57C6792D" w:rsidR="00537B35">
        <w:rPr>
          <w:rFonts w:ascii="Verdana" w:hAnsi="Verdana" w:eastAsia="Times New Roman" w:cs="Segoe UI"/>
          <w:i w:val="1"/>
          <w:iCs w:val="1"/>
          <w:sz w:val="24"/>
          <w:szCs w:val="24"/>
          <w:lang w:eastAsia="en-GB"/>
        </w:rPr>
        <w:t>Exploring Digital Ageism</w:t>
      </w:r>
      <w:r w:rsidRPr="57C6792D" w:rsidR="008B2F70">
        <w:rPr>
          <w:rFonts w:ascii="Verdana" w:hAnsi="Verdana" w:eastAsia="Times New Roman" w:cs="Segoe UI"/>
          <w:i w:val="1"/>
          <w:iCs w:val="1"/>
          <w:sz w:val="24"/>
          <w:szCs w:val="24"/>
          <w:lang w:eastAsia="en-GB"/>
        </w:rPr>
        <w:t>”</w:t>
      </w:r>
      <w:r w:rsidRPr="57C6792D" w:rsidR="00537B35">
        <w:rPr>
          <w:rFonts w:ascii="Verdana" w:hAnsi="Verdana" w:eastAsia="Times New Roman" w:cs="Segoe UI"/>
          <w:sz w:val="24"/>
          <w:szCs w:val="24"/>
          <w:lang w:eastAsia="en-GB"/>
        </w:rPr>
        <w:t>.</w:t>
      </w:r>
      <w:r w:rsidRPr="57C6792D" w:rsidR="00537B35">
        <w:rPr>
          <w:rFonts w:ascii="Verdana" w:hAnsi="Verdana" w:eastAsia="Times New Roman" w:cs="Segoe UI"/>
          <w:sz w:val="24"/>
          <w:szCs w:val="24"/>
          <w:lang w:eastAsia="en-GB"/>
        </w:rPr>
        <w:t xml:space="preserve"> The paper outlines the actions already taken by the Health Board, explores alignment with national expectations on digital inclusion and equity, and </w:t>
      </w:r>
      <w:r w:rsidRPr="57C6792D" w:rsidR="00537B35">
        <w:rPr>
          <w:rFonts w:ascii="Verdana" w:hAnsi="Verdana" w:eastAsia="Times New Roman" w:cs="Segoe UI"/>
          <w:sz w:val="24"/>
          <w:szCs w:val="24"/>
          <w:lang w:eastAsia="en-GB"/>
        </w:rPr>
        <w:t>identifies</w:t>
      </w:r>
      <w:r w:rsidRPr="57C6792D" w:rsidR="00537B35">
        <w:rPr>
          <w:rFonts w:ascii="Verdana" w:hAnsi="Verdana" w:eastAsia="Times New Roman" w:cs="Segoe UI"/>
          <w:sz w:val="24"/>
          <w:szCs w:val="24"/>
          <w:lang w:eastAsia="en-GB"/>
        </w:rPr>
        <w:t xml:space="preserve"> areas in which further improvement is </w:t>
      </w:r>
      <w:r w:rsidRPr="57C6792D" w:rsidR="00537B35">
        <w:rPr>
          <w:rFonts w:ascii="Verdana" w:hAnsi="Verdana" w:eastAsia="Times New Roman" w:cs="Segoe UI"/>
          <w:sz w:val="24"/>
          <w:szCs w:val="24"/>
          <w:lang w:eastAsia="en-GB"/>
        </w:rPr>
        <w:t>required</w:t>
      </w:r>
      <w:r w:rsidRPr="57C6792D" w:rsidR="00537B35">
        <w:rPr>
          <w:rFonts w:ascii="Verdana" w:hAnsi="Verdana" w:eastAsia="Times New Roman" w:cs="Segoe UI"/>
          <w:sz w:val="24"/>
          <w:szCs w:val="24"/>
          <w:lang w:eastAsia="en-GB"/>
        </w:rPr>
        <w:t xml:space="preserve">. </w:t>
      </w:r>
    </w:p>
    <w:p w:rsidRPr="00537B35" w:rsidR="00537B35" w:rsidP="00537B35" w:rsidRDefault="00537B35" w14:paraId="0CEC6570" w14:textId="29E0F231">
      <w:pPr>
        <w:spacing w:after="0" w:line="300" w:lineRule="atLeast"/>
        <w:rPr>
          <w:rFonts w:ascii="Verdana" w:hAnsi="Verdana" w:eastAsia="Times New Roman" w:cs="Segoe UI"/>
          <w:sz w:val="24"/>
          <w:szCs w:val="24"/>
          <w:lang w:eastAsia="en-GB"/>
        </w:rPr>
      </w:pPr>
    </w:p>
    <w:p w:rsidRPr="008B2F70" w:rsidR="00537B35" w:rsidP="008B2F70" w:rsidRDefault="008B2F70" w14:paraId="63FC424B" w14:textId="7B69BAFF">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BACKGROUND</w:t>
      </w:r>
    </w:p>
    <w:p w:rsidR="008B2F70" w:rsidP="00537B35" w:rsidRDefault="008B2F70" w14:paraId="702C353A" w14:textId="77777777">
      <w:pPr>
        <w:spacing w:after="0" w:line="300" w:lineRule="atLeast"/>
        <w:rPr>
          <w:rFonts w:ascii="Verdana" w:hAnsi="Verdana" w:eastAsia="Times New Roman" w:cs="Segoe UI"/>
          <w:sz w:val="24"/>
          <w:szCs w:val="24"/>
          <w:lang w:eastAsia="en-GB"/>
        </w:rPr>
      </w:pPr>
    </w:p>
    <w:p w:rsidRPr="00537B35" w:rsidR="00537B35" w:rsidP="00537B35" w:rsidRDefault="00537B35" w14:paraId="5F881175" w14:textId="47A9E543">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Digital ageism is increasingly recognised as a significant barrier to equitable access to healthcare. Evidence from Public Health Wales indicates that older adults experience disproportionately high levels of digital exclusion, with seven per cent of the Welsh population not using the internet and one</w:t>
      </w:r>
      <w:r w:rsidRPr="00537B35">
        <w:rPr>
          <w:rFonts w:ascii="Verdana" w:hAnsi="Verdana" w:eastAsia="Times New Roman" w:cs="Segoe UI"/>
          <w:sz w:val="24"/>
          <w:szCs w:val="24"/>
          <w:lang w:eastAsia="en-GB"/>
        </w:rPr>
        <w:noBreakHyphen/>
        <w:t>third of people aged over seventy</w:t>
      </w:r>
      <w:r w:rsidRPr="00537B35">
        <w:rPr>
          <w:rFonts w:ascii="Verdana" w:hAnsi="Verdana" w:eastAsia="Times New Roman" w:cs="Segoe UI"/>
          <w:sz w:val="24"/>
          <w:szCs w:val="24"/>
          <w:lang w:eastAsia="en-GB"/>
        </w:rPr>
        <w:noBreakHyphen/>
        <w:t xml:space="preserve">five unable or unwilling to engage with digital technologies due to affordability issues, a lack of confidence, sensory or physical impairments, or concerns over privacy and security. The Older People’s Commissioner for Wales emphasises in the </w:t>
      </w:r>
      <w:r w:rsidRPr="00537B35">
        <w:rPr>
          <w:rFonts w:ascii="Verdana" w:hAnsi="Verdana" w:eastAsia="Times New Roman" w:cs="Segoe UI"/>
          <w:i/>
          <w:iCs/>
          <w:sz w:val="24"/>
          <w:szCs w:val="24"/>
          <w:lang w:eastAsia="en-GB"/>
        </w:rPr>
        <w:t>Access Denied</w:t>
      </w:r>
      <w:r w:rsidRPr="00537B35">
        <w:rPr>
          <w:rFonts w:ascii="Verdana" w:hAnsi="Verdana" w:eastAsia="Times New Roman" w:cs="Segoe UI"/>
          <w:sz w:val="24"/>
          <w:szCs w:val="24"/>
          <w:lang w:eastAsia="en-GB"/>
        </w:rPr>
        <w:t xml:space="preserve"> report that digital exclusion directly affects older people’s rights, particularly when health and care services risk becoming accessible primarily or exclusively through digital channels. </w:t>
      </w:r>
    </w:p>
    <w:p w:rsidR="00A66362" w:rsidP="00537B35" w:rsidRDefault="00A66362" w14:paraId="6A74813A" w14:textId="77777777">
      <w:pPr>
        <w:spacing w:after="0" w:line="300" w:lineRule="atLeast"/>
        <w:rPr>
          <w:rFonts w:ascii="Verdana" w:hAnsi="Verdana" w:eastAsia="Times New Roman" w:cs="Segoe UI"/>
          <w:sz w:val="24"/>
          <w:szCs w:val="24"/>
          <w:lang w:eastAsia="en-GB"/>
        </w:rPr>
      </w:pPr>
    </w:p>
    <w:p w:rsidRPr="00537B35" w:rsidR="00A66362" w:rsidP="00537B35" w:rsidRDefault="00A66362" w14:paraId="5C9F2501" w14:textId="77777777">
      <w:pPr>
        <w:spacing w:after="0" w:line="300" w:lineRule="atLeast"/>
        <w:rPr>
          <w:rFonts w:ascii="Verdana" w:hAnsi="Verdana" w:eastAsia="Times New Roman" w:cs="Segoe UI"/>
          <w:sz w:val="24"/>
          <w:szCs w:val="24"/>
          <w:lang w:eastAsia="en-GB"/>
        </w:rPr>
      </w:pPr>
    </w:p>
    <w:p w:rsidRPr="00901B41" w:rsidR="00537B35" w:rsidP="00901B41" w:rsidRDefault="00A66362" w14:paraId="2ECE520C" w14:textId="3FA1598C">
      <w:pPr>
        <w:pStyle w:val="ListParagraph"/>
        <w:numPr>
          <w:ilvl w:val="0"/>
          <w:numId w:val="1"/>
        </w:numPr>
        <w:spacing w:after="0" w:line="240" w:lineRule="auto"/>
        <w:rPr>
          <w:rFonts w:ascii="Verdana" w:hAnsi="Verdana" w:cs="Arial"/>
          <w:b/>
          <w:sz w:val="24"/>
          <w:szCs w:val="24"/>
        </w:rPr>
      </w:pPr>
      <w:r w:rsidRPr="00901B41">
        <w:rPr>
          <w:rFonts w:ascii="Verdana" w:hAnsi="Verdana" w:cs="Arial"/>
          <w:b/>
          <w:sz w:val="24"/>
          <w:szCs w:val="24"/>
        </w:rPr>
        <w:t>CURRENT HEALTH BOARD ACTIVITY ALIGNED TO RECOMMENDATIONS</w:t>
      </w:r>
    </w:p>
    <w:p w:rsidR="00A66362" w:rsidP="00537B35" w:rsidRDefault="00A66362" w14:paraId="251E3422" w14:textId="77777777">
      <w:pPr>
        <w:spacing w:after="0" w:line="300" w:lineRule="atLeast"/>
        <w:rPr>
          <w:rFonts w:ascii="Verdana" w:hAnsi="Verdana" w:eastAsia="Times New Roman" w:cs="Segoe UI"/>
          <w:sz w:val="24"/>
          <w:szCs w:val="24"/>
          <w:lang w:eastAsia="en-GB"/>
        </w:rPr>
      </w:pPr>
    </w:p>
    <w:p w:rsidR="00CB68AD" w:rsidP="00CB68AD" w:rsidRDefault="00CB68AD" w14:paraId="16B18014" w14:textId="4098FFB6">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 xml:space="preserve">The SBUHB Digital Strategy embeds digital inclusion as a core principle, acknowledging that the increasing reliance on digital interfaces across clinical and administrative systems requires ongoing oversight to prevent inadvertent exclusion. </w:t>
      </w:r>
    </w:p>
    <w:p w:rsidR="00CB68AD" w:rsidP="00537B35" w:rsidRDefault="00CB68AD" w14:paraId="26E768F0" w14:textId="77777777">
      <w:pPr>
        <w:spacing w:after="0" w:line="300" w:lineRule="atLeast"/>
        <w:rPr>
          <w:rFonts w:ascii="Verdana" w:hAnsi="Verdana" w:eastAsia="Times New Roman" w:cs="Segoe UI"/>
          <w:sz w:val="24"/>
          <w:szCs w:val="24"/>
          <w:lang w:eastAsia="en-GB"/>
        </w:rPr>
      </w:pPr>
    </w:p>
    <w:p w:rsidR="00E727C9" w:rsidP="00537B35" w:rsidRDefault="00537B35" w14:paraId="4EBFB96D" w14:textId="77777777">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The Health Board has already taken meaningful steps that align with the recommendations in national reports and guidance. Work undertaken in response to Audit Wales’ digital inclusion assessment prompts shows that SBUHB maintains a mixture of digital and non-digital access routes across many clinical and corporate processes. For example, although online platforms, SMS messaging and digital forms are increasingly used for referrals, appointments and patient engagement, these systems continue to be supplemented by paper documentation, telephone-based assistance and face</w:t>
      </w:r>
      <w:r w:rsidRPr="00537B35">
        <w:rPr>
          <w:rFonts w:ascii="Verdana" w:hAnsi="Verdana" w:eastAsia="Times New Roman" w:cs="Segoe UI"/>
          <w:sz w:val="24"/>
          <w:szCs w:val="24"/>
          <w:lang w:eastAsia="en-GB"/>
        </w:rPr>
        <w:noBreakHyphen/>
        <w:t>to</w:t>
      </w:r>
      <w:r w:rsidRPr="00537B35">
        <w:rPr>
          <w:rFonts w:ascii="Verdana" w:hAnsi="Verdana" w:eastAsia="Times New Roman" w:cs="Segoe UI"/>
          <w:sz w:val="24"/>
          <w:szCs w:val="24"/>
          <w:lang w:eastAsia="en-GB"/>
        </w:rPr>
        <w:noBreakHyphen/>
        <w:t>face communication to ensure that people who cannot or choose not to engage digitally are not excluded.</w:t>
      </w:r>
      <w:r w:rsidR="00DA590F">
        <w:rPr>
          <w:rFonts w:ascii="Verdana" w:hAnsi="Verdana" w:eastAsia="Times New Roman" w:cs="Segoe UI"/>
          <w:sz w:val="24"/>
          <w:szCs w:val="24"/>
          <w:lang w:eastAsia="en-GB"/>
        </w:rPr>
        <w:t xml:space="preserve"> For example, the Hybrid </w:t>
      </w:r>
      <w:r w:rsidR="00DA590F">
        <w:rPr>
          <w:rFonts w:ascii="Verdana" w:hAnsi="Verdana" w:eastAsia="Times New Roman" w:cs="Segoe UI"/>
          <w:sz w:val="24"/>
          <w:szCs w:val="24"/>
          <w:lang w:eastAsia="en-GB"/>
        </w:rPr>
        <w:lastRenderedPageBreak/>
        <w:t xml:space="preserve">Mail project is promoting the use of digital appointment letters via the Health Board’s Patient Portal, however, if the </w:t>
      </w:r>
      <w:r w:rsidR="008C348E">
        <w:rPr>
          <w:rFonts w:ascii="Verdana" w:hAnsi="Verdana" w:eastAsia="Times New Roman" w:cs="Segoe UI"/>
          <w:sz w:val="24"/>
          <w:szCs w:val="24"/>
          <w:lang w:eastAsia="en-GB"/>
        </w:rPr>
        <w:t xml:space="preserve">recipient fails to access the electronic letter </w:t>
      </w:r>
      <w:r w:rsidR="00E727C9">
        <w:rPr>
          <w:rFonts w:ascii="Verdana" w:hAnsi="Verdana" w:eastAsia="Times New Roman" w:cs="Segoe UI"/>
          <w:sz w:val="24"/>
          <w:szCs w:val="24"/>
          <w:lang w:eastAsia="en-GB"/>
        </w:rPr>
        <w:t>it will be delivered by post instead.</w:t>
      </w:r>
    </w:p>
    <w:p w:rsidRPr="00537B35" w:rsidR="00537B35" w:rsidP="00537B35" w:rsidRDefault="00537B35" w14:paraId="3C2E6782" w14:textId="7D62B4D1">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 xml:space="preserve"> </w:t>
      </w:r>
    </w:p>
    <w:p w:rsidR="00537B35" w:rsidP="00537B35" w:rsidRDefault="00537B35" w14:paraId="5B45B533" w14:textId="79054B13">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 xml:space="preserve">SBUHB also benefits from regional digital inclusion initiatives delivered in partnership with Digital Communities Wales and neighbouring health boards. These programmes specifically target populations known to be at higher risk of digital exclusion, including older adults, people with disabilities, carers and individuals experiencing poverty or low confidence with digital technologies. They help promote skills development and facilitate more equitable use of digital services across communities. </w:t>
      </w:r>
    </w:p>
    <w:p w:rsidRPr="00537B35" w:rsidR="00285A8F" w:rsidP="00537B35" w:rsidRDefault="00285A8F" w14:paraId="2CF15129" w14:textId="77777777">
      <w:pPr>
        <w:spacing w:after="0" w:line="300" w:lineRule="atLeast"/>
        <w:rPr>
          <w:rFonts w:ascii="Verdana" w:hAnsi="Verdana" w:eastAsia="Times New Roman" w:cs="Segoe UI"/>
          <w:sz w:val="24"/>
          <w:szCs w:val="24"/>
          <w:lang w:eastAsia="en-GB"/>
        </w:rPr>
      </w:pPr>
    </w:p>
    <w:p w:rsidR="00537B35" w:rsidP="00537B35" w:rsidRDefault="00537B35" w14:paraId="1C45509A" w14:textId="40C3593A">
      <w:pPr>
        <w:spacing w:after="0" w:line="300" w:lineRule="atLeast"/>
      </w:pPr>
      <w:r w:rsidRPr="00537B35">
        <w:rPr>
          <w:rFonts w:ascii="Verdana" w:hAnsi="Verdana" w:eastAsia="Times New Roman" w:cs="Segoe UI"/>
          <w:sz w:val="24"/>
          <w:szCs w:val="24"/>
          <w:lang w:eastAsia="en-GB"/>
        </w:rPr>
        <w:t xml:space="preserve">Additionally, the Health Board has made some progress in promoting accessible digital design. Public Health Wales’ findings on digital ageism highlight the ways in which design choices such as text size, layout and navigation complexity can disadvantage older users. SBUHB has taken steps to address this by drawing on digital accessibility resources, such as the guidance within its “Being Digital” materials, to support staff who create digital content. However, while guidance exists, it is not yet implemented consistently in all digital systems used or procured by the Health Board. </w:t>
      </w:r>
    </w:p>
    <w:p w:rsidRPr="00537B35" w:rsidR="00285A8F" w:rsidP="00537B35" w:rsidRDefault="00285A8F" w14:paraId="1D21C47E" w14:textId="77777777">
      <w:pPr>
        <w:spacing w:after="0" w:line="300" w:lineRule="atLeast"/>
        <w:rPr>
          <w:rFonts w:ascii="Verdana" w:hAnsi="Verdana" w:eastAsia="Times New Roman" w:cs="Segoe UI"/>
          <w:sz w:val="24"/>
          <w:szCs w:val="24"/>
          <w:lang w:eastAsia="en-GB"/>
        </w:rPr>
      </w:pPr>
    </w:p>
    <w:p w:rsidRPr="00537B35" w:rsidR="00537B35" w:rsidP="00537B35" w:rsidRDefault="00537B35" w14:paraId="5860D688" w14:textId="30881B0B">
      <w:pPr>
        <w:spacing w:after="0" w:line="300" w:lineRule="atLeast"/>
        <w:rPr>
          <w:rFonts w:ascii="Verdana" w:hAnsi="Verdana" w:eastAsia="Times New Roman" w:cs="Segoe UI"/>
          <w:sz w:val="24"/>
          <w:szCs w:val="24"/>
          <w:lang w:eastAsia="en-GB"/>
        </w:rPr>
      </w:pPr>
    </w:p>
    <w:p w:rsidR="00AB6521" w:rsidP="00A315A3" w:rsidRDefault="00AB6521" w14:paraId="1B89B5CA" w14:textId="77777777">
      <w:pPr>
        <w:pStyle w:val="ListParagraph"/>
        <w:numPr>
          <w:ilvl w:val="0"/>
          <w:numId w:val="1"/>
        </w:numPr>
        <w:spacing w:after="0" w:line="240" w:lineRule="auto"/>
        <w:rPr>
          <w:rFonts w:ascii="Verdana" w:hAnsi="Verdana" w:cs="Arial"/>
          <w:b/>
          <w:sz w:val="24"/>
          <w:szCs w:val="24"/>
        </w:rPr>
      </w:pPr>
      <w:r w:rsidRPr="00AB6521">
        <w:rPr>
          <w:rFonts w:ascii="Verdana" w:hAnsi="Verdana" w:cs="Arial"/>
          <w:b/>
          <w:sz w:val="24"/>
          <w:szCs w:val="24"/>
        </w:rPr>
        <w:t>GOVERNANCE AND RISK ISSUES</w:t>
      </w:r>
    </w:p>
    <w:p w:rsidRPr="00AB6521" w:rsidR="00A315A3" w:rsidP="00A315A3" w:rsidRDefault="00A315A3" w14:paraId="6A66F8CF" w14:textId="77777777">
      <w:pPr>
        <w:pStyle w:val="ListParagraph"/>
        <w:spacing w:after="0" w:line="240" w:lineRule="auto"/>
        <w:rPr>
          <w:rFonts w:ascii="Verdana" w:hAnsi="Verdana" w:cs="Arial"/>
          <w:b/>
          <w:sz w:val="24"/>
          <w:szCs w:val="24"/>
        </w:rPr>
      </w:pPr>
    </w:p>
    <w:p w:rsidR="00537B35" w:rsidP="00537B35" w:rsidRDefault="00537B35" w14:paraId="709D5B4E" w14:textId="0531C866">
      <w:pPr>
        <w:spacing w:after="0" w:line="300" w:lineRule="atLeast"/>
        <w:rPr>
          <w:rFonts w:ascii="Verdana" w:hAnsi="Verdana" w:eastAsia="Times New Roman" w:cs="Segoe UI"/>
          <w:sz w:val="24"/>
          <w:szCs w:val="24"/>
          <w:lang w:eastAsia="en-GB"/>
        </w:rPr>
      </w:pPr>
      <w:r w:rsidRPr="57C6792D" w:rsidR="00537B35">
        <w:rPr>
          <w:rFonts w:ascii="Verdana" w:hAnsi="Verdana" w:eastAsia="Times New Roman" w:cs="Segoe UI"/>
          <w:sz w:val="24"/>
          <w:szCs w:val="24"/>
          <w:lang w:eastAsia="en-GB"/>
        </w:rPr>
        <w:t xml:space="preserve">Despite these areas of progress, several risks </w:t>
      </w:r>
      <w:r w:rsidRPr="57C6792D" w:rsidR="00537B35">
        <w:rPr>
          <w:rFonts w:ascii="Verdana" w:hAnsi="Verdana" w:eastAsia="Times New Roman" w:cs="Segoe UI"/>
          <w:sz w:val="24"/>
          <w:szCs w:val="24"/>
          <w:lang w:eastAsia="en-GB"/>
        </w:rPr>
        <w:t>remain</w:t>
      </w:r>
      <w:r w:rsidRPr="57C6792D" w:rsidR="00537B35">
        <w:rPr>
          <w:rFonts w:ascii="Verdana" w:hAnsi="Verdana" w:eastAsia="Times New Roman" w:cs="Segoe UI"/>
          <w:sz w:val="24"/>
          <w:szCs w:val="24"/>
          <w:lang w:eastAsia="en-GB"/>
        </w:rPr>
        <w:t xml:space="preserve"> that require further attention. National reports emphasise that the increasing shift toward </w:t>
      </w:r>
      <w:r w:rsidRPr="57C6792D" w:rsidR="00537B35">
        <w:rPr>
          <w:rFonts w:ascii="Verdana" w:hAnsi="Verdana" w:eastAsia="Times New Roman" w:cs="Segoe UI"/>
          <w:sz w:val="24"/>
          <w:szCs w:val="24"/>
          <w:lang w:eastAsia="en-GB"/>
        </w:rPr>
        <w:t>digital</w:t>
      </w:r>
      <w:r w:rsidRPr="57C6792D" w:rsidR="00537B35">
        <w:rPr>
          <w:rFonts w:ascii="Verdana" w:hAnsi="Verdana" w:eastAsia="Times New Roman" w:cs="Segoe UI"/>
          <w:sz w:val="24"/>
          <w:szCs w:val="24"/>
          <w:lang w:eastAsia="en-GB"/>
        </w:rPr>
        <w:t>b</w:t>
      </w:r>
      <w:r w:rsidRPr="57C6792D" w:rsidR="00537B35">
        <w:rPr>
          <w:rFonts w:ascii="Verdana" w:hAnsi="Verdana" w:eastAsia="Times New Roman" w:cs="Segoe UI"/>
          <w:sz w:val="24"/>
          <w:szCs w:val="24"/>
          <w:lang w:eastAsia="en-GB"/>
        </w:rPr>
        <w:t>y</w:t>
      </w:r>
      <w:r w:rsidRPr="57C6792D" w:rsidR="00537B35">
        <w:rPr>
          <w:rFonts w:ascii="Verdana" w:hAnsi="Verdana" w:eastAsia="Times New Roman" w:cs="Segoe UI"/>
          <w:sz w:val="24"/>
          <w:szCs w:val="24"/>
          <w:lang w:eastAsia="en-GB"/>
        </w:rPr>
        <w:t xml:space="preserve">default service models can inadvertently disadvantage older people unless meaningful and properly resourced alternatives are </w:t>
      </w:r>
      <w:r w:rsidRPr="57C6792D" w:rsidR="00537B35">
        <w:rPr>
          <w:rFonts w:ascii="Verdana" w:hAnsi="Verdana" w:eastAsia="Times New Roman" w:cs="Segoe UI"/>
          <w:sz w:val="24"/>
          <w:szCs w:val="24"/>
          <w:lang w:eastAsia="en-GB"/>
        </w:rPr>
        <w:t>retained</w:t>
      </w:r>
      <w:r w:rsidRPr="57C6792D" w:rsidR="00537B35">
        <w:rPr>
          <w:rFonts w:ascii="Verdana" w:hAnsi="Verdana" w:eastAsia="Times New Roman" w:cs="Segoe UI"/>
          <w:sz w:val="24"/>
          <w:szCs w:val="24"/>
          <w:lang w:eastAsia="en-GB"/>
        </w:rPr>
        <w:t xml:space="preserve">. For example, older users </w:t>
      </w:r>
      <w:r w:rsidRPr="57C6792D" w:rsidR="00537B35">
        <w:rPr>
          <w:rFonts w:ascii="Verdana" w:hAnsi="Verdana" w:eastAsia="Times New Roman" w:cs="Segoe UI"/>
          <w:sz w:val="24"/>
          <w:szCs w:val="24"/>
          <w:lang w:eastAsia="en-GB"/>
        </w:rPr>
        <w:t>frequently</w:t>
      </w:r>
      <w:r w:rsidRPr="57C6792D" w:rsidR="00537B35">
        <w:rPr>
          <w:rFonts w:ascii="Verdana" w:hAnsi="Verdana" w:eastAsia="Times New Roman" w:cs="Segoe UI"/>
          <w:sz w:val="24"/>
          <w:szCs w:val="24"/>
          <w:lang w:eastAsia="en-GB"/>
        </w:rPr>
        <w:t xml:space="preserve"> express a preference for written information delivered in predictable, accessible formats and may be discouraged by complex digital systems or by insufficient awareness of non-digital options. Within SBUHB, there is a risk that as digital systems evolve, the convenience of digital channels will create pressure to reduce or retire non</w:t>
      </w:r>
      <w:r w:rsidRPr="57C6792D" w:rsidR="00537B35">
        <w:rPr>
          <w:rFonts w:ascii="Verdana" w:hAnsi="Verdana" w:eastAsia="Times New Roman" w:cs="Segoe UI"/>
          <w:sz w:val="24"/>
          <w:szCs w:val="24"/>
          <w:lang w:eastAsia="en-GB"/>
        </w:rPr>
        <w:t xml:space="preserve">digital pathways faster than is </w:t>
      </w:r>
      <w:r w:rsidRPr="57C6792D" w:rsidR="00537B35">
        <w:rPr>
          <w:rFonts w:ascii="Verdana" w:hAnsi="Verdana" w:eastAsia="Times New Roman" w:cs="Segoe UI"/>
          <w:sz w:val="24"/>
          <w:szCs w:val="24"/>
          <w:lang w:eastAsia="en-GB"/>
        </w:rPr>
        <w:t>appropriate for</w:t>
      </w:r>
      <w:r w:rsidRPr="57C6792D" w:rsidR="00537B35">
        <w:rPr>
          <w:rFonts w:ascii="Verdana" w:hAnsi="Verdana" w:eastAsia="Times New Roman" w:cs="Segoe UI"/>
          <w:sz w:val="24"/>
          <w:szCs w:val="24"/>
          <w:lang w:eastAsia="en-GB"/>
        </w:rPr>
        <w:t xml:space="preserve"> an ageing population. </w:t>
      </w:r>
    </w:p>
    <w:p w:rsidRPr="00537B35" w:rsidR="00E727C9" w:rsidP="00537B35" w:rsidRDefault="00E727C9" w14:paraId="323A24CF" w14:textId="77777777">
      <w:pPr>
        <w:spacing w:after="0" w:line="300" w:lineRule="atLeast"/>
        <w:rPr>
          <w:rFonts w:ascii="Verdana" w:hAnsi="Verdana" w:eastAsia="Times New Roman" w:cs="Segoe UI"/>
          <w:sz w:val="24"/>
          <w:szCs w:val="24"/>
          <w:lang w:eastAsia="en-GB"/>
        </w:rPr>
      </w:pPr>
    </w:p>
    <w:p w:rsidR="00537B35" w:rsidP="00537B35" w:rsidRDefault="00537B35" w14:paraId="5FC4C382" w14:textId="584FAE30">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A second risk arises from inconsistent accessibility standards across the Health Board’s digital estate. Although SBUHB has access to clear digital accessibility guidance, this is not systematically applied during procurement, design or implementation. This inconsistency increases the possibility that digital systems may inadvertently exclude older people, particularly those with sensory or cognitive impairments. Audit Wales’ guidance stresses that digital transformation must be consistently person</w:t>
      </w:r>
      <w:r w:rsidRPr="00537B35">
        <w:rPr>
          <w:rFonts w:ascii="Verdana" w:hAnsi="Verdana" w:eastAsia="Times New Roman" w:cs="Segoe UI"/>
          <w:sz w:val="24"/>
          <w:szCs w:val="24"/>
          <w:lang w:eastAsia="en-GB"/>
        </w:rPr>
        <w:noBreakHyphen/>
        <w:t xml:space="preserve">centred. </w:t>
      </w:r>
    </w:p>
    <w:p w:rsidRPr="00537B35" w:rsidR="00B32E66" w:rsidP="00537B35" w:rsidRDefault="00B32E66" w14:paraId="7CC21474" w14:textId="77777777">
      <w:pPr>
        <w:spacing w:after="0" w:line="300" w:lineRule="atLeast"/>
        <w:rPr>
          <w:rFonts w:ascii="Verdana" w:hAnsi="Verdana" w:eastAsia="Times New Roman" w:cs="Segoe UI"/>
          <w:sz w:val="24"/>
          <w:szCs w:val="24"/>
          <w:lang w:eastAsia="en-GB"/>
        </w:rPr>
      </w:pPr>
    </w:p>
    <w:p w:rsidR="00537B35" w:rsidP="00537B35" w:rsidRDefault="00537B35" w14:paraId="1A8D3BF4" w14:textId="77777777">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A further gap relates to the limited data available on digital exclusion within older age groups. The Health Board does not routinely measure whether older people use digital channels at comparable rates to other demographics, nor does it track patterns of abandonment or failed access attempts by age. As a result, although concerns about digital exclusion are acknowledged, they are not currently monitored in a way that enables systematic improvement.</w:t>
      </w:r>
    </w:p>
    <w:p w:rsidRPr="00537B35" w:rsidR="00B32E66" w:rsidP="00537B35" w:rsidRDefault="00B32E66" w14:paraId="66D074EC" w14:textId="77777777">
      <w:pPr>
        <w:spacing w:after="0" w:line="300" w:lineRule="atLeast"/>
        <w:rPr>
          <w:rFonts w:ascii="Verdana" w:hAnsi="Verdana" w:eastAsia="Times New Roman" w:cs="Segoe UI"/>
          <w:sz w:val="24"/>
          <w:szCs w:val="24"/>
          <w:lang w:eastAsia="en-GB"/>
        </w:rPr>
      </w:pPr>
    </w:p>
    <w:p w:rsidR="00537B35" w:rsidP="00537B35" w:rsidRDefault="00537B35" w14:paraId="3741BE6E" w14:textId="229EA341">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The Health Board also continues to rely heavily on paper</w:t>
      </w:r>
      <w:r w:rsidRPr="00537B35">
        <w:rPr>
          <w:rFonts w:ascii="Verdana" w:hAnsi="Verdana" w:eastAsia="Times New Roman" w:cs="Segoe UI"/>
          <w:sz w:val="24"/>
          <w:szCs w:val="24"/>
          <w:lang w:eastAsia="en-GB"/>
        </w:rPr>
        <w:noBreakHyphen/>
        <w:t>based consent processes due to the limitations of current digital consent platforms. While efforts are being made nationally to modernise consent systems, the fragmentation of current digital consent processes presents a particular challenge for older patients who may require clearer, more accessible pathways to understand and record consent digitally.</w:t>
      </w:r>
    </w:p>
    <w:p w:rsidRPr="00537B35" w:rsidR="00456B7F" w:rsidP="00537B35" w:rsidRDefault="00456B7F" w14:paraId="12D03114" w14:textId="77777777">
      <w:pPr>
        <w:spacing w:after="0" w:line="300" w:lineRule="atLeast"/>
        <w:rPr>
          <w:rFonts w:ascii="Verdana" w:hAnsi="Verdana" w:eastAsia="Times New Roman" w:cs="Segoe UI"/>
          <w:sz w:val="24"/>
          <w:szCs w:val="24"/>
          <w:lang w:eastAsia="en-GB"/>
        </w:rPr>
      </w:pPr>
    </w:p>
    <w:p w:rsidRPr="00537B35" w:rsidR="00537B35" w:rsidP="00537B35" w:rsidRDefault="00537B35" w14:paraId="57A7A4FB" w14:textId="0FE72747">
      <w:pPr>
        <w:spacing w:after="0" w:line="300" w:lineRule="atLeast"/>
        <w:rPr>
          <w:rFonts w:ascii="Verdana" w:hAnsi="Verdana" w:eastAsia="Times New Roman" w:cs="Segoe UI"/>
          <w:sz w:val="24"/>
          <w:szCs w:val="24"/>
          <w:lang w:eastAsia="en-GB"/>
        </w:rPr>
      </w:pPr>
      <w:r w:rsidRPr="57C6792D" w:rsidR="00537B35">
        <w:rPr>
          <w:rFonts w:ascii="Verdana" w:hAnsi="Verdana" w:eastAsia="Times New Roman" w:cs="Segoe UI"/>
          <w:sz w:val="24"/>
          <w:szCs w:val="24"/>
          <w:lang w:eastAsia="en-GB"/>
        </w:rPr>
        <w:t>Based on current evidence</w:t>
      </w:r>
      <w:r w:rsidRPr="57C6792D" w:rsidR="00627CBC">
        <w:rPr>
          <w:rFonts w:ascii="Verdana" w:hAnsi="Verdana" w:eastAsia="Times New Roman" w:cs="Segoe UI"/>
          <w:sz w:val="24"/>
          <w:szCs w:val="24"/>
          <w:lang w:eastAsia="en-GB"/>
        </w:rPr>
        <w:t>, t</w:t>
      </w:r>
      <w:r w:rsidRPr="57C6792D" w:rsidR="00537B35">
        <w:rPr>
          <w:rFonts w:ascii="Verdana" w:hAnsi="Verdana" w:eastAsia="Times New Roman" w:cs="Segoe UI"/>
          <w:sz w:val="24"/>
          <w:szCs w:val="24"/>
          <w:lang w:eastAsia="en-GB"/>
        </w:rPr>
        <w:t xml:space="preserve">here is reasonable assurance that the Health Board is endeavouring to </w:t>
      </w:r>
      <w:r w:rsidRPr="57C6792D" w:rsidR="00537B35">
        <w:rPr>
          <w:rFonts w:ascii="Verdana" w:hAnsi="Verdana" w:eastAsia="Times New Roman" w:cs="Segoe UI"/>
          <w:sz w:val="24"/>
          <w:szCs w:val="24"/>
          <w:lang w:eastAsia="en-GB"/>
        </w:rPr>
        <w:t>comply with</w:t>
      </w:r>
      <w:r w:rsidRPr="57C6792D" w:rsidR="00537B35">
        <w:rPr>
          <w:rFonts w:ascii="Verdana" w:hAnsi="Verdana" w:eastAsia="Times New Roman" w:cs="Segoe UI"/>
          <w:sz w:val="24"/>
          <w:szCs w:val="24"/>
          <w:lang w:eastAsia="en-GB"/>
        </w:rPr>
        <w:t xml:space="preserve"> digital inclusion standards by </w:t>
      </w:r>
      <w:r w:rsidRPr="57C6792D" w:rsidR="00537B35">
        <w:rPr>
          <w:rFonts w:ascii="Verdana" w:hAnsi="Verdana" w:eastAsia="Times New Roman" w:cs="Segoe UI"/>
          <w:sz w:val="24"/>
          <w:szCs w:val="24"/>
          <w:lang w:eastAsia="en-GB"/>
        </w:rPr>
        <w:t>maintaining</w:t>
      </w:r>
      <w:r w:rsidRPr="57C6792D" w:rsidR="00537B35">
        <w:rPr>
          <w:rFonts w:ascii="Verdana" w:hAnsi="Verdana" w:eastAsia="Times New Roman" w:cs="Segoe UI"/>
          <w:sz w:val="24"/>
          <w:szCs w:val="24"/>
          <w:lang w:eastAsia="en-GB"/>
        </w:rPr>
        <w:t xml:space="preserve"> multiple access routes and considering the needs of digitally excluded groups in </w:t>
      </w:r>
      <w:r w:rsidRPr="57C6792D" w:rsidR="00537B35">
        <w:rPr>
          <w:rFonts w:ascii="Verdana" w:hAnsi="Verdana" w:eastAsia="Times New Roman" w:cs="Segoe UI"/>
          <w:sz w:val="24"/>
          <w:szCs w:val="24"/>
          <w:lang w:eastAsia="en-GB"/>
        </w:rPr>
        <w:t>high</w:t>
      </w:r>
      <w:r w:rsidRPr="57C6792D" w:rsidR="00537B35">
        <w:rPr>
          <w:rFonts w:ascii="Verdana" w:hAnsi="Verdana" w:eastAsia="Times New Roman" w:cs="Segoe UI"/>
          <w:sz w:val="24"/>
          <w:szCs w:val="24"/>
          <w:lang w:eastAsia="en-GB"/>
        </w:rPr>
        <w:t>level</w:t>
      </w:r>
      <w:r w:rsidRPr="57C6792D" w:rsidR="00537B35">
        <w:rPr>
          <w:rFonts w:ascii="Verdana" w:hAnsi="Verdana" w:eastAsia="Times New Roman" w:cs="Segoe UI"/>
          <w:sz w:val="24"/>
          <w:szCs w:val="24"/>
          <w:lang w:eastAsia="en-GB"/>
        </w:rPr>
        <w:t xml:space="preserve"> </w:t>
      </w:r>
      <w:r w:rsidRPr="57C6792D" w:rsidR="00537B35">
        <w:rPr>
          <w:rFonts w:ascii="Verdana" w:hAnsi="Verdana" w:eastAsia="Times New Roman" w:cs="Segoe UI"/>
          <w:sz w:val="24"/>
          <w:szCs w:val="24"/>
          <w:lang w:eastAsia="en-GB"/>
        </w:rPr>
        <w:t>decision</w:t>
      </w:r>
      <w:r w:rsidRPr="57C6792D" w:rsidR="499D5FBA">
        <w:rPr>
          <w:rFonts w:ascii="Verdana" w:hAnsi="Verdana" w:eastAsia="Times New Roman" w:cs="Segoe UI"/>
          <w:sz w:val="24"/>
          <w:szCs w:val="24"/>
          <w:lang w:eastAsia="en-GB"/>
        </w:rPr>
        <w:t xml:space="preserve"> </w:t>
      </w:r>
      <w:r w:rsidRPr="57C6792D" w:rsidR="00537B35">
        <w:rPr>
          <w:rFonts w:ascii="Verdana" w:hAnsi="Verdana" w:eastAsia="Times New Roman" w:cs="Segoe UI"/>
          <w:sz w:val="24"/>
          <w:szCs w:val="24"/>
          <w:lang w:eastAsia="en-GB"/>
        </w:rPr>
        <w:t>making</w:t>
      </w:r>
      <w:r w:rsidRPr="57C6792D" w:rsidR="00537B35">
        <w:rPr>
          <w:rFonts w:ascii="Verdana" w:hAnsi="Verdana" w:eastAsia="Times New Roman" w:cs="Segoe UI"/>
          <w:sz w:val="24"/>
          <w:szCs w:val="24"/>
          <w:lang w:eastAsia="en-GB"/>
        </w:rPr>
        <w:t xml:space="preserve">. There is also reasonable assurance that user engagement activities take place, although these do not yet routinely include </w:t>
      </w:r>
      <w:r w:rsidRPr="57C6792D" w:rsidR="00537B35">
        <w:rPr>
          <w:rFonts w:ascii="Verdana" w:hAnsi="Verdana" w:eastAsia="Times New Roman" w:cs="Segoe UI"/>
          <w:sz w:val="24"/>
          <w:szCs w:val="24"/>
          <w:lang w:eastAsia="en-GB"/>
        </w:rPr>
        <w:t>age</w:t>
      </w:r>
      <w:r w:rsidRPr="57C6792D" w:rsidR="00537B35">
        <w:rPr>
          <w:rFonts w:ascii="Verdana" w:hAnsi="Verdana" w:eastAsia="Times New Roman" w:cs="Segoe UI"/>
          <w:sz w:val="24"/>
          <w:szCs w:val="24"/>
          <w:lang w:eastAsia="en-GB"/>
        </w:rPr>
        <w:t>segmented</w:t>
      </w:r>
      <w:r w:rsidRPr="57C6792D" w:rsidR="00537B35">
        <w:rPr>
          <w:rFonts w:ascii="Verdana" w:hAnsi="Verdana" w:eastAsia="Times New Roman" w:cs="Segoe UI"/>
          <w:sz w:val="24"/>
          <w:szCs w:val="24"/>
          <w:lang w:eastAsia="en-GB"/>
        </w:rPr>
        <w:t xml:space="preserve"> analysis.</w:t>
      </w:r>
    </w:p>
    <w:p w:rsidR="005B613B" w:rsidP="00537B35" w:rsidRDefault="005B613B" w14:paraId="5D7D2768" w14:textId="77777777">
      <w:pPr>
        <w:spacing w:after="0" w:line="300" w:lineRule="atLeast"/>
        <w:rPr>
          <w:rFonts w:ascii="Verdana" w:hAnsi="Verdana" w:eastAsia="Times New Roman" w:cs="Segoe UI"/>
          <w:sz w:val="24"/>
          <w:szCs w:val="24"/>
          <w:lang w:eastAsia="en-GB"/>
        </w:rPr>
      </w:pPr>
    </w:p>
    <w:p w:rsidRPr="00537B35" w:rsidR="00537B35" w:rsidP="00537B35" w:rsidRDefault="00537B35" w14:paraId="55712685" w14:textId="4E9951B7">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 xml:space="preserve">However, assurance is currently limited in relation to the consistent application of accessibility standards and to the systematic measurement of digital exclusion among older adults. </w:t>
      </w:r>
    </w:p>
    <w:p w:rsidRPr="00537B35" w:rsidR="00537B35" w:rsidP="00537B35" w:rsidRDefault="00537B35" w14:paraId="70DFA763" w14:textId="255DA81C">
      <w:pPr>
        <w:spacing w:after="0" w:line="300" w:lineRule="atLeast"/>
        <w:rPr>
          <w:rFonts w:ascii="Verdana" w:hAnsi="Verdana" w:eastAsia="Times New Roman" w:cs="Segoe UI"/>
          <w:sz w:val="24"/>
          <w:szCs w:val="24"/>
          <w:lang w:eastAsia="en-GB"/>
        </w:rPr>
      </w:pPr>
    </w:p>
    <w:p w:rsidRPr="00727E0A" w:rsidR="00727E0A" w:rsidP="00727E0A" w:rsidRDefault="00727E0A" w14:paraId="71650441" w14:textId="77777777">
      <w:pPr>
        <w:spacing w:after="0" w:line="240" w:lineRule="auto"/>
        <w:rPr>
          <w:rFonts w:ascii="Verdana" w:hAnsi="Verdana" w:cs="Arial"/>
          <w:b/>
          <w:sz w:val="24"/>
          <w:szCs w:val="24"/>
        </w:rPr>
      </w:pPr>
    </w:p>
    <w:p w:rsidRPr="00F8567E" w:rsidR="00653AEC" w:rsidP="003351D1"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003351D1" w:rsidP="00746B46" w:rsidRDefault="003351D1" w14:paraId="5AA2746D" w14:textId="77777777">
      <w:pPr>
        <w:spacing w:after="0" w:line="240" w:lineRule="auto"/>
        <w:rPr>
          <w:rFonts w:ascii="Verdana" w:hAnsi="Verdana" w:cs="Arial"/>
          <w:bCs/>
          <w:sz w:val="24"/>
          <w:szCs w:val="24"/>
        </w:rPr>
      </w:pPr>
    </w:p>
    <w:p w:rsidRPr="00A21A4B" w:rsidR="00653AEC" w:rsidP="00746B46" w:rsidRDefault="00746B46" w14:paraId="6D290429" w14:textId="7C080486">
      <w:pPr>
        <w:spacing w:after="0" w:line="240" w:lineRule="auto"/>
        <w:rPr>
          <w:rFonts w:ascii="Verdana" w:hAnsi="Verdana" w:cs="Arial"/>
          <w:bCs/>
          <w:sz w:val="24"/>
          <w:szCs w:val="24"/>
        </w:rPr>
      </w:pPr>
      <w:r w:rsidRPr="00A21A4B">
        <w:rPr>
          <w:rFonts w:ascii="Verdana" w:hAnsi="Verdana" w:cs="Arial"/>
          <w:bCs/>
          <w:sz w:val="24"/>
          <w:szCs w:val="24"/>
        </w:rPr>
        <w:t>There are no direct financial implications associated with this paper.</w:t>
      </w:r>
      <w:r w:rsidRPr="00A21A4B" w:rsidR="008C13BC">
        <w:rPr>
          <w:rFonts w:ascii="Verdana" w:hAnsi="Verdana" w:cs="Arial"/>
          <w:bCs/>
          <w:sz w:val="24"/>
          <w:szCs w:val="24"/>
        </w:rPr>
        <w:t xml:space="preserve"> </w:t>
      </w:r>
    </w:p>
    <w:p w:rsidR="008C13BC" w:rsidP="00746B46" w:rsidRDefault="008C13BC" w14:paraId="3E9ED3B3" w14:textId="77777777">
      <w:pPr>
        <w:spacing w:after="0" w:line="240" w:lineRule="auto"/>
        <w:rPr>
          <w:rFonts w:ascii="Verdana" w:hAnsi="Verdana" w:cs="Arial"/>
          <w:b/>
          <w:sz w:val="24"/>
          <w:szCs w:val="24"/>
        </w:rPr>
      </w:pPr>
    </w:p>
    <w:p w:rsidRPr="00746B46" w:rsidR="003351D1" w:rsidP="00746B46" w:rsidRDefault="003351D1" w14:paraId="320B7158" w14:textId="77777777">
      <w:pPr>
        <w:spacing w:after="0" w:line="240" w:lineRule="auto"/>
        <w:rPr>
          <w:rFonts w:ascii="Verdana" w:hAnsi="Verdana" w:cs="Arial"/>
          <w:b/>
          <w:sz w:val="24"/>
          <w:szCs w:val="24"/>
        </w:rPr>
      </w:pPr>
    </w:p>
    <w:p w:rsidRPr="00F8567E" w:rsidR="00653AEC" w:rsidP="003351D1" w:rsidRDefault="00653AEC" w14:paraId="6D29042A" w14:textId="32246E9D">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r w:rsidR="003351D1">
        <w:rPr>
          <w:rFonts w:ascii="Verdana" w:hAnsi="Verdana" w:cs="Arial"/>
          <w:b/>
          <w:sz w:val="24"/>
          <w:szCs w:val="24"/>
        </w:rPr>
        <w:t>S</w:t>
      </w:r>
    </w:p>
    <w:p w:rsidR="00C25331" w:rsidP="00C25331" w:rsidRDefault="00C25331" w14:paraId="2785BE74" w14:textId="77777777">
      <w:pPr>
        <w:spacing w:after="0" w:line="240" w:lineRule="auto"/>
        <w:rPr>
          <w:rFonts w:ascii="Verdana" w:hAnsi="Verdana" w:cs="Arial"/>
          <w:bCs/>
          <w:sz w:val="24"/>
          <w:szCs w:val="24"/>
        </w:rPr>
      </w:pPr>
    </w:p>
    <w:p w:rsidR="003351D1" w:rsidP="003351D1" w:rsidRDefault="003351D1" w14:paraId="41DB4D5D" w14:textId="77777777">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A series of recommendations is proposed</w:t>
      </w:r>
      <w:r>
        <w:rPr>
          <w:rFonts w:ascii="Verdana" w:hAnsi="Verdana" w:eastAsia="Times New Roman" w:cs="Segoe UI"/>
          <w:sz w:val="24"/>
          <w:szCs w:val="24"/>
          <w:lang w:eastAsia="en-GB"/>
        </w:rPr>
        <w:t xml:space="preserve"> in the report</w:t>
      </w:r>
      <w:r w:rsidRPr="00537B35">
        <w:rPr>
          <w:rFonts w:ascii="Verdana" w:hAnsi="Verdana" w:eastAsia="Times New Roman" w:cs="Segoe UI"/>
          <w:sz w:val="24"/>
          <w:szCs w:val="24"/>
          <w:lang w:eastAsia="en-GB"/>
        </w:rPr>
        <w:t xml:space="preserve"> to strengthen assurance and reinforce the Health Board’s commitment to reducing digital ageism.</w:t>
      </w:r>
    </w:p>
    <w:p w:rsidRPr="00537B35" w:rsidR="003351D1" w:rsidP="003351D1" w:rsidRDefault="003351D1" w14:paraId="1533B67D" w14:textId="77777777">
      <w:pPr>
        <w:spacing w:after="0" w:line="300" w:lineRule="atLeast"/>
        <w:rPr>
          <w:rFonts w:ascii="Verdana" w:hAnsi="Verdana" w:eastAsia="Times New Roman" w:cs="Segoe UI"/>
          <w:sz w:val="24"/>
          <w:szCs w:val="24"/>
          <w:lang w:eastAsia="en-GB"/>
        </w:rPr>
      </w:pPr>
    </w:p>
    <w:p w:rsidR="003351D1" w:rsidP="003351D1" w:rsidRDefault="003351D1" w14:paraId="7BEC9ABF" w14:textId="77777777">
      <w:pPr>
        <w:spacing w:after="0" w:line="300" w:lineRule="atLeast"/>
        <w:rPr>
          <w:rFonts w:ascii="Verdana" w:hAnsi="Verdana" w:eastAsia="Times New Roman" w:cs="Segoe UI"/>
          <w:sz w:val="24"/>
          <w:szCs w:val="24"/>
          <w:lang w:eastAsia="en-GB"/>
        </w:rPr>
      </w:pPr>
      <w:r>
        <w:rPr>
          <w:rFonts w:ascii="Verdana" w:hAnsi="Verdana" w:eastAsia="Times New Roman" w:cs="Segoe UI"/>
          <w:sz w:val="24"/>
          <w:szCs w:val="24"/>
          <w:lang w:eastAsia="en-GB"/>
        </w:rPr>
        <w:t>M</w:t>
      </w:r>
      <w:r w:rsidRPr="00537B35">
        <w:rPr>
          <w:rFonts w:ascii="Verdana" w:hAnsi="Verdana" w:eastAsia="Times New Roman" w:cs="Segoe UI"/>
          <w:sz w:val="24"/>
          <w:szCs w:val="24"/>
          <w:lang w:eastAsia="en-GB"/>
        </w:rPr>
        <w:t xml:space="preserve">ajor digital programmes should be subject to an “Older People Digital Impact Assessment,” drawing on insights from the </w:t>
      </w:r>
      <w:r w:rsidRPr="00537B35">
        <w:rPr>
          <w:rFonts w:ascii="Verdana" w:hAnsi="Verdana" w:eastAsia="Times New Roman" w:cs="Segoe UI"/>
          <w:i/>
          <w:iCs/>
          <w:sz w:val="24"/>
          <w:szCs w:val="24"/>
          <w:lang w:eastAsia="en-GB"/>
        </w:rPr>
        <w:t>Access Denied</w:t>
      </w:r>
      <w:r w:rsidRPr="00537B35">
        <w:rPr>
          <w:rFonts w:ascii="Verdana" w:hAnsi="Verdana" w:eastAsia="Times New Roman" w:cs="Segoe UI"/>
          <w:sz w:val="24"/>
          <w:szCs w:val="24"/>
          <w:lang w:eastAsia="en-GB"/>
        </w:rPr>
        <w:t xml:space="preserve"> report and Public Health Wales’ work on ageism. Such assessments would help identify risks earlier and ensure that digital projects maintain equity of access. </w:t>
      </w:r>
    </w:p>
    <w:p w:rsidRPr="00537B35" w:rsidR="003351D1" w:rsidP="003351D1" w:rsidRDefault="003351D1" w14:paraId="3EF97A36" w14:textId="77777777">
      <w:pPr>
        <w:spacing w:after="0" w:line="300" w:lineRule="atLeast"/>
        <w:rPr>
          <w:rFonts w:ascii="Verdana" w:hAnsi="Verdana" w:eastAsia="Times New Roman" w:cs="Segoe UI"/>
          <w:sz w:val="24"/>
          <w:szCs w:val="24"/>
          <w:lang w:eastAsia="en-GB"/>
        </w:rPr>
      </w:pPr>
    </w:p>
    <w:p w:rsidRPr="00537B35" w:rsidR="003351D1" w:rsidP="003351D1" w:rsidRDefault="003351D1" w14:paraId="03D247F5" w14:textId="77777777">
      <w:pPr>
        <w:spacing w:after="0" w:line="300" w:lineRule="atLeast"/>
        <w:rPr>
          <w:rFonts w:ascii="Verdana" w:hAnsi="Verdana" w:eastAsia="Times New Roman" w:cs="Segoe UI"/>
          <w:sz w:val="24"/>
          <w:szCs w:val="24"/>
          <w:lang w:eastAsia="en-GB"/>
        </w:rPr>
      </w:pPr>
      <w:r>
        <w:rPr>
          <w:rFonts w:ascii="Verdana" w:hAnsi="Verdana" w:eastAsia="Times New Roman" w:cs="Segoe UI"/>
          <w:sz w:val="24"/>
          <w:szCs w:val="24"/>
          <w:lang w:eastAsia="en-GB"/>
        </w:rPr>
        <w:lastRenderedPageBreak/>
        <w:t>T</w:t>
      </w:r>
      <w:r w:rsidRPr="00537B35">
        <w:rPr>
          <w:rFonts w:ascii="Verdana" w:hAnsi="Verdana" w:eastAsia="Times New Roman" w:cs="Segoe UI"/>
          <w:sz w:val="24"/>
          <w:szCs w:val="24"/>
          <w:lang w:eastAsia="en-GB"/>
        </w:rPr>
        <w:t xml:space="preserve">he Health Board should continue to deepen its partnership working with Digital Communities Wales, the Older People’s Commissioner and local authorities to strengthen support for older people. </w:t>
      </w:r>
    </w:p>
    <w:p w:rsidR="003351D1" w:rsidP="003351D1" w:rsidRDefault="003351D1" w14:paraId="351F296B" w14:textId="77777777">
      <w:pPr>
        <w:spacing w:after="0" w:line="300" w:lineRule="atLeast"/>
        <w:rPr>
          <w:rFonts w:ascii="Verdana" w:hAnsi="Verdana" w:eastAsia="Times New Roman" w:cs="Segoe UI"/>
          <w:sz w:val="24"/>
          <w:szCs w:val="24"/>
          <w:lang w:eastAsia="en-GB"/>
        </w:rPr>
      </w:pPr>
      <w:r>
        <w:rPr>
          <w:rFonts w:ascii="Verdana" w:hAnsi="Verdana" w:eastAsia="Times New Roman" w:cs="Segoe UI"/>
          <w:sz w:val="24"/>
          <w:szCs w:val="24"/>
          <w:lang w:eastAsia="en-GB"/>
        </w:rPr>
        <w:t>I</w:t>
      </w:r>
      <w:r w:rsidRPr="00537B35">
        <w:rPr>
          <w:rFonts w:ascii="Verdana" w:hAnsi="Verdana" w:eastAsia="Times New Roman" w:cs="Segoe UI"/>
          <w:sz w:val="24"/>
          <w:szCs w:val="24"/>
          <w:lang w:eastAsia="en-GB"/>
        </w:rPr>
        <w:t>t is essential to ensure that non-digital alternatives remain accessible, well-publicised and properly resourced, so that older adults are not discouraged from seeking care or information.</w:t>
      </w:r>
    </w:p>
    <w:p w:rsidRPr="00537B35" w:rsidR="003351D1" w:rsidP="003351D1" w:rsidRDefault="003351D1" w14:paraId="0784B62E" w14:textId="77777777">
      <w:pPr>
        <w:spacing w:after="0" w:line="300" w:lineRule="atLeast"/>
        <w:rPr>
          <w:rFonts w:ascii="Verdana" w:hAnsi="Verdana" w:eastAsia="Times New Roman" w:cs="Segoe UI"/>
          <w:sz w:val="24"/>
          <w:szCs w:val="24"/>
          <w:lang w:eastAsia="en-GB"/>
        </w:rPr>
      </w:pPr>
    </w:p>
    <w:p w:rsidRPr="00537B35" w:rsidR="003351D1" w:rsidP="003351D1" w:rsidRDefault="003351D1" w14:paraId="094DC10E" w14:textId="77777777">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Finally, staff awareness of age-positive practice should be strengthened through targeted training, drawing on resources developed by the Older People’s Commissioner that highlight the importance of language, tone and representation when communicating with or designing services for older people.</w:t>
      </w:r>
    </w:p>
    <w:p w:rsidRPr="00537B35" w:rsidR="003351D1" w:rsidP="003351D1" w:rsidRDefault="003351D1" w14:paraId="06F3EE5C" w14:textId="77777777">
      <w:pPr>
        <w:spacing w:after="0" w:line="300" w:lineRule="atLeast"/>
        <w:rPr>
          <w:rFonts w:ascii="Verdana" w:hAnsi="Verdana" w:eastAsia="Times New Roman" w:cs="Segoe UI"/>
          <w:b/>
          <w:bCs/>
          <w:sz w:val="24"/>
          <w:szCs w:val="24"/>
          <w:lang w:eastAsia="en-GB"/>
        </w:rPr>
      </w:pPr>
    </w:p>
    <w:p w:rsidR="003351D1" w:rsidP="003351D1" w:rsidRDefault="003351D1" w14:paraId="570C02B5" w14:textId="77777777">
      <w:pPr>
        <w:spacing w:after="0" w:line="300" w:lineRule="atLeast"/>
        <w:rPr>
          <w:rFonts w:ascii="Verdana" w:hAnsi="Verdana" w:eastAsia="Times New Roman" w:cs="Segoe UI"/>
          <w:sz w:val="24"/>
          <w:szCs w:val="24"/>
          <w:lang w:eastAsia="en-GB"/>
        </w:rPr>
      </w:pPr>
      <w:r w:rsidRPr="00537B35">
        <w:rPr>
          <w:rFonts w:ascii="Verdana" w:hAnsi="Verdana" w:eastAsia="Times New Roman" w:cs="Segoe UI"/>
          <w:sz w:val="24"/>
          <w:szCs w:val="24"/>
          <w:lang w:eastAsia="en-GB"/>
        </w:rPr>
        <w:t xml:space="preserve">In conclusion, there is clear evidence that SBUHB is aware of the risk of digital ageism and has taken meaningful steps to respond. However, further improvements are required to ensure equitable digital transformation. </w:t>
      </w:r>
    </w:p>
    <w:p w:rsidR="003351D1" w:rsidP="003351D1" w:rsidRDefault="003351D1" w14:paraId="02D0B7F1" w14:textId="77777777">
      <w:pPr>
        <w:spacing w:after="0" w:line="300" w:lineRule="atLeast"/>
        <w:rPr>
          <w:rFonts w:ascii="Verdana" w:hAnsi="Verdana" w:eastAsia="Times New Roman" w:cs="Segoe UI"/>
          <w:sz w:val="24"/>
          <w:szCs w:val="24"/>
          <w:lang w:eastAsia="en-GB"/>
        </w:rPr>
      </w:pPr>
    </w:p>
    <w:p w:rsidRPr="000C2B31" w:rsidR="000C2B31" w:rsidP="003351D1" w:rsidRDefault="0020592A" w14:paraId="7E938485" w14:textId="3C10310E">
      <w:pPr>
        <w:spacing w:after="0" w:line="300" w:lineRule="atLeast"/>
        <w:rPr>
          <w:rFonts w:ascii="Verdana" w:hAnsi="Verdana" w:eastAsia="Times New Roman" w:cs="Segoe UI"/>
          <w:b/>
          <w:bCs/>
          <w:sz w:val="24"/>
          <w:szCs w:val="24"/>
          <w:lang w:eastAsia="en-GB"/>
        </w:rPr>
      </w:pPr>
      <w:r>
        <w:rPr>
          <w:rFonts w:ascii="Verdana" w:hAnsi="Verdana" w:eastAsia="Times New Roman" w:cs="Segoe UI"/>
          <w:b/>
          <w:bCs/>
          <w:sz w:val="24"/>
          <w:szCs w:val="24"/>
          <w:lang w:eastAsia="en-GB"/>
        </w:rPr>
        <w:t>Members are</w:t>
      </w:r>
      <w:r w:rsidRPr="000C2B31" w:rsidR="003351D1">
        <w:rPr>
          <w:rFonts w:ascii="Verdana" w:hAnsi="Verdana" w:eastAsia="Times New Roman" w:cs="Segoe UI"/>
          <w:b/>
          <w:bCs/>
          <w:sz w:val="24"/>
          <w:szCs w:val="24"/>
          <w:lang w:eastAsia="en-GB"/>
        </w:rPr>
        <w:t xml:space="preserve"> </w:t>
      </w:r>
      <w:r w:rsidRPr="000C2B31" w:rsidR="003351D1">
        <w:rPr>
          <w:rFonts w:ascii="Verdana" w:hAnsi="Verdana" w:eastAsia="Times New Roman" w:cs="Segoe UI"/>
          <w:b/>
          <w:bCs/>
          <w:sz w:val="24"/>
          <w:szCs w:val="24"/>
          <w:lang w:eastAsia="en-GB"/>
        </w:rPr>
        <w:t xml:space="preserve">asked </w:t>
      </w:r>
      <w:r w:rsidRPr="000C2B31" w:rsidR="003351D1">
        <w:rPr>
          <w:rFonts w:ascii="Verdana" w:hAnsi="Verdana" w:eastAsia="Times New Roman" w:cs="Segoe UI"/>
          <w:b/>
          <w:bCs/>
          <w:sz w:val="24"/>
          <w:szCs w:val="24"/>
          <w:lang w:eastAsia="en-GB"/>
        </w:rPr>
        <w:t>to</w:t>
      </w:r>
      <w:r w:rsidRPr="000C2B31" w:rsidR="000C2B31">
        <w:rPr>
          <w:rFonts w:ascii="Verdana" w:hAnsi="Verdana" w:eastAsia="Times New Roman" w:cs="Segoe UI"/>
          <w:b/>
          <w:bCs/>
          <w:sz w:val="24"/>
          <w:szCs w:val="24"/>
          <w:lang w:eastAsia="en-GB"/>
        </w:rPr>
        <w:t>:</w:t>
      </w:r>
    </w:p>
    <w:p w:rsidR="000C2B31" w:rsidP="003351D1" w:rsidRDefault="000C2B31" w14:paraId="1D563539" w14:textId="77777777">
      <w:pPr>
        <w:spacing w:after="0" w:line="300" w:lineRule="atLeast"/>
        <w:rPr>
          <w:rFonts w:ascii="Verdana" w:hAnsi="Verdana" w:eastAsia="Times New Roman" w:cs="Segoe UI"/>
          <w:sz w:val="24"/>
          <w:szCs w:val="24"/>
          <w:lang w:eastAsia="en-GB"/>
        </w:rPr>
      </w:pPr>
    </w:p>
    <w:p w:rsidR="000C2B31" w:rsidP="000C2B31" w:rsidRDefault="003351D1" w14:paraId="2DE7C927" w14:textId="301CAE9E">
      <w:pPr>
        <w:pStyle w:val="ListParagraph"/>
        <w:numPr>
          <w:ilvl w:val="0"/>
          <w:numId w:val="14"/>
        </w:numPr>
        <w:spacing w:after="0" w:line="300" w:lineRule="atLeast"/>
        <w:rPr>
          <w:rFonts w:ascii="Verdana" w:hAnsi="Verdana" w:eastAsia="Times New Roman" w:cs="Segoe UI"/>
          <w:sz w:val="24"/>
          <w:szCs w:val="24"/>
          <w:lang w:eastAsia="en-GB"/>
        </w:rPr>
      </w:pPr>
      <w:r w:rsidRPr="000C2B31">
        <w:rPr>
          <w:rFonts w:ascii="Verdana" w:hAnsi="Verdana" w:eastAsia="Times New Roman" w:cs="Segoe UI"/>
          <w:sz w:val="24"/>
          <w:szCs w:val="24"/>
          <w:lang w:eastAsia="en-GB"/>
        </w:rPr>
        <w:t>endorse</w:t>
      </w:r>
      <w:r w:rsidRPr="000C2B31">
        <w:rPr>
          <w:rFonts w:ascii="Verdana" w:hAnsi="Verdana" w:eastAsia="Times New Roman" w:cs="Segoe UI"/>
          <w:sz w:val="24"/>
          <w:szCs w:val="24"/>
          <w:lang w:eastAsia="en-GB"/>
        </w:rPr>
        <w:t xml:space="preserve"> the content of this assurance paper</w:t>
      </w:r>
    </w:p>
    <w:p w:rsidRPr="000C2B31" w:rsidR="003351D1" w:rsidP="000C2B31" w:rsidRDefault="003351D1" w14:paraId="1C2D5864" w14:textId="4446BC82">
      <w:pPr>
        <w:pStyle w:val="ListParagraph"/>
        <w:numPr>
          <w:ilvl w:val="0"/>
          <w:numId w:val="14"/>
        </w:numPr>
        <w:spacing w:after="0" w:line="300" w:lineRule="atLeast"/>
        <w:rPr>
          <w:rFonts w:ascii="Verdana" w:hAnsi="Verdana" w:eastAsia="Times New Roman" w:cs="Segoe UI"/>
          <w:sz w:val="24"/>
          <w:szCs w:val="24"/>
          <w:lang w:eastAsia="en-GB"/>
        </w:rPr>
      </w:pPr>
      <w:r w:rsidRPr="000C2B31">
        <w:rPr>
          <w:rFonts w:ascii="Verdana" w:hAnsi="Verdana" w:eastAsia="Times New Roman" w:cs="Segoe UI"/>
          <w:sz w:val="24"/>
          <w:szCs w:val="24"/>
          <w:lang w:eastAsia="en-GB"/>
        </w:rPr>
        <w:t>endorse the recommendations for action and request a follow</w:t>
      </w:r>
      <w:r w:rsidRPr="000C2B31">
        <w:rPr>
          <w:rFonts w:ascii="Verdana" w:hAnsi="Verdana" w:eastAsia="Times New Roman" w:cs="Segoe UI"/>
          <w:sz w:val="24"/>
          <w:szCs w:val="24"/>
          <w:lang w:eastAsia="en-GB"/>
        </w:rPr>
        <w:noBreakHyphen/>
        <w:t xml:space="preserve">up paper within </w:t>
      </w:r>
      <w:r w:rsidR="000C320C">
        <w:rPr>
          <w:rFonts w:ascii="Verdana" w:hAnsi="Verdana" w:eastAsia="Times New Roman" w:cs="Segoe UI"/>
          <w:sz w:val="24"/>
          <w:szCs w:val="24"/>
          <w:lang w:eastAsia="en-GB"/>
        </w:rPr>
        <w:t>twelve</w:t>
      </w:r>
      <w:r w:rsidRPr="000C2B31">
        <w:rPr>
          <w:rFonts w:ascii="Verdana" w:hAnsi="Verdana" w:eastAsia="Times New Roman" w:cs="Segoe UI"/>
          <w:sz w:val="24"/>
          <w:szCs w:val="24"/>
          <w:lang w:eastAsia="en-GB"/>
        </w:rPr>
        <w:t xml:space="preserve"> months that presents measurable progress</w:t>
      </w:r>
      <w:r w:rsidR="005F065D">
        <w:rPr>
          <w:rFonts w:ascii="Verdana" w:hAnsi="Verdana" w:eastAsia="Times New Roman" w:cs="Segoe UI"/>
          <w:sz w:val="24"/>
          <w:szCs w:val="24"/>
          <w:lang w:eastAsia="en-GB"/>
        </w:rPr>
        <w:t xml:space="preserve"> against the Health Board specific </w:t>
      </w:r>
      <w:r w:rsidR="009868E4">
        <w:rPr>
          <w:rFonts w:ascii="Verdana" w:hAnsi="Verdana" w:eastAsia="Times New Roman" w:cs="Segoe UI"/>
          <w:sz w:val="24"/>
          <w:szCs w:val="24"/>
          <w:lang w:eastAsia="en-GB"/>
        </w:rPr>
        <w:t>actions</w:t>
      </w:r>
      <w:r w:rsidR="005F065D">
        <w:rPr>
          <w:rFonts w:ascii="Verdana" w:hAnsi="Verdana" w:eastAsia="Times New Roman" w:cs="Segoe UI"/>
          <w:sz w:val="24"/>
          <w:szCs w:val="24"/>
          <w:lang w:eastAsia="en-GB"/>
        </w:rPr>
        <w:t xml:space="preserve"> outlined above</w:t>
      </w:r>
    </w:p>
    <w:p w:rsidR="003351D1" w:rsidP="003351D1" w:rsidRDefault="003351D1" w14:paraId="12A4C4E2" w14:textId="77777777">
      <w:pPr>
        <w:spacing w:after="0" w:line="300" w:lineRule="atLeast"/>
        <w:rPr>
          <w:rFonts w:ascii="Verdana" w:hAnsi="Verdana" w:eastAsia="Times New Roman" w:cs="Segoe UI"/>
          <w:sz w:val="24"/>
          <w:szCs w:val="24"/>
          <w:lang w:eastAsia="en-GB"/>
        </w:rPr>
      </w:pPr>
    </w:p>
    <w:p w:rsidR="003351D1" w:rsidP="00C25331" w:rsidRDefault="003351D1" w14:paraId="60AFDC25" w14:textId="77777777">
      <w:pPr>
        <w:spacing w:after="0" w:line="240" w:lineRule="auto"/>
        <w:rPr>
          <w:rFonts w:ascii="Verdana" w:hAnsi="Verdana" w:cs="Arial"/>
          <w:bCs/>
          <w:sz w:val="24"/>
          <w:szCs w:val="24"/>
        </w:rPr>
      </w:pPr>
    </w:p>
    <w:p w:rsidRPr="00746B46" w:rsidR="003351D1" w:rsidP="00C25331" w:rsidRDefault="003351D1" w14:paraId="624B89D9" w14:textId="77777777">
      <w:pPr>
        <w:spacing w:after="0" w:line="240" w:lineRule="auto"/>
        <w:rPr>
          <w:rFonts w:ascii="Verdana" w:hAnsi="Verdana" w:cs="Arial"/>
          <w:b/>
          <w:sz w:val="24"/>
          <w:szCs w:val="24"/>
        </w:rPr>
      </w:pPr>
    </w:p>
    <w:p w:rsidRPr="00F8567E" w:rsidR="00C33A04" w:rsidP="00653AEC" w:rsidRDefault="00C33A04" w14:paraId="6D29042C" w14:textId="77777777">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lastRenderedPageBreak/>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00F86B68" w:rsidP="005A602F" w:rsidRDefault="00F86B68" w14:paraId="35D2DF96" w14:textId="77777777">
            <w:pPr>
              <w:pStyle w:val="ListParagraph"/>
              <w:numPr>
                <w:ilvl w:val="0"/>
                <w:numId w:val="14"/>
              </w:numPr>
              <w:rPr>
                <w:rFonts w:ascii="Verdana" w:hAnsi="Verdana" w:cs="Arial"/>
                <w:sz w:val="24"/>
                <w:szCs w:val="24"/>
              </w:rPr>
            </w:pPr>
            <w:r w:rsidRPr="00F86B68">
              <w:rPr>
                <w:rFonts w:ascii="Verdana" w:hAnsi="Verdana" w:cs="Arial"/>
                <w:sz w:val="24"/>
                <w:szCs w:val="24"/>
              </w:rPr>
              <w:t xml:space="preserve">Strengthens equitable access by ensuring older adults are not disadvantaged as services become more digital. </w:t>
            </w:r>
          </w:p>
          <w:p w:rsidR="00F86B68" w:rsidP="00B33424" w:rsidRDefault="00F86B68" w14:paraId="722E2582" w14:textId="77777777">
            <w:pPr>
              <w:pStyle w:val="ListParagraph"/>
              <w:numPr>
                <w:ilvl w:val="0"/>
                <w:numId w:val="14"/>
              </w:numPr>
              <w:rPr>
                <w:rFonts w:ascii="Verdana" w:hAnsi="Verdana" w:cs="Arial"/>
                <w:sz w:val="24"/>
                <w:szCs w:val="24"/>
              </w:rPr>
            </w:pPr>
            <w:r w:rsidRPr="00F86B68">
              <w:rPr>
                <w:rFonts w:ascii="Verdana" w:hAnsi="Verdana" w:cs="Arial"/>
                <w:sz w:val="24"/>
                <w:szCs w:val="24"/>
              </w:rPr>
              <w:t>Reduces risks of exclusion</w:t>
            </w:r>
            <w:r w:rsidRPr="00F86B68">
              <w:rPr>
                <w:rFonts w:ascii="Verdana" w:hAnsi="Verdana" w:cs="Arial"/>
                <w:sz w:val="24"/>
                <w:szCs w:val="24"/>
              </w:rPr>
              <w:noBreakHyphen/>
              <w:t>related harm through maintained non</w:t>
            </w:r>
            <w:r w:rsidRPr="00F86B68">
              <w:rPr>
                <w:rFonts w:ascii="Verdana" w:hAnsi="Verdana" w:cs="Arial"/>
                <w:sz w:val="24"/>
                <w:szCs w:val="24"/>
              </w:rPr>
              <w:noBreakHyphen/>
              <w:t xml:space="preserve">digital options and improved accessibility standards. </w:t>
            </w:r>
          </w:p>
          <w:p w:rsidR="00F86B68" w:rsidP="0079097E" w:rsidRDefault="00F86B68" w14:paraId="1712D656" w14:textId="77777777">
            <w:pPr>
              <w:pStyle w:val="ListParagraph"/>
              <w:numPr>
                <w:ilvl w:val="0"/>
                <w:numId w:val="14"/>
              </w:numPr>
              <w:rPr>
                <w:rFonts w:ascii="Verdana" w:hAnsi="Verdana" w:cs="Arial"/>
                <w:sz w:val="24"/>
                <w:szCs w:val="24"/>
              </w:rPr>
            </w:pPr>
            <w:r w:rsidRPr="00F86B68">
              <w:rPr>
                <w:rFonts w:ascii="Verdana" w:hAnsi="Verdana" w:cs="Arial"/>
                <w:sz w:val="24"/>
                <w:szCs w:val="24"/>
              </w:rPr>
              <w:t xml:space="preserve">Enhances patient confidence and experience by promoting clearer, more inclusive communication and service design. </w:t>
            </w:r>
          </w:p>
          <w:p w:rsidR="007E3A45" w:rsidP="0054078C" w:rsidRDefault="00F86B68" w14:paraId="58F4ACEB" w14:textId="77777777">
            <w:pPr>
              <w:pStyle w:val="ListParagraph"/>
              <w:numPr>
                <w:ilvl w:val="0"/>
                <w:numId w:val="14"/>
              </w:numPr>
              <w:rPr>
                <w:rFonts w:ascii="Verdana" w:hAnsi="Verdana" w:cs="Arial"/>
                <w:sz w:val="24"/>
                <w:szCs w:val="24"/>
              </w:rPr>
            </w:pPr>
            <w:r w:rsidRPr="00F86B68">
              <w:rPr>
                <w:rFonts w:ascii="Verdana" w:hAnsi="Verdana" w:cs="Arial"/>
                <w:sz w:val="24"/>
                <w:szCs w:val="24"/>
              </w:rPr>
              <w:t xml:space="preserve">Supports safer care by identifying and addressing barriers that could prevent older people from receiving timely information or engaging with services. </w:t>
            </w:r>
          </w:p>
          <w:p w:rsidRPr="00F86B68" w:rsidR="00F86B68" w:rsidP="0054078C" w:rsidRDefault="00F86B68" w14:paraId="1BB41E8B" w14:textId="15CF9E32">
            <w:pPr>
              <w:pStyle w:val="ListParagraph"/>
              <w:numPr>
                <w:ilvl w:val="0"/>
                <w:numId w:val="14"/>
              </w:numPr>
              <w:rPr>
                <w:rFonts w:ascii="Verdana" w:hAnsi="Verdana" w:cs="Arial"/>
                <w:sz w:val="24"/>
                <w:szCs w:val="24"/>
              </w:rPr>
            </w:pPr>
            <w:r w:rsidRPr="00F86B68">
              <w:rPr>
                <w:rFonts w:ascii="Verdana" w:hAnsi="Verdana" w:cs="Arial"/>
                <w:sz w:val="24"/>
                <w:szCs w:val="24"/>
              </w:rPr>
              <w:t>Improves overall quality by embedding person</w:t>
            </w:r>
            <w:r w:rsidRPr="00F86B68">
              <w:rPr>
                <w:rFonts w:ascii="Verdana" w:hAnsi="Verdana" w:cs="Arial"/>
                <w:sz w:val="24"/>
                <w:szCs w:val="24"/>
              </w:rPr>
              <w:noBreakHyphen/>
              <w:t>centred, age</w:t>
            </w:r>
            <w:r w:rsidRPr="00F86B68">
              <w:rPr>
                <w:rFonts w:ascii="Verdana" w:hAnsi="Verdana" w:cs="Arial"/>
                <w:sz w:val="24"/>
                <w:szCs w:val="24"/>
              </w:rPr>
              <w:noBreakHyphen/>
              <w:t>positive principles in digital transformation efforts.</w:t>
            </w:r>
          </w:p>
          <w:p w:rsidRPr="00F86B68" w:rsidR="00F5324A" w:rsidP="00653AEC" w:rsidRDefault="00F5324A" w14:paraId="6D29047F" w14:textId="77777777">
            <w:pPr>
              <w:jc w:val="center"/>
              <w:rPr>
                <w:rFonts w:ascii="Verdana" w:hAnsi="Verdana" w:cs="Arial"/>
                <w:b/>
                <w:sz w:val="24"/>
                <w:szCs w:val="24"/>
              </w:rPr>
            </w:pP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007E3A45" w:rsidP="007E3A45" w:rsidRDefault="007E3A45" w14:paraId="5E130156" w14:textId="77777777">
            <w:pPr>
              <w:rPr>
                <w:rFonts w:ascii="Verdana" w:hAnsi="Verdana" w:cs="Arial"/>
                <w:bCs/>
                <w:sz w:val="24"/>
                <w:szCs w:val="24"/>
              </w:rPr>
            </w:pPr>
          </w:p>
          <w:p w:rsidRPr="00A21A4B" w:rsidR="007E3A45" w:rsidP="007E3A45" w:rsidRDefault="007E3A45" w14:paraId="1A272300" w14:textId="77777777">
            <w:pPr>
              <w:rPr>
                <w:rFonts w:ascii="Verdana" w:hAnsi="Verdana" w:cs="Arial"/>
                <w:bCs/>
                <w:sz w:val="24"/>
                <w:szCs w:val="24"/>
              </w:rPr>
            </w:pPr>
            <w:r w:rsidRPr="00A21A4B">
              <w:rPr>
                <w:rFonts w:ascii="Verdana" w:hAnsi="Verdana" w:cs="Arial"/>
                <w:bCs/>
                <w:sz w:val="24"/>
                <w:szCs w:val="24"/>
              </w:rPr>
              <w:t xml:space="preserve">There are no direct financial implications associated with this paper. </w:t>
            </w:r>
          </w:p>
          <w:p w:rsidRPr="00F8567E" w:rsidR="00653AEC" w:rsidP="00653AEC" w:rsidRDefault="00653AEC" w14:paraId="6D290484" w14:textId="77777777">
            <w:pPr>
              <w:ind w:right="96"/>
              <w:rPr>
                <w:rFonts w:ascii="Verdana" w:hAnsi="Verdana" w:cs="Arial"/>
                <w:color w:val="FF0000"/>
                <w:sz w:val="24"/>
                <w:szCs w:val="24"/>
              </w:rPr>
            </w:pPr>
          </w:p>
          <w:p w:rsidRPr="00F8567E" w:rsidR="00F5324A" w:rsidP="007E3A45" w:rsidRDefault="00F5324A" w14:paraId="6D290486" w14:textId="77777777">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Pr="00F8567E" w:rsidR="00F5324A" w:rsidTr="00C95B3C" w14:paraId="6D29048C" w14:textId="77777777">
        <w:tc>
          <w:tcPr>
            <w:tcW w:w="9245" w:type="dxa"/>
            <w:gridSpan w:val="4"/>
          </w:tcPr>
          <w:p w:rsidR="00E91235" w:rsidP="009C55E9" w:rsidRDefault="00E91235" w14:paraId="09C1FD59" w14:textId="77777777">
            <w:pPr>
              <w:pStyle w:val="ListParagraph"/>
              <w:numPr>
                <w:ilvl w:val="0"/>
                <w:numId w:val="14"/>
              </w:numPr>
              <w:ind w:right="96"/>
              <w:rPr>
                <w:rFonts w:ascii="Verdana" w:hAnsi="Verdana" w:cs="Arial"/>
                <w:sz w:val="24"/>
                <w:szCs w:val="24"/>
              </w:rPr>
            </w:pPr>
            <w:r w:rsidRPr="00E91235">
              <w:rPr>
                <w:rFonts w:ascii="Verdana" w:hAnsi="Verdana" w:cs="Arial"/>
                <w:sz w:val="24"/>
                <w:szCs w:val="24"/>
              </w:rPr>
              <w:t>By improving accessibility standards and maintaining non</w:t>
            </w:r>
            <w:r w:rsidRPr="00E91235">
              <w:rPr>
                <w:rFonts w:ascii="Verdana" w:hAnsi="Verdana" w:cs="Arial"/>
                <w:sz w:val="24"/>
                <w:szCs w:val="24"/>
              </w:rPr>
              <w:noBreakHyphen/>
              <w:t>digital routes, the proposals help mitigate potential equality</w:t>
            </w:r>
            <w:r w:rsidRPr="00E91235">
              <w:rPr>
                <w:rFonts w:ascii="Verdana" w:hAnsi="Verdana" w:cs="Arial"/>
                <w:sz w:val="24"/>
                <w:szCs w:val="24"/>
              </w:rPr>
              <w:noBreakHyphen/>
              <w:t xml:space="preserve">related risks and support compliance with statutory duties under equality legislation. </w:t>
            </w:r>
          </w:p>
          <w:p w:rsidRPr="00E91235" w:rsidR="00E91235" w:rsidP="009C55E9" w:rsidRDefault="00E91235" w14:paraId="739EE87D" w14:textId="536CA34F">
            <w:pPr>
              <w:pStyle w:val="ListParagraph"/>
              <w:numPr>
                <w:ilvl w:val="0"/>
                <w:numId w:val="14"/>
              </w:numPr>
              <w:ind w:right="96"/>
              <w:rPr>
                <w:rFonts w:ascii="Verdana" w:hAnsi="Verdana" w:cs="Arial"/>
                <w:sz w:val="24"/>
                <w:szCs w:val="24"/>
              </w:rPr>
            </w:pPr>
            <w:r w:rsidRPr="00E91235">
              <w:rPr>
                <w:rFonts w:ascii="Verdana" w:hAnsi="Verdana" w:cs="Arial"/>
                <w:sz w:val="24"/>
                <w:szCs w:val="24"/>
              </w:rPr>
              <w:t>Legal considerations also include ensuring that any changes to digital services, communication methods, or accessibility standards meet regulatory requirements around information provision, patient rights and inclusive service delivery.</w:t>
            </w:r>
          </w:p>
          <w:p w:rsidRPr="00F8567E" w:rsidR="00F5324A" w:rsidP="00F5324A" w:rsidRDefault="00F5324A" w14:paraId="6D29048B" w14:textId="77777777">
            <w:pPr>
              <w:ind w:right="96"/>
              <w:rPr>
                <w:rFonts w:ascii="Verdana" w:hAnsi="Verdana" w:cs="Arial"/>
                <w:color w:val="FF0000"/>
                <w:sz w:val="24"/>
                <w:szCs w:val="24"/>
              </w:rPr>
            </w:pP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5D7F30" w:rsidR="005D7F30" w:rsidP="005D7F30" w:rsidRDefault="005D7F30" w14:paraId="0E53DE52" w14:textId="663DDD88">
            <w:pPr>
              <w:pStyle w:val="ListParagraph"/>
              <w:numPr>
                <w:ilvl w:val="0"/>
                <w:numId w:val="14"/>
              </w:numPr>
              <w:ind w:right="96"/>
              <w:rPr>
                <w:rFonts w:ascii="Verdana" w:hAnsi="Verdana" w:cs="Arial"/>
                <w:sz w:val="24"/>
                <w:szCs w:val="24"/>
              </w:rPr>
            </w:pPr>
            <w:r w:rsidRPr="005D7F30">
              <w:rPr>
                <w:rFonts w:ascii="Verdana" w:hAnsi="Verdana" w:cs="Arial"/>
                <w:sz w:val="24"/>
                <w:szCs w:val="24"/>
              </w:rPr>
              <w:t>As digital systems evolve, there may be a requirement for specialist roles or expanded responsibilities to oversee accessibility compliance and monitor digital exclusion risks among older adults.</w:t>
            </w:r>
          </w:p>
          <w:p w:rsidRPr="005D7F30" w:rsidR="00F5324A" w:rsidP="00762BBE" w:rsidRDefault="00F5324A" w14:paraId="6D290490" w14:textId="77777777">
            <w:pPr>
              <w:ind w:right="96"/>
              <w:rPr>
                <w:rFonts w:ascii="Verdana" w:hAnsi="Verdana" w:cs="Arial"/>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6264E0" w:rsidR="00191E4A" w:rsidP="00191E4A" w:rsidRDefault="00191E4A" w14:paraId="2BE932D6" w14:textId="77777777">
            <w:pPr>
              <w:pStyle w:val="ListParagraph"/>
              <w:numPr>
                <w:ilvl w:val="0"/>
                <w:numId w:val="14"/>
              </w:numPr>
              <w:ind w:right="96"/>
              <w:rPr>
                <w:rFonts w:ascii="Verdana" w:hAnsi="Verdana" w:cs="Arial"/>
                <w:sz w:val="24"/>
                <w:szCs w:val="24"/>
              </w:rPr>
            </w:pPr>
            <w:r w:rsidRPr="006264E0">
              <w:rPr>
                <w:rFonts w:ascii="Verdana" w:hAnsi="Verdana" w:cs="Arial"/>
                <w:b/>
                <w:bCs/>
                <w:sz w:val="24"/>
                <w:szCs w:val="24"/>
              </w:rPr>
              <w:t>Long</w:t>
            </w:r>
            <w:r w:rsidRPr="006264E0">
              <w:rPr>
                <w:rFonts w:ascii="Verdana" w:hAnsi="Verdana" w:cs="Arial"/>
                <w:b/>
                <w:bCs/>
                <w:sz w:val="24"/>
                <w:szCs w:val="24"/>
              </w:rPr>
              <w:noBreakHyphen/>
              <w:t>term</w:t>
            </w:r>
            <w:r w:rsidRPr="006264E0">
              <w:rPr>
                <w:rFonts w:ascii="Verdana" w:hAnsi="Verdana" w:cs="Arial"/>
                <w:sz w:val="24"/>
                <w:szCs w:val="24"/>
              </w:rPr>
              <w:t xml:space="preserve"> – By reducing digital ageism and ensuring older adults can continue to access services through both digital and non</w:t>
            </w:r>
            <w:r w:rsidRPr="006264E0">
              <w:rPr>
                <w:rFonts w:ascii="Verdana" w:hAnsi="Verdana" w:cs="Arial"/>
                <w:sz w:val="24"/>
                <w:szCs w:val="24"/>
              </w:rPr>
              <w:noBreakHyphen/>
              <w:t xml:space="preserve">digital routes, the proposal supports sustainable, inclusive service models that remain accessible as the population ages. </w:t>
            </w:r>
          </w:p>
          <w:p w:rsidRPr="006264E0" w:rsidR="00191E4A" w:rsidP="00191E4A" w:rsidRDefault="00191E4A" w14:paraId="2C500878" w14:textId="77777777">
            <w:pPr>
              <w:pStyle w:val="ListParagraph"/>
              <w:numPr>
                <w:ilvl w:val="0"/>
                <w:numId w:val="14"/>
              </w:numPr>
              <w:ind w:right="96"/>
              <w:rPr>
                <w:rFonts w:ascii="Verdana" w:hAnsi="Verdana" w:cs="Arial"/>
                <w:sz w:val="24"/>
                <w:szCs w:val="24"/>
              </w:rPr>
            </w:pPr>
            <w:r w:rsidRPr="006264E0">
              <w:rPr>
                <w:rFonts w:ascii="Verdana" w:hAnsi="Verdana" w:cs="Arial"/>
                <w:b/>
                <w:bCs/>
                <w:sz w:val="24"/>
                <w:szCs w:val="24"/>
              </w:rPr>
              <w:t>Prevention</w:t>
            </w:r>
            <w:r w:rsidRPr="006264E0">
              <w:rPr>
                <w:rFonts w:ascii="Verdana" w:hAnsi="Verdana" w:cs="Arial"/>
                <w:sz w:val="24"/>
                <w:szCs w:val="24"/>
              </w:rPr>
              <w:t xml:space="preserve"> – Strengthening accessibility standards and monitoring digital exclusion helps prevent harm caused by inaccessible systems and reduces risks of individuals being unable to access timely care. </w:t>
            </w:r>
          </w:p>
          <w:p w:rsidRPr="006264E0" w:rsidR="00191E4A" w:rsidP="00191E4A" w:rsidRDefault="00191E4A" w14:paraId="1561BD70" w14:textId="77777777">
            <w:pPr>
              <w:pStyle w:val="ListParagraph"/>
              <w:numPr>
                <w:ilvl w:val="0"/>
                <w:numId w:val="14"/>
              </w:numPr>
              <w:ind w:right="96"/>
              <w:rPr>
                <w:rFonts w:ascii="Verdana" w:hAnsi="Verdana" w:cs="Arial"/>
                <w:sz w:val="24"/>
                <w:szCs w:val="24"/>
              </w:rPr>
            </w:pPr>
            <w:r w:rsidRPr="006264E0">
              <w:rPr>
                <w:rFonts w:ascii="Verdana" w:hAnsi="Verdana" w:cs="Arial"/>
                <w:b/>
                <w:bCs/>
                <w:sz w:val="24"/>
                <w:szCs w:val="24"/>
              </w:rPr>
              <w:t>Integration</w:t>
            </w:r>
            <w:r w:rsidRPr="006264E0">
              <w:rPr>
                <w:rFonts w:ascii="Verdana" w:hAnsi="Verdana" w:cs="Arial"/>
                <w:sz w:val="24"/>
                <w:szCs w:val="24"/>
              </w:rPr>
              <w:t xml:space="preserve"> – The recommendations align with wider national priorities around digital inclusion, equality, and patient rights, helping embed these principles across SBUHB’s digital transformation work. </w:t>
            </w:r>
          </w:p>
          <w:p w:rsidRPr="006264E0" w:rsidR="00191E4A" w:rsidP="00191E4A" w:rsidRDefault="00191E4A" w14:paraId="61AD1CFF" w14:textId="77777777">
            <w:pPr>
              <w:pStyle w:val="ListParagraph"/>
              <w:numPr>
                <w:ilvl w:val="0"/>
                <w:numId w:val="14"/>
              </w:numPr>
              <w:ind w:right="96"/>
              <w:rPr>
                <w:rFonts w:ascii="Verdana" w:hAnsi="Verdana" w:cs="Arial"/>
                <w:sz w:val="24"/>
                <w:szCs w:val="24"/>
              </w:rPr>
            </w:pPr>
            <w:r w:rsidRPr="006264E0">
              <w:rPr>
                <w:rFonts w:ascii="Verdana" w:hAnsi="Verdana" w:cs="Arial"/>
                <w:b/>
                <w:bCs/>
                <w:sz w:val="24"/>
                <w:szCs w:val="24"/>
              </w:rPr>
              <w:t>Collaboration</w:t>
            </w:r>
            <w:r w:rsidRPr="006264E0">
              <w:rPr>
                <w:rFonts w:ascii="Verdana" w:hAnsi="Verdana" w:cs="Arial"/>
                <w:sz w:val="24"/>
                <w:szCs w:val="24"/>
              </w:rPr>
              <w:t xml:space="preserve"> – The proposal reinforces partnership working with Digital Communities Wales, local authorities, the Older People’s Commissioner and other stakeholders to address digital exclusion collectively. </w:t>
            </w:r>
          </w:p>
          <w:p w:rsidRPr="006264E0" w:rsidR="00191E4A" w:rsidP="00191E4A" w:rsidRDefault="00191E4A" w14:paraId="493E3C07" w14:textId="77777777">
            <w:pPr>
              <w:pStyle w:val="ListParagraph"/>
              <w:numPr>
                <w:ilvl w:val="0"/>
                <w:numId w:val="14"/>
              </w:numPr>
              <w:ind w:right="96"/>
              <w:rPr>
                <w:rFonts w:ascii="Verdana" w:hAnsi="Verdana" w:cs="Arial"/>
                <w:sz w:val="24"/>
                <w:szCs w:val="24"/>
              </w:rPr>
            </w:pPr>
            <w:r w:rsidRPr="006264E0">
              <w:rPr>
                <w:rFonts w:ascii="Verdana" w:hAnsi="Verdana" w:cs="Arial"/>
                <w:b/>
                <w:bCs/>
                <w:sz w:val="24"/>
                <w:szCs w:val="24"/>
              </w:rPr>
              <w:t>Involvement</w:t>
            </w:r>
            <w:r w:rsidRPr="006264E0">
              <w:rPr>
                <w:rFonts w:ascii="Verdana" w:hAnsi="Verdana" w:cs="Arial"/>
                <w:sz w:val="24"/>
                <w:szCs w:val="24"/>
              </w:rPr>
              <w:t xml:space="preserve"> – Through maintaining multiple access routes and engaging with those at higher risk of exclusion, including older people, the recommendations support more inclusive service design and ensure diverse voices influence digital change.</w:t>
            </w:r>
          </w:p>
          <w:p w:rsidRPr="00F8567E" w:rsidR="00F5324A" w:rsidP="00F5324A" w:rsidRDefault="00F5324A" w14:paraId="6D290495" w14:textId="77777777">
            <w:pPr>
              <w:ind w:right="96"/>
              <w:rPr>
                <w:rFonts w:ascii="Verdana" w:hAnsi="Verdana" w:cs="Arial"/>
                <w:color w:val="FF0000"/>
                <w:sz w:val="24"/>
                <w:szCs w:val="24"/>
              </w:rPr>
            </w:pP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F8567E" w:rsidR="00653AEC" w:rsidP="00653AEC" w:rsidRDefault="00653AEC" w14:paraId="6D290499" w14:textId="77777777">
            <w:pPr>
              <w:ind w:right="96"/>
              <w:rPr>
                <w:rFonts w:ascii="Verdana" w:hAnsi="Verdana" w:cs="Arial"/>
                <w:color w:val="FF0000"/>
                <w:sz w:val="24"/>
                <w:szCs w:val="24"/>
              </w:rPr>
            </w:pP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Pr="00191E4A" w:rsidR="00653AEC" w:rsidP="00653AEC" w:rsidRDefault="000705F1" w14:paraId="6D29049C" w14:textId="5773DFC8">
            <w:pPr>
              <w:ind w:right="96"/>
              <w:rPr>
                <w:rFonts w:ascii="Verdana" w:hAnsi="Verdana" w:cs="Arial"/>
                <w:sz w:val="24"/>
                <w:szCs w:val="24"/>
              </w:rPr>
            </w:pPr>
            <w:r w:rsidRPr="00191E4A">
              <w:rPr>
                <w:rFonts w:ascii="Verdana" w:hAnsi="Verdana" w:cs="Arial"/>
                <w:sz w:val="24"/>
                <w:szCs w:val="24"/>
              </w:rPr>
              <w:t xml:space="preserve">Appendix 1: </w:t>
            </w:r>
            <w:r w:rsidR="00191E4A">
              <w:rPr>
                <w:rFonts w:ascii="Verdana" w:hAnsi="Verdana" w:cs="Arial"/>
                <w:sz w:val="24"/>
                <w:szCs w:val="24"/>
              </w:rPr>
              <w:t>Exploring Digital Ageism</w:t>
            </w:r>
          </w:p>
          <w:p w:rsidRPr="00F8567E" w:rsidR="00653AEC" w:rsidP="00653AEC" w:rsidRDefault="00653AEC" w14:paraId="6D29049D" w14:textId="77777777">
            <w:pPr>
              <w:ind w:right="96"/>
              <w:rPr>
                <w:rFonts w:ascii="Verdana" w:hAnsi="Verdana" w:cs="Arial"/>
                <w:color w:val="FF0000"/>
                <w:sz w:val="24"/>
                <w:szCs w:val="24"/>
              </w:rPr>
            </w:pP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24F62" w:rsidP="00C107F2" w:rsidRDefault="00A24F62" w14:paraId="20EA8661" w14:textId="77777777">
      <w:pPr>
        <w:spacing w:after="0" w:line="240" w:lineRule="auto"/>
      </w:pPr>
      <w:r>
        <w:separator/>
      </w:r>
    </w:p>
  </w:endnote>
  <w:endnote w:type="continuationSeparator" w:id="0">
    <w:p w:rsidR="00A24F62" w:rsidP="00C107F2" w:rsidRDefault="00A24F62" w14:paraId="75C1434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07C1BDC">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D5134D" w14:paraId="6D2904A9" w14:textId="17F3B4DA">
    <w:pPr>
      <w:pStyle w:val="Footer"/>
      <w:jc w:val="right"/>
    </w:pPr>
    <w:r>
      <w:t>DDRI Committee</w:t>
    </w:r>
    <w:r w:rsidR="002B7C9A">
      <w:t xml:space="preserve"> – </w:t>
    </w:r>
    <w:r w:rsidR="005D3DF1">
      <w:t>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24F62" w:rsidP="00C107F2" w:rsidRDefault="00A24F62" w14:paraId="3536F025" w14:textId="77777777">
      <w:pPr>
        <w:spacing w:after="0" w:line="240" w:lineRule="auto"/>
      </w:pPr>
      <w:r>
        <w:separator/>
      </w:r>
    </w:p>
  </w:footnote>
  <w:footnote w:type="continuationSeparator" w:id="0">
    <w:p w:rsidR="00A24F62" w:rsidP="00C107F2" w:rsidRDefault="00A24F62" w14:paraId="1156510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33AE593">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92947"/>
    <w:multiLevelType w:val="hybridMultilevel"/>
    <w:tmpl w:val="61CE8C06"/>
    <w:lvl w:ilvl="0" w:tplc="4C6E83DE">
      <w:start w:val="6"/>
      <w:numFmt w:val="bullet"/>
      <w:lvlText w:val="-"/>
      <w:lvlJc w:val="left"/>
      <w:pPr>
        <w:ind w:left="720" w:hanging="360"/>
      </w:pPr>
      <w:rPr>
        <w:rFonts w:hint="default" w:ascii="Verdana" w:hAnsi="Verdana" w:eastAsia="Times New Roman" w:cs="Segoe U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7864A43"/>
    <w:multiLevelType w:val="hybridMultilevel"/>
    <w:tmpl w:val="57327B38"/>
    <w:lvl w:ilvl="0" w:tplc="63A6369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5FD2136"/>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D214998"/>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DA92382"/>
    <w:multiLevelType w:val="hybridMultilevel"/>
    <w:tmpl w:val="83049802"/>
    <w:lvl w:ilvl="0" w:tplc="2E04D802">
      <w:start w:val="6"/>
      <w:numFmt w:val="bullet"/>
      <w:lvlText w:val="-"/>
      <w:lvlJc w:val="left"/>
      <w:pPr>
        <w:ind w:left="360" w:hanging="360"/>
      </w:pPr>
      <w:rPr>
        <w:rFonts w:hint="default" w:ascii="Verdana" w:hAnsi="Verdana" w:cs="Arial"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5"/>
  </w:num>
  <w:num w:numId="5" w16cid:durableId="211239042">
    <w:abstractNumId w:val="3"/>
  </w:num>
  <w:num w:numId="6" w16cid:durableId="1874800944">
    <w:abstractNumId w:val="13"/>
  </w:num>
  <w:num w:numId="7" w16cid:durableId="263198079">
    <w:abstractNumId w:val="14"/>
  </w:num>
  <w:num w:numId="8" w16cid:durableId="1535070366">
    <w:abstractNumId w:val="10"/>
  </w:num>
  <w:num w:numId="9" w16cid:durableId="1823614381">
    <w:abstractNumId w:val="11"/>
  </w:num>
  <w:num w:numId="10" w16cid:durableId="875429971">
    <w:abstractNumId w:val="12"/>
  </w:num>
  <w:num w:numId="11" w16cid:durableId="1033769879">
    <w:abstractNumId w:val="4"/>
  </w:num>
  <w:num w:numId="12" w16cid:durableId="1247496894">
    <w:abstractNumId w:val="1"/>
  </w:num>
  <w:num w:numId="13" w16cid:durableId="301159249">
    <w:abstractNumId w:val="6"/>
  </w:num>
  <w:num w:numId="14" w16cid:durableId="2000691352">
    <w:abstractNumId w:val="0"/>
  </w:num>
  <w:num w:numId="15" w16cid:durableId="1161440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3105"/>
    <w:rsid w:val="000334D3"/>
    <w:rsid w:val="00034194"/>
    <w:rsid w:val="0003492D"/>
    <w:rsid w:val="00042089"/>
    <w:rsid w:val="00054F8C"/>
    <w:rsid w:val="000579F0"/>
    <w:rsid w:val="000705F1"/>
    <w:rsid w:val="00072580"/>
    <w:rsid w:val="00073A55"/>
    <w:rsid w:val="00083FC0"/>
    <w:rsid w:val="000A5B0D"/>
    <w:rsid w:val="000C2B31"/>
    <w:rsid w:val="000C320C"/>
    <w:rsid w:val="000D1CB7"/>
    <w:rsid w:val="000E3245"/>
    <w:rsid w:val="000F361B"/>
    <w:rsid w:val="00133EA1"/>
    <w:rsid w:val="0016096B"/>
    <w:rsid w:val="00184156"/>
    <w:rsid w:val="00191E4A"/>
    <w:rsid w:val="001C3ADB"/>
    <w:rsid w:val="001F424F"/>
    <w:rsid w:val="0020539A"/>
    <w:rsid w:val="0020592A"/>
    <w:rsid w:val="00233330"/>
    <w:rsid w:val="00241662"/>
    <w:rsid w:val="002518B7"/>
    <w:rsid w:val="00272BD5"/>
    <w:rsid w:val="00274DCA"/>
    <w:rsid w:val="00275843"/>
    <w:rsid w:val="00275FFF"/>
    <w:rsid w:val="00285A8F"/>
    <w:rsid w:val="002950FF"/>
    <w:rsid w:val="00296CD9"/>
    <w:rsid w:val="002B7C9A"/>
    <w:rsid w:val="002C3C83"/>
    <w:rsid w:val="002C3DD6"/>
    <w:rsid w:val="002D5078"/>
    <w:rsid w:val="00315262"/>
    <w:rsid w:val="0032747D"/>
    <w:rsid w:val="003324CB"/>
    <w:rsid w:val="00333A3B"/>
    <w:rsid w:val="003351D1"/>
    <w:rsid w:val="00354FCD"/>
    <w:rsid w:val="003726A0"/>
    <w:rsid w:val="003C0FF8"/>
    <w:rsid w:val="00414894"/>
    <w:rsid w:val="00424A23"/>
    <w:rsid w:val="00456B7F"/>
    <w:rsid w:val="00461835"/>
    <w:rsid w:val="004662BE"/>
    <w:rsid w:val="004671D2"/>
    <w:rsid w:val="00480D38"/>
    <w:rsid w:val="004E05B2"/>
    <w:rsid w:val="00501D96"/>
    <w:rsid w:val="0052297E"/>
    <w:rsid w:val="00537395"/>
    <w:rsid w:val="00537B35"/>
    <w:rsid w:val="005465DA"/>
    <w:rsid w:val="00574BCF"/>
    <w:rsid w:val="0057576B"/>
    <w:rsid w:val="0058497F"/>
    <w:rsid w:val="00585277"/>
    <w:rsid w:val="005B613B"/>
    <w:rsid w:val="005D1652"/>
    <w:rsid w:val="005D2C4A"/>
    <w:rsid w:val="005D3DF1"/>
    <w:rsid w:val="005D5AFA"/>
    <w:rsid w:val="005D7F30"/>
    <w:rsid w:val="005F065D"/>
    <w:rsid w:val="006201D0"/>
    <w:rsid w:val="006264E0"/>
    <w:rsid w:val="00627CBC"/>
    <w:rsid w:val="006372C2"/>
    <w:rsid w:val="00653AEC"/>
    <w:rsid w:val="00653E6C"/>
    <w:rsid w:val="00655190"/>
    <w:rsid w:val="00662218"/>
    <w:rsid w:val="00685AE0"/>
    <w:rsid w:val="006A352C"/>
    <w:rsid w:val="006C380C"/>
    <w:rsid w:val="006C5B1E"/>
    <w:rsid w:val="006D1998"/>
    <w:rsid w:val="006E7C90"/>
    <w:rsid w:val="00703D77"/>
    <w:rsid w:val="00711095"/>
    <w:rsid w:val="0072604C"/>
    <w:rsid w:val="00727E0A"/>
    <w:rsid w:val="00746B46"/>
    <w:rsid w:val="00762BBE"/>
    <w:rsid w:val="00767E3E"/>
    <w:rsid w:val="00770BDF"/>
    <w:rsid w:val="00791A8A"/>
    <w:rsid w:val="007974F1"/>
    <w:rsid w:val="007A093D"/>
    <w:rsid w:val="007B32DF"/>
    <w:rsid w:val="007E3A45"/>
    <w:rsid w:val="00816C9E"/>
    <w:rsid w:val="00820546"/>
    <w:rsid w:val="00830713"/>
    <w:rsid w:val="00867AB1"/>
    <w:rsid w:val="00885A5A"/>
    <w:rsid w:val="008B2F70"/>
    <w:rsid w:val="008C13BC"/>
    <w:rsid w:val="008C15D9"/>
    <w:rsid w:val="008C348E"/>
    <w:rsid w:val="008D0747"/>
    <w:rsid w:val="00901B41"/>
    <w:rsid w:val="009112DC"/>
    <w:rsid w:val="00930DB5"/>
    <w:rsid w:val="009530EA"/>
    <w:rsid w:val="009754D4"/>
    <w:rsid w:val="009771BE"/>
    <w:rsid w:val="00983F5E"/>
    <w:rsid w:val="009868E4"/>
    <w:rsid w:val="00990C4E"/>
    <w:rsid w:val="00996159"/>
    <w:rsid w:val="00996E81"/>
    <w:rsid w:val="009A13D1"/>
    <w:rsid w:val="009B3FB1"/>
    <w:rsid w:val="009E7AF7"/>
    <w:rsid w:val="00A02AC9"/>
    <w:rsid w:val="00A16562"/>
    <w:rsid w:val="00A21A4B"/>
    <w:rsid w:val="00A24F62"/>
    <w:rsid w:val="00A315A3"/>
    <w:rsid w:val="00A565EC"/>
    <w:rsid w:val="00A66362"/>
    <w:rsid w:val="00A83E54"/>
    <w:rsid w:val="00A9706B"/>
    <w:rsid w:val="00AA6CA8"/>
    <w:rsid w:val="00AB6521"/>
    <w:rsid w:val="00AD064D"/>
    <w:rsid w:val="00AD71BC"/>
    <w:rsid w:val="00B03F4C"/>
    <w:rsid w:val="00B0479E"/>
    <w:rsid w:val="00B0564E"/>
    <w:rsid w:val="00B21A6D"/>
    <w:rsid w:val="00B224D7"/>
    <w:rsid w:val="00B32E66"/>
    <w:rsid w:val="00B341F6"/>
    <w:rsid w:val="00B35ECC"/>
    <w:rsid w:val="00B5482F"/>
    <w:rsid w:val="00B64804"/>
    <w:rsid w:val="00B70ED7"/>
    <w:rsid w:val="00BA2507"/>
    <w:rsid w:val="00BA6BE5"/>
    <w:rsid w:val="00BB764F"/>
    <w:rsid w:val="00BC241D"/>
    <w:rsid w:val="00C02676"/>
    <w:rsid w:val="00C04222"/>
    <w:rsid w:val="00C107F2"/>
    <w:rsid w:val="00C14D09"/>
    <w:rsid w:val="00C2143D"/>
    <w:rsid w:val="00C25331"/>
    <w:rsid w:val="00C33A04"/>
    <w:rsid w:val="00C5459A"/>
    <w:rsid w:val="00C56152"/>
    <w:rsid w:val="00C61658"/>
    <w:rsid w:val="00C855B2"/>
    <w:rsid w:val="00C95B3C"/>
    <w:rsid w:val="00CA1009"/>
    <w:rsid w:val="00CA12ED"/>
    <w:rsid w:val="00CA6D65"/>
    <w:rsid w:val="00CB1C7D"/>
    <w:rsid w:val="00CB23DE"/>
    <w:rsid w:val="00CB68AD"/>
    <w:rsid w:val="00CD7AA5"/>
    <w:rsid w:val="00D102FD"/>
    <w:rsid w:val="00D11DE9"/>
    <w:rsid w:val="00D16AAD"/>
    <w:rsid w:val="00D5134D"/>
    <w:rsid w:val="00D71034"/>
    <w:rsid w:val="00DA54CF"/>
    <w:rsid w:val="00DA590F"/>
    <w:rsid w:val="00DA76AD"/>
    <w:rsid w:val="00DD41FA"/>
    <w:rsid w:val="00DD7A1C"/>
    <w:rsid w:val="00DF5DFE"/>
    <w:rsid w:val="00E06294"/>
    <w:rsid w:val="00E242E5"/>
    <w:rsid w:val="00E317A6"/>
    <w:rsid w:val="00E727C9"/>
    <w:rsid w:val="00E91235"/>
    <w:rsid w:val="00EE5711"/>
    <w:rsid w:val="00EF31AD"/>
    <w:rsid w:val="00F06D6F"/>
    <w:rsid w:val="00F11CD2"/>
    <w:rsid w:val="00F2042F"/>
    <w:rsid w:val="00F5082D"/>
    <w:rsid w:val="00F531BD"/>
    <w:rsid w:val="00F5324A"/>
    <w:rsid w:val="00F55629"/>
    <w:rsid w:val="00F57042"/>
    <w:rsid w:val="00F57C68"/>
    <w:rsid w:val="00F82EA6"/>
    <w:rsid w:val="00F8567E"/>
    <w:rsid w:val="00F86B68"/>
    <w:rsid w:val="00FA0CA9"/>
    <w:rsid w:val="00FA57A8"/>
    <w:rsid w:val="00FB279D"/>
    <w:rsid w:val="00FB5292"/>
    <w:rsid w:val="00FE7070"/>
    <w:rsid w:val="1152FBF8"/>
    <w:rsid w:val="23AC4568"/>
    <w:rsid w:val="2E91A52F"/>
    <w:rsid w:val="499D5FBA"/>
    <w:rsid w:val="57C6792D"/>
    <w:rsid w:val="6BD17A50"/>
    <w:rsid w:val="7C8F3BC7"/>
    <w:rsid w:val="7F84C47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2"/>
    </o:shapelayout>
  </w:shapeDefaults>
  <w:decimalSymbol w:val="."/>
  <w:listSeparator w:val=","/>
  <w14:docId w14:val="6D2903DC"/>
  <w15:docId w15:val="{35A70DB0-D73A-4087-8AB5-D9AF6E9C9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930DB5"/>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37B35"/>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1Char" w:customStyle="1">
    <w:name w:val="Heading 1 Char"/>
    <w:basedOn w:val="DefaultParagraphFont"/>
    <w:link w:val="Heading1"/>
    <w:uiPriority w:val="9"/>
    <w:rsid w:val="00930DB5"/>
    <w:rPr>
      <w:rFonts w:asciiTheme="majorHAnsi" w:hAnsiTheme="majorHAnsi" w:eastAsiaTheme="majorEastAsia" w:cstheme="majorBidi"/>
      <w:color w:val="2E74B5" w:themeColor="accent1" w:themeShade="BF"/>
      <w:sz w:val="32"/>
      <w:szCs w:val="32"/>
    </w:rPr>
  </w:style>
  <w:style w:type="character" w:styleId="UnresolvedMention">
    <w:name w:val="Unresolved Mention"/>
    <w:basedOn w:val="DefaultParagraphFont"/>
    <w:uiPriority w:val="99"/>
    <w:semiHidden/>
    <w:unhideWhenUsed/>
    <w:rsid w:val="00930DB5"/>
    <w:rPr>
      <w:color w:val="605E5C"/>
      <w:shd w:val="clear" w:color="auto" w:fill="E1DFDD"/>
    </w:rPr>
  </w:style>
  <w:style w:type="character" w:styleId="FollowedHyperlink">
    <w:name w:val="FollowedHyperlink"/>
    <w:basedOn w:val="DefaultParagraphFont"/>
    <w:uiPriority w:val="99"/>
    <w:semiHidden/>
    <w:unhideWhenUsed/>
    <w:rsid w:val="00BA6BE5"/>
    <w:rPr>
      <w:color w:val="954F72" w:themeColor="followedHyperlink"/>
      <w:u w:val="single"/>
    </w:rPr>
  </w:style>
  <w:style w:type="character" w:styleId="Heading3Char" w:customStyle="1">
    <w:name w:val="Heading 3 Char"/>
    <w:basedOn w:val="DefaultParagraphFont"/>
    <w:link w:val="Heading3"/>
    <w:uiPriority w:val="9"/>
    <w:semiHidden/>
    <w:rsid w:val="00537B35"/>
    <w:rPr>
      <w:rFonts w:asciiTheme="majorHAnsi" w:hAnsiTheme="majorHAnsi" w:eastAsiaTheme="majorEastAsia"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0A3DA697-E9F3-4E41-A17C-5D659C753DC0}"/>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57</revision>
  <dcterms:created xsi:type="dcterms:W3CDTF">2026-01-13T21:58:00.0000000Z</dcterms:created>
  <dcterms:modified xsi:type="dcterms:W3CDTF">2026-01-14T17:35:59.1874688Z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