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2EFF83" w14:textId="5ACDDBAD" w:rsidR="00BA62A7" w:rsidRDefault="00D6297D" w:rsidP="00D6297D">
      <w:pPr>
        <w:spacing w:after="0" w:line="240" w:lineRule="auto"/>
        <w:rPr>
          <w:rFonts w:ascii="Verdana" w:eastAsia="Calibri" w:hAnsi="Verdana" w:cs="Arial"/>
          <w:b/>
          <w:bCs/>
          <w:kern w:val="0"/>
          <w14:ligatures w14:val="none"/>
        </w:rPr>
      </w:pPr>
      <w:r w:rsidRPr="00D6297D">
        <w:rPr>
          <w:rFonts w:ascii="Verdana" w:eastAsia="Calibri" w:hAnsi="Verdana" w:cs="Arial"/>
          <w:b/>
          <w:bCs/>
          <w:kern w:val="0"/>
          <w14:ligatures w14:val="none"/>
        </w:rPr>
        <w:t xml:space="preserve">Appendix </w:t>
      </w:r>
      <w:r w:rsidR="00271732">
        <w:rPr>
          <w:rFonts w:ascii="Verdana" w:eastAsia="Calibri" w:hAnsi="Verdana" w:cs="Arial"/>
          <w:b/>
          <w:bCs/>
          <w:kern w:val="0"/>
          <w14:ligatures w14:val="none"/>
        </w:rPr>
        <w:t>3</w:t>
      </w:r>
      <w:r w:rsidRPr="00D6297D">
        <w:rPr>
          <w:rFonts w:ascii="Verdana" w:eastAsia="Calibri" w:hAnsi="Verdana" w:cs="Arial"/>
          <w:b/>
          <w:bCs/>
          <w:kern w:val="0"/>
          <w14:ligatures w14:val="none"/>
        </w:rPr>
        <w:t xml:space="preserve"> </w:t>
      </w:r>
    </w:p>
    <w:p w14:paraId="3EE64A94" w14:textId="77777777" w:rsidR="00BA62A7" w:rsidRDefault="00BA62A7" w:rsidP="00D6297D">
      <w:pPr>
        <w:spacing w:after="0" w:line="240" w:lineRule="auto"/>
        <w:rPr>
          <w:rFonts w:ascii="Verdana" w:eastAsia="Calibri" w:hAnsi="Verdana" w:cs="Arial"/>
          <w:b/>
          <w:bCs/>
          <w:kern w:val="0"/>
          <w14:ligatures w14:val="none"/>
        </w:rPr>
      </w:pPr>
    </w:p>
    <w:p w14:paraId="732014A1" w14:textId="66431CC4" w:rsidR="00D6297D" w:rsidRPr="00D6297D" w:rsidRDefault="00D6297D" w:rsidP="00D6297D">
      <w:pPr>
        <w:spacing w:after="0" w:line="240" w:lineRule="auto"/>
        <w:rPr>
          <w:rFonts w:ascii="Verdana" w:eastAsia="Calibri" w:hAnsi="Verdana" w:cs="Arial"/>
          <w:b/>
          <w:bCs/>
          <w:kern w:val="0"/>
          <w14:ligatures w14:val="none"/>
        </w:rPr>
      </w:pPr>
      <w:r w:rsidRPr="00D6297D">
        <w:rPr>
          <w:rFonts w:ascii="Verdana" w:eastAsia="Calibri" w:hAnsi="Verdana" w:cs="Arial"/>
          <w:b/>
          <w:bCs/>
          <w:kern w:val="0"/>
          <w14:ligatures w14:val="none"/>
        </w:rPr>
        <w:t>Digital delivery: Q</w:t>
      </w:r>
      <w:r w:rsidR="0521C5CA" w:rsidRPr="00D6297D">
        <w:rPr>
          <w:rFonts w:ascii="Verdana" w:eastAsia="Calibri" w:hAnsi="Verdana" w:cs="Arial"/>
          <w:b/>
          <w:bCs/>
          <w:kern w:val="0"/>
          <w14:ligatures w14:val="none"/>
        </w:rPr>
        <w:t xml:space="preserve">3 </w:t>
      </w:r>
      <w:r w:rsidRPr="00D6297D">
        <w:rPr>
          <w:rFonts w:ascii="Verdana" w:eastAsia="Calibri" w:hAnsi="Verdana" w:cs="Arial"/>
          <w:b/>
          <w:bCs/>
          <w:kern w:val="0"/>
          <w14:ligatures w14:val="none"/>
        </w:rPr>
        <w:t>progress report</w:t>
      </w:r>
    </w:p>
    <w:p w14:paraId="30C4516F" w14:textId="77777777" w:rsidR="00D6297D" w:rsidRPr="00D6297D" w:rsidRDefault="00D6297D" w:rsidP="00D6297D">
      <w:pPr>
        <w:spacing w:after="0" w:line="240" w:lineRule="auto"/>
        <w:rPr>
          <w:rFonts w:ascii="Verdana" w:eastAsia="Calibri" w:hAnsi="Verdana" w:cs="Arial"/>
          <w:b/>
          <w:bCs/>
          <w:kern w:val="0"/>
          <w14:ligatures w14:val="none"/>
        </w:rPr>
      </w:pPr>
    </w:p>
    <w:p w14:paraId="152CFF36" w14:textId="7BAD7729" w:rsidR="00E76D11" w:rsidRDefault="00E76D11" w:rsidP="00D6297D">
      <w:pPr>
        <w:spacing w:after="0" w:line="240" w:lineRule="auto"/>
        <w:rPr>
          <w:rFonts w:ascii="Verdana" w:eastAsia="Calibri" w:hAnsi="Verdana" w:cs="Arial"/>
          <w:kern w:val="0"/>
          <w14:ligatures w14:val="none"/>
        </w:rPr>
      </w:pPr>
      <w:r w:rsidRPr="007052F1">
        <w:rPr>
          <w:rFonts w:ascii="Verdana" w:hAnsi="Verdana" w:cs="Arial"/>
        </w:rPr>
        <w:t>A detailed Project Delivery Dashboard for active Digital projects in FY 2025/2026 has been developed</w:t>
      </w:r>
      <w:r>
        <w:rPr>
          <w:rFonts w:ascii="Verdana" w:hAnsi="Verdana" w:cs="Arial"/>
        </w:rPr>
        <w:t xml:space="preserve"> and is detailed in Table 2 below</w:t>
      </w:r>
      <w:r w:rsidRPr="007052F1">
        <w:rPr>
          <w:rFonts w:ascii="Verdana" w:hAnsi="Verdana" w:cs="Arial"/>
        </w:rPr>
        <w:t>. It tracks progress</w:t>
      </w:r>
      <w:r w:rsidR="00F51903">
        <w:rPr>
          <w:rFonts w:ascii="Verdana" w:hAnsi="Verdana" w:cs="Arial"/>
        </w:rPr>
        <w:t xml:space="preserve"> and </w:t>
      </w:r>
      <w:r w:rsidRPr="007052F1">
        <w:rPr>
          <w:rFonts w:ascii="Verdana" w:hAnsi="Verdana" w:cs="Arial"/>
        </w:rPr>
        <w:t xml:space="preserve">sets out the associated RAG status </w:t>
      </w:r>
      <w:r w:rsidR="00F51903">
        <w:rPr>
          <w:rFonts w:ascii="Verdana" w:hAnsi="Verdana" w:cs="Arial"/>
        </w:rPr>
        <w:t>for Quarter 3 of FY2025/2026</w:t>
      </w:r>
      <w:r w:rsidRPr="007052F1">
        <w:rPr>
          <w:rFonts w:ascii="Verdana" w:hAnsi="Verdana" w:cs="Arial"/>
        </w:rPr>
        <w:t xml:space="preserve">. </w:t>
      </w:r>
    </w:p>
    <w:p w14:paraId="2203D8A2" w14:textId="77777777" w:rsidR="00E76D11" w:rsidRDefault="00E76D11" w:rsidP="00D6297D">
      <w:pPr>
        <w:spacing w:after="0" w:line="240" w:lineRule="auto"/>
        <w:rPr>
          <w:rFonts w:ascii="Verdana" w:eastAsia="Calibri" w:hAnsi="Verdana" w:cs="Arial"/>
          <w:kern w:val="0"/>
          <w14:ligatures w14:val="none"/>
        </w:rPr>
      </w:pPr>
    </w:p>
    <w:p w14:paraId="7674ED5B" w14:textId="3E4496CC" w:rsidR="00D6297D" w:rsidRPr="00D6297D" w:rsidRDefault="00D6297D" w:rsidP="00D6297D">
      <w:pPr>
        <w:spacing w:after="0" w:line="240" w:lineRule="auto"/>
        <w:rPr>
          <w:rFonts w:ascii="Verdana" w:eastAsia="Calibri" w:hAnsi="Verdana" w:cs="Arial"/>
          <w:kern w:val="0"/>
          <w14:ligatures w14:val="none"/>
        </w:rPr>
      </w:pPr>
      <w:r w:rsidRPr="00D6297D">
        <w:rPr>
          <w:rFonts w:ascii="Verdana" w:eastAsia="Calibri" w:hAnsi="Verdana" w:cs="Arial"/>
          <w:kern w:val="0"/>
          <w14:ligatures w14:val="none"/>
        </w:rPr>
        <w:t>The Red Amber Green (RAG) status used within this report is set out</w:t>
      </w:r>
      <w:r w:rsidR="00E76D11">
        <w:rPr>
          <w:rFonts w:ascii="Verdana" w:eastAsia="Calibri" w:hAnsi="Verdana" w:cs="Arial"/>
          <w:kern w:val="0"/>
          <w14:ligatures w14:val="none"/>
        </w:rPr>
        <w:t xml:space="preserve"> in Table 1</w:t>
      </w:r>
      <w:r w:rsidRPr="00D6297D">
        <w:rPr>
          <w:rFonts w:ascii="Verdana" w:eastAsia="Calibri" w:hAnsi="Verdana" w:cs="Arial"/>
          <w:kern w:val="0"/>
          <w14:ligatures w14:val="none"/>
        </w:rPr>
        <w:t xml:space="preserve"> below.  </w:t>
      </w:r>
    </w:p>
    <w:p w14:paraId="7EC2BAAF" w14:textId="77777777" w:rsidR="00D6297D" w:rsidRPr="00D6297D" w:rsidRDefault="00D6297D" w:rsidP="00D6297D">
      <w:pPr>
        <w:spacing w:after="0" w:line="240" w:lineRule="auto"/>
        <w:rPr>
          <w:rFonts w:ascii="Verdana" w:eastAsia="Calibri" w:hAnsi="Verdana" w:cs="Arial"/>
          <w:kern w:val="0"/>
          <w14:ligatures w14:val="none"/>
        </w:rPr>
      </w:pPr>
    </w:p>
    <w:p w14:paraId="0F80CAE1" w14:textId="37114AA6" w:rsidR="00D6297D" w:rsidRPr="00D6297D" w:rsidRDefault="00D6297D" w:rsidP="00D6297D">
      <w:pPr>
        <w:spacing w:after="0" w:line="240" w:lineRule="auto"/>
        <w:rPr>
          <w:rFonts w:ascii="Verdana" w:eastAsia="Calibri" w:hAnsi="Verdana" w:cs="Arial"/>
          <w:b/>
          <w:bCs/>
          <w:kern w:val="0"/>
          <w14:ligatures w14:val="none"/>
        </w:rPr>
      </w:pPr>
      <w:r w:rsidRPr="00D6297D">
        <w:rPr>
          <w:rFonts w:ascii="Verdana" w:eastAsia="Calibri" w:hAnsi="Verdana" w:cs="Arial"/>
          <w:b/>
          <w:bCs/>
          <w:kern w:val="0"/>
          <w14:ligatures w14:val="none"/>
        </w:rPr>
        <w:t>Table 1</w:t>
      </w:r>
      <w:r w:rsidR="00F4655A">
        <w:rPr>
          <w:rFonts w:ascii="Verdana" w:eastAsia="Calibri" w:hAnsi="Verdana" w:cs="Arial"/>
          <w:b/>
          <w:bCs/>
          <w:kern w:val="0"/>
          <w14:ligatures w14:val="none"/>
        </w:rPr>
        <w:t xml:space="preserve"> – RAG Status</w:t>
      </w:r>
    </w:p>
    <w:p w14:paraId="5AF3E497" w14:textId="77777777" w:rsidR="00D6297D" w:rsidRPr="00D6297D" w:rsidRDefault="00D6297D" w:rsidP="00D6297D">
      <w:pPr>
        <w:spacing w:after="0" w:line="240" w:lineRule="auto"/>
        <w:rPr>
          <w:rFonts w:ascii="Verdana" w:eastAsia="Calibri" w:hAnsi="Verdana" w:cs="Arial"/>
          <w:b/>
          <w:bCs/>
          <w:kern w:val="0"/>
          <w14:ligatures w14:val="none"/>
        </w:rPr>
      </w:pPr>
    </w:p>
    <w:tbl>
      <w:tblPr>
        <w:tblW w:w="0" w:type="auto"/>
        <w:jc w:val="center"/>
        <w:tblCellMar>
          <w:left w:w="0" w:type="dxa"/>
          <w:right w:w="0" w:type="dxa"/>
        </w:tblCellMar>
        <w:tblLook w:val="04A0" w:firstRow="1" w:lastRow="0" w:firstColumn="1" w:lastColumn="0" w:noHBand="0" w:noVBand="1"/>
      </w:tblPr>
      <w:tblGrid>
        <w:gridCol w:w="1103"/>
        <w:gridCol w:w="7903"/>
      </w:tblGrid>
      <w:tr w:rsidR="00D6297D" w:rsidRPr="00D6297D" w14:paraId="5299F4F0" w14:textId="77777777">
        <w:trPr>
          <w:jc w:val="center"/>
        </w:trPr>
        <w:tc>
          <w:tcPr>
            <w:tcW w:w="1008" w:type="dxa"/>
            <w:tcBorders>
              <w:top w:val="single" w:sz="8" w:space="0" w:color="auto"/>
              <w:left w:val="single" w:sz="8" w:space="0" w:color="auto"/>
              <w:bottom w:val="single" w:sz="8" w:space="0" w:color="auto"/>
              <w:right w:val="single" w:sz="8" w:space="0" w:color="auto"/>
            </w:tcBorders>
            <w:shd w:val="clear" w:color="auto" w:fill="00B050"/>
            <w:tcMar>
              <w:top w:w="0" w:type="dxa"/>
              <w:left w:w="108" w:type="dxa"/>
              <w:bottom w:w="0" w:type="dxa"/>
              <w:right w:w="108" w:type="dxa"/>
            </w:tcMar>
            <w:hideMark/>
          </w:tcPr>
          <w:p w14:paraId="5995604D" w14:textId="77777777" w:rsidR="00D6297D" w:rsidRPr="00D6297D" w:rsidRDefault="00D6297D" w:rsidP="00D6297D">
            <w:pPr>
              <w:spacing w:after="0" w:line="240" w:lineRule="auto"/>
              <w:rPr>
                <w:rFonts w:ascii="Verdana" w:eastAsia="Calibri" w:hAnsi="Verdana" w:cs="Arial"/>
                <w:kern w:val="0"/>
                <w14:ligatures w14:val="none"/>
              </w:rPr>
            </w:pPr>
            <w:r w:rsidRPr="00D6297D">
              <w:rPr>
                <w:rFonts w:ascii="Verdana" w:eastAsia="Calibri" w:hAnsi="Verdana" w:cs="Arial"/>
                <w:b/>
                <w:bCs/>
                <w:kern w:val="0"/>
                <w14:ligatures w14:val="none"/>
              </w:rPr>
              <w:t>Green</w:t>
            </w:r>
          </w:p>
        </w:tc>
        <w:tc>
          <w:tcPr>
            <w:tcW w:w="791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29C55F2" w14:textId="77777777" w:rsidR="00D6297D" w:rsidRPr="00D6297D" w:rsidRDefault="00D6297D" w:rsidP="00D6297D">
            <w:pPr>
              <w:spacing w:after="0" w:line="240" w:lineRule="auto"/>
              <w:rPr>
                <w:rFonts w:ascii="Verdana" w:eastAsia="Calibri" w:hAnsi="Verdana" w:cs="Arial"/>
                <w:kern w:val="0"/>
                <w14:ligatures w14:val="none"/>
              </w:rPr>
            </w:pPr>
            <w:r w:rsidRPr="00D6297D">
              <w:rPr>
                <w:rFonts w:ascii="Verdana" w:eastAsia="Calibri" w:hAnsi="Verdana" w:cs="Arial"/>
                <w:b/>
                <w:bCs/>
                <w:kern w:val="0"/>
                <w14:ligatures w14:val="none"/>
              </w:rPr>
              <w:t xml:space="preserve">ON TRACK </w:t>
            </w:r>
            <w:r w:rsidRPr="00D6297D">
              <w:rPr>
                <w:rFonts w:ascii="Verdana" w:eastAsia="Calibri" w:hAnsi="Verdana" w:cs="Arial"/>
                <w:kern w:val="0"/>
                <w14:ligatures w14:val="none"/>
              </w:rPr>
              <w:t>- Action progressing as planned and to agreed timelines</w:t>
            </w:r>
          </w:p>
        </w:tc>
      </w:tr>
      <w:tr w:rsidR="00D6297D" w:rsidRPr="00D6297D" w14:paraId="173BF2F6" w14:textId="77777777">
        <w:trPr>
          <w:jc w:val="center"/>
        </w:trPr>
        <w:tc>
          <w:tcPr>
            <w:tcW w:w="1008" w:type="dxa"/>
            <w:tcBorders>
              <w:top w:val="nil"/>
              <w:left w:val="single" w:sz="8" w:space="0" w:color="auto"/>
              <w:bottom w:val="single" w:sz="8" w:space="0" w:color="auto"/>
              <w:right w:val="single" w:sz="8" w:space="0" w:color="auto"/>
            </w:tcBorders>
            <w:shd w:val="clear" w:color="auto" w:fill="FFC000"/>
            <w:tcMar>
              <w:top w:w="0" w:type="dxa"/>
              <w:left w:w="108" w:type="dxa"/>
              <w:bottom w:w="0" w:type="dxa"/>
              <w:right w:w="108" w:type="dxa"/>
            </w:tcMar>
            <w:hideMark/>
          </w:tcPr>
          <w:p w14:paraId="775674B9" w14:textId="77777777" w:rsidR="00D6297D" w:rsidRPr="00D6297D" w:rsidRDefault="00D6297D" w:rsidP="00D6297D">
            <w:pPr>
              <w:spacing w:after="0" w:line="240" w:lineRule="auto"/>
              <w:rPr>
                <w:rFonts w:ascii="Verdana" w:eastAsia="Calibri" w:hAnsi="Verdana" w:cs="Arial"/>
                <w:kern w:val="0"/>
                <w14:ligatures w14:val="none"/>
              </w:rPr>
            </w:pPr>
            <w:r w:rsidRPr="00D6297D">
              <w:rPr>
                <w:rFonts w:ascii="Verdana" w:eastAsia="Calibri" w:hAnsi="Verdana" w:cs="Arial"/>
                <w:b/>
                <w:bCs/>
                <w:kern w:val="0"/>
                <w14:ligatures w14:val="none"/>
              </w:rPr>
              <w:t>Amber</w:t>
            </w:r>
          </w:p>
        </w:tc>
        <w:tc>
          <w:tcPr>
            <w:tcW w:w="7913" w:type="dxa"/>
            <w:tcBorders>
              <w:top w:val="nil"/>
              <w:left w:val="nil"/>
              <w:bottom w:val="single" w:sz="8" w:space="0" w:color="auto"/>
              <w:right w:val="single" w:sz="8" w:space="0" w:color="auto"/>
            </w:tcBorders>
            <w:tcMar>
              <w:top w:w="0" w:type="dxa"/>
              <w:left w:w="108" w:type="dxa"/>
              <w:bottom w:w="0" w:type="dxa"/>
              <w:right w:w="108" w:type="dxa"/>
            </w:tcMar>
            <w:hideMark/>
          </w:tcPr>
          <w:p w14:paraId="4AC8DFBB" w14:textId="77777777" w:rsidR="00D6297D" w:rsidRPr="00D6297D" w:rsidRDefault="00D6297D" w:rsidP="00D6297D">
            <w:pPr>
              <w:spacing w:after="0" w:line="240" w:lineRule="auto"/>
              <w:rPr>
                <w:rFonts w:ascii="Verdana" w:eastAsia="Calibri" w:hAnsi="Verdana" w:cs="Arial"/>
                <w:kern w:val="0"/>
                <w14:ligatures w14:val="none"/>
              </w:rPr>
            </w:pPr>
            <w:r w:rsidRPr="00D6297D">
              <w:rPr>
                <w:rFonts w:ascii="Verdana" w:eastAsia="Calibri" w:hAnsi="Verdana" w:cs="Arial"/>
                <w:b/>
                <w:bCs/>
                <w:kern w:val="0"/>
                <w14:ligatures w14:val="none"/>
              </w:rPr>
              <w:t>OFF TRACK</w:t>
            </w:r>
            <w:r w:rsidRPr="00D6297D">
              <w:rPr>
                <w:rFonts w:ascii="Verdana" w:eastAsia="Calibri" w:hAnsi="Verdana" w:cs="Arial"/>
                <w:kern w:val="0"/>
                <w14:ligatures w14:val="none"/>
              </w:rPr>
              <w:t xml:space="preserve"> - Action not progressing as planned/to original timelines, however this is manageable, and mitigating actions are in place</w:t>
            </w:r>
          </w:p>
        </w:tc>
      </w:tr>
      <w:tr w:rsidR="00D6297D" w:rsidRPr="00D6297D" w14:paraId="0D190558" w14:textId="77777777">
        <w:trPr>
          <w:jc w:val="center"/>
        </w:trPr>
        <w:tc>
          <w:tcPr>
            <w:tcW w:w="1008" w:type="dxa"/>
            <w:tcBorders>
              <w:top w:val="nil"/>
              <w:left w:val="single" w:sz="8" w:space="0" w:color="auto"/>
              <w:bottom w:val="single" w:sz="8" w:space="0" w:color="auto"/>
              <w:right w:val="single" w:sz="8" w:space="0" w:color="auto"/>
            </w:tcBorders>
            <w:shd w:val="clear" w:color="auto" w:fill="FF0000"/>
            <w:tcMar>
              <w:top w:w="0" w:type="dxa"/>
              <w:left w:w="108" w:type="dxa"/>
              <w:bottom w:w="0" w:type="dxa"/>
              <w:right w:w="108" w:type="dxa"/>
            </w:tcMar>
            <w:hideMark/>
          </w:tcPr>
          <w:p w14:paraId="71E47BAA" w14:textId="77777777" w:rsidR="00D6297D" w:rsidRPr="00D6297D" w:rsidRDefault="00D6297D" w:rsidP="00D6297D">
            <w:pPr>
              <w:spacing w:after="0" w:line="240" w:lineRule="auto"/>
              <w:rPr>
                <w:rFonts w:ascii="Verdana" w:eastAsia="Calibri" w:hAnsi="Verdana" w:cs="Arial"/>
                <w:kern w:val="0"/>
                <w:highlight w:val="yellow"/>
                <w14:ligatures w14:val="none"/>
              </w:rPr>
            </w:pPr>
            <w:r w:rsidRPr="00D6297D">
              <w:rPr>
                <w:rFonts w:ascii="Verdana" w:eastAsia="Calibri" w:hAnsi="Verdana" w:cs="Arial"/>
                <w:b/>
                <w:bCs/>
                <w:kern w:val="0"/>
                <w14:ligatures w14:val="none"/>
              </w:rPr>
              <w:t>Red</w:t>
            </w:r>
          </w:p>
        </w:tc>
        <w:tc>
          <w:tcPr>
            <w:tcW w:w="7913" w:type="dxa"/>
            <w:tcBorders>
              <w:top w:val="nil"/>
              <w:left w:val="nil"/>
              <w:bottom w:val="single" w:sz="8" w:space="0" w:color="auto"/>
              <w:right w:val="single" w:sz="8" w:space="0" w:color="auto"/>
            </w:tcBorders>
            <w:tcMar>
              <w:top w:w="0" w:type="dxa"/>
              <w:left w:w="108" w:type="dxa"/>
              <w:bottom w:w="0" w:type="dxa"/>
              <w:right w:w="108" w:type="dxa"/>
            </w:tcMar>
            <w:hideMark/>
          </w:tcPr>
          <w:p w14:paraId="656920B7" w14:textId="77777777" w:rsidR="00D6297D" w:rsidRPr="00D6297D" w:rsidRDefault="00D6297D" w:rsidP="00D6297D">
            <w:pPr>
              <w:spacing w:after="0" w:line="240" w:lineRule="auto"/>
              <w:rPr>
                <w:rFonts w:ascii="Verdana" w:eastAsia="Calibri" w:hAnsi="Verdana" w:cs="Arial"/>
                <w:kern w:val="0"/>
                <w:highlight w:val="yellow"/>
                <w14:ligatures w14:val="none"/>
              </w:rPr>
            </w:pPr>
            <w:r w:rsidRPr="00D6297D">
              <w:rPr>
                <w:rFonts w:ascii="Verdana" w:eastAsia="Calibri" w:hAnsi="Verdana" w:cs="Arial"/>
                <w:b/>
                <w:bCs/>
                <w:kern w:val="0"/>
                <w14:ligatures w14:val="none"/>
              </w:rPr>
              <w:t>OFF TRACK </w:t>
            </w:r>
            <w:r w:rsidRPr="00D6297D">
              <w:rPr>
                <w:rFonts w:ascii="Verdana" w:eastAsia="Calibri" w:hAnsi="Verdana" w:cs="Arial"/>
                <w:kern w:val="0"/>
                <w14:ligatures w14:val="none"/>
              </w:rPr>
              <w:t>- Action not progressing as planned/to original timelines, there are significant issues which require escalating</w:t>
            </w:r>
          </w:p>
        </w:tc>
      </w:tr>
    </w:tbl>
    <w:p w14:paraId="13EEB3EC" w14:textId="77777777" w:rsidR="00D6297D" w:rsidRDefault="00D6297D" w:rsidP="00D6297D">
      <w:pPr>
        <w:spacing w:after="0" w:line="240" w:lineRule="auto"/>
        <w:rPr>
          <w:rFonts w:ascii="Verdana" w:eastAsia="Calibri" w:hAnsi="Verdana" w:cs="Arial"/>
          <w:kern w:val="0"/>
          <w14:ligatures w14:val="none"/>
        </w:rPr>
      </w:pPr>
    </w:p>
    <w:p w14:paraId="17592B94" w14:textId="75BEA38B" w:rsidR="00855CF0" w:rsidRDefault="00F4655A" w:rsidP="00D6297D">
      <w:pPr>
        <w:spacing w:after="0" w:line="240" w:lineRule="auto"/>
        <w:rPr>
          <w:rFonts w:ascii="Verdana" w:eastAsia="Calibri" w:hAnsi="Verdana" w:cs="Arial"/>
          <w:b/>
          <w:bCs/>
          <w:kern w:val="0"/>
          <w14:ligatures w14:val="none"/>
        </w:rPr>
      </w:pPr>
      <w:r w:rsidRPr="00F4655A">
        <w:rPr>
          <w:rFonts w:ascii="Verdana" w:eastAsia="Calibri" w:hAnsi="Verdana" w:cs="Arial"/>
          <w:b/>
          <w:bCs/>
          <w:kern w:val="0"/>
          <w14:ligatures w14:val="none"/>
        </w:rPr>
        <w:t>Table 2</w:t>
      </w:r>
      <w:r>
        <w:rPr>
          <w:rFonts w:ascii="Verdana" w:eastAsia="Calibri" w:hAnsi="Verdana" w:cs="Arial"/>
          <w:b/>
          <w:bCs/>
          <w:kern w:val="0"/>
          <w14:ligatures w14:val="none"/>
        </w:rPr>
        <w:t xml:space="preserve"> – Digital Delivery Dashboard</w:t>
      </w:r>
    </w:p>
    <w:p w14:paraId="4CE0F54F" w14:textId="77777777" w:rsidR="00CE7135" w:rsidRPr="00AE5BA1" w:rsidRDefault="00CE7135" w:rsidP="00660446">
      <w:pPr>
        <w:spacing w:after="0" w:line="240" w:lineRule="auto"/>
        <w:rPr>
          <w:rFonts w:ascii="Verdana" w:hAnsi="Verdana" w:cs="Arial"/>
          <w:color w:val="FF0000"/>
        </w:rPr>
      </w:pPr>
    </w:p>
    <w:tbl>
      <w:tblPr>
        <w:tblpPr w:leftFromText="180" w:rightFromText="180" w:vertAnchor="text" w:horzAnchor="page" w:tblpX="563" w:tblpY="-135"/>
        <w:tblW w:w="10343" w:type="dxa"/>
        <w:tblLook w:val="04A0" w:firstRow="1" w:lastRow="0" w:firstColumn="1" w:lastColumn="0" w:noHBand="0" w:noVBand="1"/>
      </w:tblPr>
      <w:tblGrid>
        <w:gridCol w:w="3256"/>
        <w:gridCol w:w="1079"/>
        <w:gridCol w:w="6008"/>
      </w:tblGrid>
      <w:tr w:rsidR="00327E49" w:rsidRPr="00327E49" w14:paraId="597F2DA1" w14:textId="77777777" w:rsidTr="210F0FC3">
        <w:trPr>
          <w:trHeight w:val="350"/>
          <w:tblHeader/>
        </w:trPr>
        <w:tc>
          <w:tcPr>
            <w:tcW w:w="3256" w:type="dxa"/>
            <w:tcBorders>
              <w:top w:val="single" w:sz="4" w:space="0" w:color="auto"/>
              <w:left w:val="single" w:sz="4" w:space="0" w:color="auto"/>
              <w:bottom w:val="single" w:sz="4" w:space="0" w:color="auto"/>
              <w:right w:val="single" w:sz="4" w:space="0" w:color="auto"/>
            </w:tcBorders>
            <w:noWrap/>
            <w:hideMark/>
          </w:tcPr>
          <w:p w14:paraId="70CD74FB" w14:textId="77777777" w:rsidR="00327E49" w:rsidRPr="00327E49" w:rsidRDefault="00327E49">
            <w:pPr>
              <w:spacing w:after="0" w:line="240" w:lineRule="auto"/>
              <w:rPr>
                <w:rFonts w:ascii="Verdana" w:eastAsia="Times New Roman" w:hAnsi="Verdana" w:cs="Times New Roman"/>
                <w:b/>
                <w:bCs/>
                <w:color w:val="000000"/>
                <w:kern w:val="0"/>
                <w:lang w:eastAsia="en-GB"/>
                <w14:ligatures w14:val="none"/>
              </w:rPr>
            </w:pPr>
            <w:r w:rsidRPr="00327E49">
              <w:rPr>
                <w:rFonts w:ascii="Verdana" w:eastAsia="Times New Roman" w:hAnsi="Verdana" w:cs="Times New Roman"/>
                <w:b/>
                <w:bCs/>
                <w:color w:val="000000"/>
                <w:kern w:val="0"/>
                <w:lang w:eastAsia="en-GB"/>
                <w14:ligatures w14:val="none"/>
              </w:rPr>
              <w:lastRenderedPageBreak/>
              <w:t>Title</w:t>
            </w:r>
          </w:p>
        </w:tc>
        <w:tc>
          <w:tcPr>
            <w:tcW w:w="802" w:type="dxa"/>
            <w:tcBorders>
              <w:top w:val="single" w:sz="4" w:space="0" w:color="auto"/>
              <w:left w:val="nil"/>
              <w:bottom w:val="single" w:sz="4" w:space="0" w:color="auto"/>
              <w:right w:val="single" w:sz="4" w:space="0" w:color="auto"/>
            </w:tcBorders>
            <w:noWrap/>
            <w:vAlign w:val="bottom"/>
            <w:hideMark/>
          </w:tcPr>
          <w:p w14:paraId="150DA7D7" w14:textId="77777777" w:rsidR="00327E49" w:rsidRPr="00327E49" w:rsidRDefault="00327E49">
            <w:pPr>
              <w:spacing w:after="0" w:line="240" w:lineRule="auto"/>
              <w:rPr>
                <w:rFonts w:ascii="Verdana" w:eastAsia="Times New Roman" w:hAnsi="Verdana" w:cs="Times New Roman"/>
                <w:b/>
                <w:bCs/>
                <w:color w:val="000000"/>
                <w:kern w:val="0"/>
                <w:lang w:eastAsia="en-GB"/>
                <w14:ligatures w14:val="none"/>
              </w:rPr>
            </w:pPr>
            <w:r w:rsidRPr="00327E49">
              <w:rPr>
                <w:rFonts w:ascii="Verdana" w:eastAsia="Times New Roman" w:hAnsi="Verdana" w:cs="Times New Roman"/>
                <w:b/>
                <w:bCs/>
                <w:color w:val="000000"/>
                <w:kern w:val="0"/>
                <w:lang w:eastAsia="en-GB"/>
                <w14:ligatures w14:val="none"/>
              </w:rPr>
              <w:t>RAG Status</w:t>
            </w:r>
          </w:p>
        </w:tc>
        <w:tc>
          <w:tcPr>
            <w:tcW w:w="6285" w:type="dxa"/>
            <w:tcBorders>
              <w:top w:val="single" w:sz="4" w:space="0" w:color="auto"/>
              <w:left w:val="nil"/>
              <w:bottom w:val="single" w:sz="4" w:space="0" w:color="auto"/>
              <w:right w:val="single" w:sz="4" w:space="0" w:color="auto"/>
            </w:tcBorders>
            <w:vAlign w:val="bottom"/>
            <w:hideMark/>
          </w:tcPr>
          <w:p w14:paraId="47EC90E3" w14:textId="77777777" w:rsidR="00327E49" w:rsidRPr="00327E49" w:rsidRDefault="00327E49">
            <w:pPr>
              <w:spacing w:after="0" w:line="240" w:lineRule="auto"/>
              <w:rPr>
                <w:rFonts w:ascii="Verdana" w:eastAsia="Times New Roman" w:hAnsi="Verdana" w:cs="Times New Roman"/>
                <w:b/>
                <w:bCs/>
                <w:color w:val="000000"/>
                <w:kern w:val="0"/>
                <w:lang w:eastAsia="en-GB"/>
                <w14:ligatures w14:val="none"/>
              </w:rPr>
            </w:pPr>
            <w:r w:rsidRPr="00327E49">
              <w:rPr>
                <w:rFonts w:ascii="Verdana" w:eastAsia="Times New Roman" w:hAnsi="Verdana" w:cs="Times New Roman"/>
                <w:b/>
                <w:bCs/>
                <w:color w:val="000000"/>
                <w:kern w:val="0"/>
                <w:lang w:eastAsia="en-GB"/>
                <w14:ligatures w14:val="none"/>
              </w:rPr>
              <w:t>Rationale for RAG Status</w:t>
            </w:r>
          </w:p>
        </w:tc>
      </w:tr>
      <w:tr w:rsidR="00327E49" w:rsidRPr="00327E49" w14:paraId="61E2EC0E" w14:textId="77777777" w:rsidTr="210F0FC3">
        <w:trPr>
          <w:trHeight w:val="1430"/>
        </w:trPr>
        <w:tc>
          <w:tcPr>
            <w:tcW w:w="3256" w:type="dxa"/>
            <w:tcBorders>
              <w:top w:val="nil"/>
              <w:left w:val="single" w:sz="4" w:space="0" w:color="auto"/>
              <w:bottom w:val="single" w:sz="4" w:space="0" w:color="auto"/>
              <w:right w:val="single" w:sz="4" w:space="0" w:color="auto"/>
            </w:tcBorders>
            <w:noWrap/>
            <w:hideMark/>
          </w:tcPr>
          <w:p w14:paraId="7F06592B"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D01 - Unscheduled and Emergency Care Solution</w:t>
            </w:r>
          </w:p>
        </w:tc>
        <w:tc>
          <w:tcPr>
            <w:tcW w:w="802" w:type="dxa"/>
            <w:tcBorders>
              <w:top w:val="single" w:sz="4" w:space="0" w:color="auto"/>
              <w:left w:val="single" w:sz="4" w:space="0" w:color="auto"/>
              <w:bottom w:val="single" w:sz="4" w:space="0" w:color="auto"/>
              <w:right w:val="single" w:sz="4" w:space="0" w:color="auto"/>
            </w:tcBorders>
            <w:shd w:val="clear" w:color="auto" w:fill="FFC000"/>
            <w:noWrap/>
            <w:vAlign w:val="bottom"/>
            <w:hideMark/>
          </w:tcPr>
          <w:p w14:paraId="3197C51A"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Amber</w:t>
            </w:r>
          </w:p>
        </w:tc>
        <w:tc>
          <w:tcPr>
            <w:tcW w:w="6285" w:type="dxa"/>
            <w:tcBorders>
              <w:top w:val="nil"/>
              <w:left w:val="nil"/>
              <w:bottom w:val="single" w:sz="4" w:space="0" w:color="auto"/>
              <w:right w:val="single" w:sz="4" w:space="0" w:color="auto"/>
            </w:tcBorders>
            <w:vAlign w:val="bottom"/>
            <w:hideMark/>
          </w:tcPr>
          <w:p w14:paraId="2671414D" w14:textId="383219EE"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xml:space="preserve">The requirements of the 6 goals programme to deliver against the Welsh Emergency Care Data Set (WECDS) and the need for DHCW to develop a UEC app to address this, coupled with the contract end date of Symphony in the Minor Injuries Unit (MIU) has meant that the Health Board has had to prioritise these challenges.  The Health </w:t>
            </w:r>
            <w:r w:rsidR="00031584">
              <w:rPr>
                <w:rFonts w:ascii="Verdana" w:eastAsia="Times New Roman" w:hAnsi="Verdana" w:cs="Times New Roman"/>
                <w:color w:val="000000"/>
                <w:kern w:val="0"/>
                <w:lang w:eastAsia="en-GB"/>
                <w14:ligatures w14:val="none"/>
              </w:rPr>
              <w:t>B</w:t>
            </w:r>
            <w:r w:rsidRPr="00327E49">
              <w:rPr>
                <w:rFonts w:ascii="Verdana" w:eastAsia="Times New Roman" w:hAnsi="Verdana" w:cs="Times New Roman"/>
                <w:color w:val="000000"/>
                <w:kern w:val="0"/>
                <w:lang w:eastAsia="en-GB"/>
                <w14:ligatures w14:val="none"/>
              </w:rPr>
              <w:t>oard ha</w:t>
            </w:r>
            <w:r w:rsidR="00D73E07">
              <w:rPr>
                <w:rFonts w:ascii="Verdana" w:eastAsia="Times New Roman" w:hAnsi="Verdana" w:cs="Times New Roman"/>
                <w:color w:val="000000"/>
                <w:kern w:val="0"/>
                <w:lang w:eastAsia="en-GB"/>
                <w14:ligatures w14:val="none"/>
              </w:rPr>
              <w:t>s</w:t>
            </w:r>
            <w:r w:rsidRPr="00327E49">
              <w:rPr>
                <w:rFonts w:ascii="Verdana" w:eastAsia="Times New Roman" w:hAnsi="Verdana" w:cs="Times New Roman"/>
                <w:color w:val="000000"/>
                <w:kern w:val="0"/>
                <w:lang w:eastAsia="en-GB"/>
                <w14:ligatures w14:val="none"/>
              </w:rPr>
              <w:t xml:space="preserve"> conducted engagement sessions with suppliers to assess the capabilities of their solutions in meeting our requirements, however a strategic way forward is yet to be determined.</w:t>
            </w:r>
          </w:p>
        </w:tc>
      </w:tr>
      <w:tr w:rsidR="00327E49" w:rsidRPr="00327E49" w14:paraId="35F29F4D" w14:textId="77777777" w:rsidTr="210F0FC3">
        <w:trPr>
          <w:trHeight w:val="2839"/>
        </w:trPr>
        <w:tc>
          <w:tcPr>
            <w:tcW w:w="3256" w:type="dxa"/>
            <w:tcBorders>
              <w:top w:val="nil"/>
              <w:left w:val="single" w:sz="4" w:space="0" w:color="auto"/>
              <w:bottom w:val="single" w:sz="4" w:space="0" w:color="auto"/>
              <w:right w:val="single" w:sz="4" w:space="0" w:color="auto"/>
            </w:tcBorders>
            <w:noWrap/>
            <w:hideMark/>
          </w:tcPr>
          <w:p w14:paraId="5986C10E"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D02 - Pathology digital system replacement (LIMS 2.0)</w:t>
            </w:r>
          </w:p>
        </w:tc>
        <w:tc>
          <w:tcPr>
            <w:tcW w:w="802" w:type="dxa"/>
            <w:tcBorders>
              <w:top w:val="single" w:sz="4" w:space="0" w:color="auto"/>
              <w:left w:val="single" w:sz="4" w:space="0" w:color="auto"/>
              <w:bottom w:val="single" w:sz="4" w:space="0" w:color="auto"/>
              <w:right w:val="single" w:sz="4" w:space="0" w:color="auto"/>
            </w:tcBorders>
            <w:shd w:val="clear" w:color="auto" w:fill="FF0000"/>
            <w:noWrap/>
            <w:vAlign w:val="bottom"/>
            <w:hideMark/>
          </w:tcPr>
          <w:p w14:paraId="21A92C7A"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Red</w:t>
            </w:r>
          </w:p>
        </w:tc>
        <w:tc>
          <w:tcPr>
            <w:tcW w:w="6285" w:type="dxa"/>
            <w:tcBorders>
              <w:top w:val="nil"/>
              <w:left w:val="nil"/>
              <w:bottom w:val="single" w:sz="4" w:space="0" w:color="auto"/>
              <w:right w:val="single" w:sz="4" w:space="0" w:color="auto"/>
            </w:tcBorders>
            <w:vAlign w:val="bottom"/>
            <w:hideMark/>
          </w:tcPr>
          <w:p w14:paraId="721BF77E" w14:textId="60284124"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xml:space="preserve">SBUHB Cellular Pathology’s go-live was delayed from November due to defect resolution and bulk data upload issues. A revised date of 12 January 2026 is confirmed. Blood Sciences aims for an ambitious Wales-wide go-live by end of Q1, but 217 critical defects pose significant risk. Microbiology is planned for a “big bang” implementation by April 2026, with confidence in meeting this deadline. Blood Bank faces risks as its current LIMS module becomes unsupported from August 2026, and the national migration plan is only now being worked up. To mitigate delays, a backup plan with estimated </w:t>
            </w:r>
            <w:r w:rsidR="5E630D82" w:rsidRPr="00327E49">
              <w:rPr>
                <w:rFonts w:ascii="Verdana" w:eastAsia="Times New Roman" w:hAnsi="Verdana" w:cs="Times New Roman"/>
                <w:color w:val="000000"/>
                <w:kern w:val="0"/>
                <w:lang w:eastAsia="en-GB"/>
                <w14:ligatures w14:val="none"/>
              </w:rPr>
              <w:t xml:space="preserve">SBUHB </w:t>
            </w:r>
            <w:r w:rsidRPr="00327E49">
              <w:rPr>
                <w:rFonts w:ascii="Verdana" w:eastAsia="Times New Roman" w:hAnsi="Verdana" w:cs="Times New Roman"/>
                <w:color w:val="000000"/>
                <w:kern w:val="0"/>
                <w:lang w:eastAsia="en-GB"/>
                <w14:ligatures w14:val="none"/>
              </w:rPr>
              <w:t>costs of £0.4m per quarter is under review. These delays are recorded on the Health Board risk register (Datix ID 3114, score 16).</w:t>
            </w:r>
          </w:p>
        </w:tc>
      </w:tr>
      <w:tr w:rsidR="00327E49" w:rsidRPr="00327E49" w14:paraId="28E1C1A5" w14:textId="77777777" w:rsidTr="210F0FC3">
        <w:trPr>
          <w:trHeight w:val="3106"/>
        </w:trPr>
        <w:tc>
          <w:tcPr>
            <w:tcW w:w="3256" w:type="dxa"/>
            <w:tcBorders>
              <w:top w:val="nil"/>
              <w:left w:val="single" w:sz="4" w:space="0" w:color="auto"/>
              <w:bottom w:val="single" w:sz="4" w:space="0" w:color="auto"/>
              <w:right w:val="single" w:sz="4" w:space="0" w:color="auto"/>
            </w:tcBorders>
            <w:noWrap/>
            <w:hideMark/>
          </w:tcPr>
          <w:p w14:paraId="37D610A2"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D03 - Radiology digital systems replacement (RISP)</w:t>
            </w:r>
          </w:p>
        </w:tc>
        <w:tc>
          <w:tcPr>
            <w:tcW w:w="802" w:type="dxa"/>
            <w:tcBorders>
              <w:top w:val="single" w:sz="4" w:space="0" w:color="auto"/>
              <w:left w:val="single" w:sz="4" w:space="0" w:color="auto"/>
              <w:bottom w:val="single" w:sz="4" w:space="0" w:color="auto"/>
              <w:right w:val="single" w:sz="4" w:space="0" w:color="auto"/>
            </w:tcBorders>
            <w:shd w:val="clear" w:color="auto" w:fill="FF0000"/>
            <w:noWrap/>
            <w:vAlign w:val="bottom"/>
            <w:hideMark/>
          </w:tcPr>
          <w:p w14:paraId="2A48F184"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Red</w:t>
            </w:r>
          </w:p>
        </w:tc>
        <w:tc>
          <w:tcPr>
            <w:tcW w:w="6285" w:type="dxa"/>
            <w:tcBorders>
              <w:top w:val="nil"/>
              <w:left w:val="nil"/>
              <w:bottom w:val="single" w:sz="4" w:space="0" w:color="auto"/>
              <w:right w:val="single" w:sz="4" w:space="0" w:color="auto"/>
            </w:tcBorders>
            <w:vAlign w:val="bottom"/>
            <w:hideMark/>
          </w:tcPr>
          <w:p w14:paraId="4B66268D" w14:textId="1FD57802"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xml:space="preserve">SBUHB is scheduled to go live with the Radiology system on 23 February 2026, with strong resource commitment across digital and operational teams. Quarter 3 saw good progress in system configuration and PACS data migration. Risks remain around testing (starting 5 January) and checks of scanner connectivity (21 January–11 February) potentially surfacing critical defects. The project team is closely monitoring the critical path and dependencies with DHCW, Soliton, and Philips. Concerns persist about Philips’ capacity to meet milestones; escalations continue, including a request to meet with their Managing Director in early January. Financial </w:t>
            </w:r>
            <w:r w:rsidRPr="00327E49">
              <w:rPr>
                <w:rFonts w:ascii="Verdana" w:eastAsia="Times New Roman" w:hAnsi="Verdana" w:cs="Times New Roman"/>
                <w:color w:val="000000"/>
                <w:kern w:val="0"/>
                <w:lang w:eastAsia="en-GB"/>
                <w14:ligatures w14:val="none"/>
              </w:rPr>
              <w:lastRenderedPageBreak/>
              <w:t>risk exists if Philips misses deadlines, with</w:t>
            </w:r>
            <w:r w:rsidR="25633194" w:rsidRPr="00327E49">
              <w:rPr>
                <w:rFonts w:ascii="Verdana" w:eastAsia="Times New Roman" w:hAnsi="Verdana" w:cs="Times New Roman"/>
                <w:color w:val="000000"/>
                <w:kern w:val="0"/>
                <w:lang w:eastAsia="en-GB"/>
                <w14:ligatures w14:val="none"/>
              </w:rPr>
              <w:t xml:space="preserve"> a</w:t>
            </w:r>
            <w:r w:rsidRPr="00327E49">
              <w:rPr>
                <w:rFonts w:ascii="Verdana" w:eastAsia="Times New Roman" w:hAnsi="Verdana" w:cs="Times New Roman"/>
                <w:color w:val="000000"/>
                <w:kern w:val="0"/>
                <w:lang w:eastAsia="en-GB"/>
                <w14:ligatures w14:val="none"/>
              </w:rPr>
              <w:t xml:space="preserve"> potential impact of £150k. The Fuji PACS contract has been extended to March 2027 as mitigation</w:t>
            </w:r>
            <w:r w:rsidR="5460F8EC" w:rsidRPr="00327E49">
              <w:rPr>
                <w:rFonts w:ascii="Verdana" w:eastAsia="Times New Roman" w:hAnsi="Verdana" w:cs="Times New Roman"/>
                <w:color w:val="000000"/>
                <w:kern w:val="0"/>
                <w:lang w:eastAsia="en-GB"/>
                <w14:ligatures w14:val="none"/>
              </w:rPr>
              <w:t xml:space="preserve"> to any further delays. </w:t>
            </w:r>
          </w:p>
        </w:tc>
      </w:tr>
      <w:tr w:rsidR="00327E49" w:rsidRPr="00327E49" w14:paraId="72615AF8" w14:textId="77777777" w:rsidTr="210F0FC3">
        <w:trPr>
          <w:trHeight w:val="1704"/>
        </w:trPr>
        <w:tc>
          <w:tcPr>
            <w:tcW w:w="3256" w:type="dxa"/>
            <w:tcBorders>
              <w:top w:val="nil"/>
              <w:left w:val="single" w:sz="4" w:space="0" w:color="auto"/>
              <w:bottom w:val="single" w:sz="4" w:space="0" w:color="auto"/>
              <w:right w:val="single" w:sz="4" w:space="0" w:color="auto"/>
            </w:tcBorders>
            <w:noWrap/>
            <w:hideMark/>
          </w:tcPr>
          <w:p w14:paraId="77CEA949"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lastRenderedPageBreak/>
              <w:t>D04 - Welsh Emergency Care Data Set (WECDS) Implementation</w:t>
            </w:r>
          </w:p>
        </w:tc>
        <w:tc>
          <w:tcPr>
            <w:tcW w:w="802" w:type="dxa"/>
            <w:tcBorders>
              <w:top w:val="single" w:sz="4" w:space="0" w:color="auto"/>
              <w:left w:val="single" w:sz="4" w:space="0" w:color="auto"/>
              <w:bottom w:val="single" w:sz="4" w:space="0" w:color="auto"/>
              <w:right w:val="single" w:sz="4" w:space="0" w:color="auto"/>
            </w:tcBorders>
            <w:shd w:val="clear" w:color="auto" w:fill="FFC000"/>
            <w:noWrap/>
            <w:vAlign w:val="bottom"/>
            <w:hideMark/>
          </w:tcPr>
          <w:p w14:paraId="4E414743"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Amber</w:t>
            </w:r>
          </w:p>
        </w:tc>
        <w:tc>
          <w:tcPr>
            <w:tcW w:w="6285" w:type="dxa"/>
            <w:tcBorders>
              <w:top w:val="nil"/>
              <w:left w:val="nil"/>
              <w:bottom w:val="single" w:sz="4" w:space="0" w:color="auto"/>
              <w:right w:val="single" w:sz="4" w:space="0" w:color="auto"/>
            </w:tcBorders>
            <w:vAlign w:val="bottom"/>
            <w:hideMark/>
          </w:tcPr>
          <w:p w14:paraId="3957A4FD" w14:textId="6B2613D8"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xml:space="preserve">Usability testing was conducted on the 27th March with digital and key clinical leads. </w:t>
            </w:r>
            <w:r w:rsidR="00F51903" w:rsidRPr="00327E49">
              <w:rPr>
                <w:rFonts w:ascii="Verdana" w:eastAsia="Times New Roman" w:hAnsi="Verdana" w:cs="Times New Roman"/>
                <w:color w:val="000000"/>
                <w:kern w:val="0"/>
                <w:lang w:eastAsia="en-GB"/>
                <w14:ligatures w14:val="none"/>
              </w:rPr>
              <w:t>Several</w:t>
            </w:r>
            <w:r w:rsidRPr="00327E49">
              <w:rPr>
                <w:rFonts w:ascii="Verdana" w:eastAsia="Times New Roman" w:hAnsi="Verdana" w:cs="Times New Roman"/>
                <w:color w:val="000000"/>
                <w:kern w:val="0"/>
                <w:lang w:eastAsia="en-GB"/>
                <w14:ligatures w14:val="none"/>
              </w:rPr>
              <w:t xml:space="preserve"> concerns have been </w:t>
            </w:r>
            <w:r w:rsidR="0036361E" w:rsidRPr="00327E49">
              <w:rPr>
                <w:rFonts w:ascii="Verdana" w:eastAsia="Times New Roman" w:hAnsi="Verdana" w:cs="Times New Roman"/>
                <w:color w:val="000000"/>
                <w:kern w:val="0"/>
                <w:lang w:eastAsia="en-GB"/>
                <w14:ligatures w14:val="none"/>
              </w:rPr>
              <w:t>flagged;</w:t>
            </w:r>
            <w:r w:rsidRPr="00327E49">
              <w:rPr>
                <w:rFonts w:ascii="Verdana" w:eastAsia="Times New Roman" w:hAnsi="Verdana" w:cs="Times New Roman"/>
                <w:color w:val="000000"/>
                <w:kern w:val="0"/>
                <w:lang w:eastAsia="en-GB"/>
                <w14:ligatures w14:val="none"/>
              </w:rPr>
              <w:t xml:space="preserve"> the first release will not provide the write back of demographics to WPAS. This will result in duplication of effort, as users will be required to update demographic details in WPAS and the UEC app. This has led to significant concerns from clinical, operational and digital leads. UAT testing has been delayed to March</w:t>
            </w:r>
          </w:p>
        </w:tc>
      </w:tr>
      <w:tr w:rsidR="00327E49" w:rsidRPr="00327E49" w14:paraId="0F65C935"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1BEBCCDD"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D05 - Patient Portal/NHS App</w:t>
            </w:r>
          </w:p>
        </w:tc>
        <w:tc>
          <w:tcPr>
            <w:tcW w:w="802" w:type="dxa"/>
            <w:tcBorders>
              <w:top w:val="single" w:sz="4" w:space="0" w:color="auto"/>
              <w:left w:val="single" w:sz="4" w:space="0" w:color="auto"/>
              <w:bottom w:val="single" w:sz="4" w:space="0" w:color="auto"/>
              <w:right w:val="single" w:sz="4" w:space="0" w:color="auto"/>
            </w:tcBorders>
            <w:shd w:val="clear" w:color="auto" w:fill="00B050"/>
            <w:noWrap/>
            <w:vAlign w:val="bottom"/>
            <w:hideMark/>
          </w:tcPr>
          <w:p w14:paraId="401EFBFF"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Green</w:t>
            </w:r>
          </w:p>
        </w:tc>
        <w:tc>
          <w:tcPr>
            <w:tcW w:w="6285" w:type="dxa"/>
            <w:tcBorders>
              <w:top w:val="nil"/>
              <w:left w:val="nil"/>
              <w:bottom w:val="single" w:sz="4" w:space="0" w:color="auto"/>
              <w:right w:val="single" w:sz="4" w:space="0" w:color="auto"/>
            </w:tcBorders>
            <w:vAlign w:val="bottom"/>
            <w:hideMark/>
          </w:tcPr>
          <w:p w14:paraId="7FB64AF0"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57089DD6"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4EE4BF02"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D06 - Connecting Care (Rio Implementation across Integrated Teams)</w:t>
            </w:r>
          </w:p>
        </w:tc>
        <w:tc>
          <w:tcPr>
            <w:tcW w:w="802" w:type="dxa"/>
            <w:tcBorders>
              <w:top w:val="single" w:sz="4" w:space="0" w:color="auto"/>
              <w:left w:val="single" w:sz="4" w:space="0" w:color="auto"/>
              <w:bottom w:val="single" w:sz="4" w:space="0" w:color="auto"/>
              <w:right w:val="single" w:sz="4" w:space="0" w:color="auto"/>
            </w:tcBorders>
            <w:shd w:val="clear" w:color="auto" w:fill="00B050"/>
            <w:noWrap/>
            <w:vAlign w:val="bottom"/>
            <w:hideMark/>
          </w:tcPr>
          <w:p w14:paraId="388097E1"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Green</w:t>
            </w:r>
          </w:p>
        </w:tc>
        <w:tc>
          <w:tcPr>
            <w:tcW w:w="6285" w:type="dxa"/>
            <w:tcBorders>
              <w:top w:val="nil"/>
              <w:left w:val="nil"/>
              <w:bottom w:val="single" w:sz="4" w:space="0" w:color="auto"/>
              <w:right w:val="single" w:sz="4" w:space="0" w:color="auto"/>
            </w:tcBorders>
            <w:vAlign w:val="bottom"/>
            <w:hideMark/>
          </w:tcPr>
          <w:p w14:paraId="384F58A6"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78F6B085"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009C0A2A"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D07 - Hybrid Mail</w:t>
            </w:r>
          </w:p>
        </w:tc>
        <w:tc>
          <w:tcPr>
            <w:tcW w:w="802" w:type="dxa"/>
            <w:tcBorders>
              <w:top w:val="single" w:sz="4" w:space="0" w:color="auto"/>
              <w:left w:val="single" w:sz="4" w:space="0" w:color="auto"/>
              <w:bottom w:val="single" w:sz="4" w:space="0" w:color="auto"/>
              <w:right w:val="single" w:sz="4" w:space="0" w:color="auto"/>
            </w:tcBorders>
            <w:shd w:val="clear" w:color="auto" w:fill="00B050"/>
            <w:noWrap/>
            <w:vAlign w:val="bottom"/>
            <w:hideMark/>
          </w:tcPr>
          <w:p w14:paraId="7D3EA48D"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Green</w:t>
            </w:r>
          </w:p>
        </w:tc>
        <w:tc>
          <w:tcPr>
            <w:tcW w:w="6285" w:type="dxa"/>
            <w:tcBorders>
              <w:top w:val="nil"/>
              <w:left w:val="nil"/>
              <w:bottom w:val="single" w:sz="4" w:space="0" w:color="auto"/>
              <w:right w:val="single" w:sz="4" w:space="0" w:color="auto"/>
            </w:tcBorders>
            <w:vAlign w:val="bottom"/>
            <w:hideMark/>
          </w:tcPr>
          <w:p w14:paraId="673BB75F"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0046FC76"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2ADEC592"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D08 - Signal</w:t>
            </w:r>
          </w:p>
        </w:tc>
        <w:tc>
          <w:tcPr>
            <w:tcW w:w="802" w:type="dxa"/>
            <w:tcBorders>
              <w:top w:val="single" w:sz="4" w:space="0" w:color="auto"/>
              <w:left w:val="single" w:sz="4" w:space="0" w:color="auto"/>
              <w:bottom w:val="single" w:sz="4" w:space="0" w:color="auto"/>
              <w:right w:val="single" w:sz="4" w:space="0" w:color="auto"/>
            </w:tcBorders>
            <w:shd w:val="clear" w:color="auto" w:fill="00B050"/>
            <w:noWrap/>
            <w:vAlign w:val="bottom"/>
            <w:hideMark/>
          </w:tcPr>
          <w:p w14:paraId="3F4E3134"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Green</w:t>
            </w:r>
          </w:p>
        </w:tc>
        <w:tc>
          <w:tcPr>
            <w:tcW w:w="6285" w:type="dxa"/>
            <w:tcBorders>
              <w:top w:val="nil"/>
              <w:left w:val="nil"/>
              <w:bottom w:val="single" w:sz="4" w:space="0" w:color="auto"/>
              <w:right w:val="single" w:sz="4" w:space="0" w:color="auto"/>
            </w:tcBorders>
            <w:vAlign w:val="bottom"/>
            <w:hideMark/>
          </w:tcPr>
          <w:p w14:paraId="35C27673"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0950F168"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3E4FF6CF"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D09 - Welsh Clinical Portal - Hospital Initiated Referrals</w:t>
            </w:r>
          </w:p>
        </w:tc>
        <w:tc>
          <w:tcPr>
            <w:tcW w:w="802" w:type="dxa"/>
            <w:tcBorders>
              <w:top w:val="single" w:sz="4" w:space="0" w:color="auto"/>
              <w:left w:val="single" w:sz="4" w:space="0" w:color="auto"/>
              <w:bottom w:val="single" w:sz="4" w:space="0" w:color="auto"/>
              <w:right w:val="single" w:sz="4" w:space="0" w:color="auto"/>
            </w:tcBorders>
            <w:shd w:val="clear" w:color="auto" w:fill="00B050"/>
            <w:noWrap/>
            <w:vAlign w:val="bottom"/>
            <w:hideMark/>
          </w:tcPr>
          <w:p w14:paraId="1CBC4908"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Green</w:t>
            </w:r>
          </w:p>
        </w:tc>
        <w:tc>
          <w:tcPr>
            <w:tcW w:w="6285" w:type="dxa"/>
            <w:tcBorders>
              <w:top w:val="nil"/>
              <w:left w:val="nil"/>
              <w:bottom w:val="single" w:sz="4" w:space="0" w:color="auto"/>
              <w:right w:val="single" w:sz="4" w:space="0" w:color="auto"/>
            </w:tcBorders>
            <w:vAlign w:val="bottom"/>
            <w:hideMark/>
          </w:tcPr>
          <w:p w14:paraId="7E4A73FF"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56F5C0AC"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0149C853"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D10 - Digital Health Assessments</w:t>
            </w:r>
          </w:p>
        </w:tc>
        <w:tc>
          <w:tcPr>
            <w:tcW w:w="802" w:type="dxa"/>
            <w:tcBorders>
              <w:top w:val="single" w:sz="4" w:space="0" w:color="auto"/>
              <w:left w:val="single" w:sz="4" w:space="0" w:color="auto"/>
              <w:bottom w:val="single" w:sz="4" w:space="0" w:color="auto"/>
              <w:right w:val="single" w:sz="4" w:space="0" w:color="auto"/>
            </w:tcBorders>
            <w:shd w:val="clear" w:color="auto" w:fill="00B050"/>
            <w:noWrap/>
            <w:vAlign w:val="bottom"/>
            <w:hideMark/>
          </w:tcPr>
          <w:p w14:paraId="0696CBB5"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Green</w:t>
            </w:r>
          </w:p>
        </w:tc>
        <w:tc>
          <w:tcPr>
            <w:tcW w:w="6285" w:type="dxa"/>
            <w:tcBorders>
              <w:top w:val="nil"/>
              <w:left w:val="nil"/>
              <w:bottom w:val="single" w:sz="4" w:space="0" w:color="auto"/>
              <w:right w:val="single" w:sz="4" w:space="0" w:color="auto"/>
            </w:tcBorders>
            <w:vAlign w:val="bottom"/>
            <w:hideMark/>
          </w:tcPr>
          <w:p w14:paraId="62119108"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39C869DE"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2CED5C21"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D11 - Welsh Nursing Care Record - Paediatrics</w:t>
            </w:r>
          </w:p>
        </w:tc>
        <w:tc>
          <w:tcPr>
            <w:tcW w:w="802" w:type="dxa"/>
            <w:tcBorders>
              <w:top w:val="single" w:sz="4" w:space="0" w:color="auto"/>
              <w:left w:val="single" w:sz="4" w:space="0" w:color="auto"/>
              <w:bottom w:val="single" w:sz="4" w:space="0" w:color="auto"/>
              <w:right w:val="single" w:sz="4" w:space="0" w:color="auto"/>
            </w:tcBorders>
            <w:shd w:val="clear" w:color="auto" w:fill="00B050"/>
            <w:noWrap/>
            <w:vAlign w:val="bottom"/>
            <w:hideMark/>
          </w:tcPr>
          <w:p w14:paraId="28F42911"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Green</w:t>
            </w:r>
          </w:p>
        </w:tc>
        <w:tc>
          <w:tcPr>
            <w:tcW w:w="6285" w:type="dxa"/>
            <w:tcBorders>
              <w:top w:val="nil"/>
              <w:left w:val="nil"/>
              <w:bottom w:val="single" w:sz="4" w:space="0" w:color="auto"/>
              <w:right w:val="single" w:sz="4" w:space="0" w:color="auto"/>
            </w:tcBorders>
            <w:vAlign w:val="bottom"/>
            <w:hideMark/>
          </w:tcPr>
          <w:p w14:paraId="39D84B2A"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5334DD98" w14:textId="77777777" w:rsidTr="210F0FC3">
        <w:trPr>
          <w:trHeight w:val="955"/>
        </w:trPr>
        <w:tc>
          <w:tcPr>
            <w:tcW w:w="3256" w:type="dxa"/>
            <w:tcBorders>
              <w:top w:val="nil"/>
              <w:left w:val="single" w:sz="4" w:space="0" w:color="auto"/>
              <w:bottom w:val="single" w:sz="4" w:space="0" w:color="auto"/>
              <w:right w:val="single" w:sz="4" w:space="0" w:color="auto"/>
            </w:tcBorders>
            <w:noWrap/>
            <w:hideMark/>
          </w:tcPr>
          <w:p w14:paraId="58923ACB"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D12 - Digital Maternity Cymru</w:t>
            </w:r>
          </w:p>
        </w:tc>
        <w:tc>
          <w:tcPr>
            <w:tcW w:w="802" w:type="dxa"/>
            <w:tcBorders>
              <w:top w:val="single" w:sz="4" w:space="0" w:color="auto"/>
              <w:left w:val="single" w:sz="4" w:space="0" w:color="auto"/>
              <w:bottom w:val="single" w:sz="4" w:space="0" w:color="auto"/>
              <w:right w:val="single" w:sz="4" w:space="0" w:color="auto"/>
            </w:tcBorders>
            <w:shd w:val="clear" w:color="auto" w:fill="FFC000"/>
            <w:noWrap/>
            <w:vAlign w:val="bottom"/>
            <w:hideMark/>
          </w:tcPr>
          <w:p w14:paraId="7CE67315"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Amber</w:t>
            </w:r>
          </w:p>
        </w:tc>
        <w:tc>
          <w:tcPr>
            <w:tcW w:w="6285" w:type="dxa"/>
            <w:tcBorders>
              <w:top w:val="nil"/>
              <w:left w:val="nil"/>
              <w:bottom w:val="single" w:sz="4" w:space="0" w:color="auto"/>
              <w:right w:val="single" w:sz="4" w:space="0" w:color="auto"/>
            </w:tcBorders>
            <w:vAlign w:val="bottom"/>
            <w:hideMark/>
          </w:tcPr>
          <w:p w14:paraId="2FD9D7B4" w14:textId="6CD6B61C"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xml:space="preserve">RAG </w:t>
            </w:r>
            <w:r w:rsidR="5D1F69FC" w:rsidRPr="00327E49">
              <w:rPr>
                <w:rFonts w:ascii="Verdana" w:eastAsia="Times New Roman" w:hAnsi="Verdana" w:cs="Times New Roman"/>
                <w:color w:val="000000"/>
                <w:kern w:val="0"/>
                <w:lang w:eastAsia="en-GB"/>
                <w14:ligatures w14:val="none"/>
              </w:rPr>
              <w:t xml:space="preserve">status </w:t>
            </w:r>
            <w:r w:rsidRPr="00327E49">
              <w:rPr>
                <w:rFonts w:ascii="Verdana" w:eastAsia="Times New Roman" w:hAnsi="Verdana" w:cs="Times New Roman"/>
                <w:color w:val="000000"/>
                <w:kern w:val="0"/>
                <w:lang w:eastAsia="en-GB"/>
                <w14:ligatures w14:val="none"/>
              </w:rPr>
              <w:t>remains</w:t>
            </w:r>
            <w:r w:rsidR="2770A513" w:rsidRPr="00327E49">
              <w:rPr>
                <w:rFonts w:ascii="Verdana" w:eastAsia="Times New Roman" w:hAnsi="Verdana" w:cs="Times New Roman"/>
                <w:color w:val="000000"/>
                <w:kern w:val="0"/>
                <w:lang w:eastAsia="en-GB"/>
                <w14:ligatures w14:val="none"/>
              </w:rPr>
              <w:t xml:space="preserve"> as</w:t>
            </w:r>
            <w:r w:rsidRPr="00327E49">
              <w:rPr>
                <w:rFonts w:ascii="Verdana" w:eastAsia="Times New Roman" w:hAnsi="Verdana" w:cs="Times New Roman"/>
                <w:color w:val="000000"/>
                <w:kern w:val="0"/>
                <w:lang w:eastAsia="en-GB"/>
                <w14:ligatures w14:val="none"/>
              </w:rPr>
              <w:t xml:space="preserve"> Amber due to ongoing concerns regarding the limited integrations </w:t>
            </w:r>
            <w:r w:rsidR="598C3E10" w:rsidRPr="00327E49">
              <w:rPr>
                <w:rFonts w:ascii="Verdana" w:eastAsia="Times New Roman" w:hAnsi="Verdana" w:cs="Times New Roman"/>
                <w:color w:val="000000"/>
                <w:kern w:val="0"/>
                <w:lang w:eastAsia="en-GB"/>
                <w14:ligatures w14:val="none"/>
              </w:rPr>
              <w:t xml:space="preserve">scheduled for delivery in readiness </w:t>
            </w:r>
            <w:r w:rsidRPr="00327E49">
              <w:rPr>
                <w:rFonts w:ascii="Verdana" w:eastAsia="Times New Roman" w:hAnsi="Verdana" w:cs="Times New Roman"/>
                <w:color w:val="000000"/>
                <w:kern w:val="0"/>
                <w:lang w:eastAsia="en-GB"/>
                <w14:ligatures w14:val="none"/>
              </w:rPr>
              <w:t>f</w:t>
            </w:r>
            <w:r w:rsidR="2126377A" w:rsidRPr="00327E49">
              <w:rPr>
                <w:rFonts w:ascii="Verdana" w:eastAsia="Times New Roman" w:hAnsi="Verdana" w:cs="Times New Roman"/>
                <w:color w:val="000000"/>
                <w:kern w:val="0"/>
                <w:lang w:eastAsia="en-GB"/>
                <w14:ligatures w14:val="none"/>
              </w:rPr>
              <w:t>or go live in March 2026</w:t>
            </w:r>
            <w:r w:rsidRPr="00327E49">
              <w:rPr>
                <w:rFonts w:ascii="Verdana" w:eastAsia="Times New Roman" w:hAnsi="Verdana" w:cs="Times New Roman"/>
                <w:color w:val="000000"/>
                <w:kern w:val="0"/>
                <w:lang w:eastAsia="en-GB"/>
                <w14:ligatures w14:val="none"/>
              </w:rPr>
              <w:t xml:space="preserve">. A clinical risk assessment has been undertaken, which is being escalated nationally. There is also slippage within the </w:t>
            </w:r>
            <w:r w:rsidR="5493292D" w:rsidRPr="00327E49">
              <w:rPr>
                <w:rFonts w:ascii="Verdana" w:eastAsia="Times New Roman" w:hAnsi="Verdana" w:cs="Times New Roman"/>
                <w:color w:val="000000"/>
                <w:kern w:val="0"/>
                <w:lang w:eastAsia="en-GB"/>
                <w14:ligatures w14:val="none"/>
              </w:rPr>
              <w:lastRenderedPageBreak/>
              <w:t>configuration workstream,</w:t>
            </w:r>
            <w:r w:rsidRPr="00327E49">
              <w:rPr>
                <w:rFonts w:ascii="Verdana" w:eastAsia="Times New Roman" w:hAnsi="Verdana" w:cs="Times New Roman"/>
                <w:color w:val="000000"/>
                <w:kern w:val="0"/>
                <w:lang w:eastAsia="en-GB"/>
                <w14:ligatures w14:val="none"/>
              </w:rPr>
              <w:t xml:space="preserve"> however the team remain committed to working to meet the challenging timescales which were agreed nationally.</w:t>
            </w:r>
          </w:p>
        </w:tc>
      </w:tr>
      <w:tr w:rsidR="00327E49" w:rsidRPr="00327E49" w14:paraId="07C9C5F4" w14:textId="77777777" w:rsidTr="210F0FC3">
        <w:trPr>
          <w:trHeight w:val="1160"/>
        </w:trPr>
        <w:tc>
          <w:tcPr>
            <w:tcW w:w="3256" w:type="dxa"/>
            <w:tcBorders>
              <w:top w:val="nil"/>
              <w:left w:val="single" w:sz="4" w:space="0" w:color="auto"/>
              <w:bottom w:val="single" w:sz="4" w:space="0" w:color="auto"/>
              <w:right w:val="single" w:sz="4" w:space="0" w:color="auto"/>
            </w:tcBorders>
            <w:noWrap/>
            <w:hideMark/>
          </w:tcPr>
          <w:p w14:paraId="2E25FBD1" w14:textId="113CBF10"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lastRenderedPageBreak/>
              <w:t>D13 - e-Prescribing &amp; Meds Management</w:t>
            </w:r>
            <w:r w:rsidR="6EA1088B" w:rsidRPr="00327E49">
              <w:rPr>
                <w:rFonts w:ascii="Verdana" w:eastAsia="Times New Roman" w:hAnsi="Verdana" w:cs="Times New Roman"/>
                <w:color w:val="000000"/>
                <w:kern w:val="0"/>
                <w:lang w:eastAsia="en-GB"/>
                <w14:ligatures w14:val="none"/>
              </w:rPr>
              <w:t xml:space="preserve"> (shared medicines record) </w:t>
            </w:r>
          </w:p>
        </w:tc>
        <w:tc>
          <w:tcPr>
            <w:tcW w:w="802" w:type="dxa"/>
            <w:tcBorders>
              <w:top w:val="single" w:sz="4" w:space="0" w:color="auto"/>
              <w:left w:val="single" w:sz="4" w:space="0" w:color="auto"/>
              <w:bottom w:val="single" w:sz="4" w:space="0" w:color="auto"/>
              <w:right w:val="single" w:sz="4" w:space="0" w:color="auto"/>
            </w:tcBorders>
            <w:shd w:val="clear" w:color="auto" w:fill="FFC000"/>
            <w:noWrap/>
            <w:vAlign w:val="bottom"/>
            <w:hideMark/>
          </w:tcPr>
          <w:p w14:paraId="023A547A"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Amber</w:t>
            </w:r>
          </w:p>
        </w:tc>
        <w:tc>
          <w:tcPr>
            <w:tcW w:w="6285" w:type="dxa"/>
            <w:tcBorders>
              <w:top w:val="nil"/>
              <w:left w:val="nil"/>
              <w:bottom w:val="single" w:sz="4" w:space="0" w:color="auto"/>
              <w:right w:val="single" w:sz="4" w:space="0" w:color="auto"/>
            </w:tcBorders>
            <w:vAlign w:val="bottom"/>
            <w:hideMark/>
          </w:tcPr>
          <w:p w14:paraId="12C76DBE" w14:textId="496761AB"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There is still a dependency on System C to provide us with development timescales and costs. We are working with System C to review what is required to develop the integration to the SMR, with a view this</w:t>
            </w:r>
            <w:r w:rsidR="5475DEC4" w:rsidRPr="00327E49">
              <w:rPr>
                <w:rFonts w:ascii="Verdana" w:eastAsia="Times New Roman" w:hAnsi="Verdana" w:cs="Times New Roman"/>
                <w:color w:val="000000"/>
                <w:kern w:val="0"/>
                <w:lang w:eastAsia="en-GB"/>
                <w14:ligatures w14:val="none"/>
              </w:rPr>
              <w:t xml:space="preserve"> capability</w:t>
            </w:r>
            <w:r w:rsidRPr="00327E49">
              <w:rPr>
                <w:rFonts w:ascii="Verdana" w:eastAsia="Times New Roman" w:hAnsi="Verdana" w:cs="Times New Roman"/>
                <w:color w:val="000000"/>
                <w:kern w:val="0"/>
                <w:lang w:eastAsia="en-GB"/>
                <w14:ligatures w14:val="none"/>
              </w:rPr>
              <w:t xml:space="preserve"> will be on their roadmap for 26/27</w:t>
            </w:r>
            <w:r w:rsidR="5E3878B0" w:rsidRPr="00327E49">
              <w:rPr>
                <w:rFonts w:ascii="Verdana" w:eastAsia="Times New Roman" w:hAnsi="Verdana" w:cs="Times New Roman"/>
                <w:color w:val="000000"/>
                <w:kern w:val="0"/>
                <w:lang w:eastAsia="en-GB"/>
                <w14:ligatures w14:val="none"/>
              </w:rPr>
              <w:t xml:space="preserve">. </w:t>
            </w:r>
          </w:p>
        </w:tc>
      </w:tr>
      <w:tr w:rsidR="00327E49" w:rsidRPr="00327E49" w14:paraId="36CE46A9"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62BBE766"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D14 - WPAS and associated services disaggregation</w:t>
            </w:r>
          </w:p>
        </w:tc>
        <w:tc>
          <w:tcPr>
            <w:tcW w:w="802" w:type="dxa"/>
            <w:tcBorders>
              <w:top w:val="single" w:sz="4" w:space="0" w:color="auto"/>
              <w:left w:val="single" w:sz="4" w:space="0" w:color="auto"/>
              <w:bottom w:val="single" w:sz="4" w:space="0" w:color="auto"/>
              <w:right w:val="single" w:sz="4" w:space="0" w:color="auto"/>
            </w:tcBorders>
            <w:shd w:val="clear" w:color="auto" w:fill="00B050"/>
            <w:noWrap/>
            <w:vAlign w:val="bottom"/>
            <w:hideMark/>
          </w:tcPr>
          <w:p w14:paraId="5DA91203"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Green</w:t>
            </w:r>
          </w:p>
        </w:tc>
        <w:tc>
          <w:tcPr>
            <w:tcW w:w="6285" w:type="dxa"/>
            <w:tcBorders>
              <w:top w:val="nil"/>
              <w:left w:val="nil"/>
              <w:bottom w:val="single" w:sz="4" w:space="0" w:color="auto"/>
              <w:right w:val="single" w:sz="4" w:space="0" w:color="auto"/>
            </w:tcBorders>
            <w:vAlign w:val="bottom"/>
            <w:hideMark/>
          </w:tcPr>
          <w:p w14:paraId="3A24F4C0"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520DBC1A"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2279A43A"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D15 - Implement Open Eyes (Open ERS/Open EPR)</w:t>
            </w:r>
          </w:p>
        </w:tc>
        <w:tc>
          <w:tcPr>
            <w:tcW w:w="802" w:type="dxa"/>
            <w:tcBorders>
              <w:top w:val="single" w:sz="4" w:space="0" w:color="auto"/>
              <w:left w:val="single" w:sz="4" w:space="0" w:color="auto"/>
              <w:bottom w:val="single" w:sz="4" w:space="0" w:color="auto"/>
              <w:right w:val="single" w:sz="4" w:space="0" w:color="auto"/>
            </w:tcBorders>
            <w:shd w:val="clear" w:color="auto" w:fill="FFC000"/>
            <w:noWrap/>
            <w:vAlign w:val="bottom"/>
            <w:hideMark/>
          </w:tcPr>
          <w:p w14:paraId="2F9E0EF3"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Amber</w:t>
            </w:r>
          </w:p>
        </w:tc>
        <w:tc>
          <w:tcPr>
            <w:tcW w:w="6285" w:type="dxa"/>
            <w:tcBorders>
              <w:top w:val="nil"/>
              <w:left w:val="nil"/>
              <w:bottom w:val="single" w:sz="4" w:space="0" w:color="auto"/>
              <w:right w:val="single" w:sz="4" w:space="0" w:color="auto"/>
            </w:tcBorders>
            <w:vAlign w:val="bottom"/>
            <w:hideMark/>
          </w:tcPr>
          <w:p w14:paraId="5DB05DDC" w14:textId="31C2B5DB" w:rsidR="00327E49" w:rsidRPr="00327E49" w:rsidRDefault="14E23E00">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xml:space="preserve">Open Eyes continues to well received by the </w:t>
            </w:r>
            <w:r w:rsidR="19C215F8" w:rsidRPr="00327E49">
              <w:rPr>
                <w:rFonts w:ascii="Verdana" w:eastAsia="Times New Roman" w:hAnsi="Verdana" w:cs="Times New Roman"/>
                <w:color w:val="000000"/>
                <w:kern w:val="0"/>
                <w:lang w:eastAsia="en-GB"/>
                <w14:ligatures w14:val="none"/>
              </w:rPr>
              <w:t>Ophthalmology Service.</w:t>
            </w:r>
            <w:r w:rsidR="00327E49" w:rsidRPr="00327E49">
              <w:rPr>
                <w:rFonts w:ascii="Verdana" w:eastAsia="Times New Roman" w:hAnsi="Verdana" w:cs="Times New Roman"/>
                <w:color w:val="000000"/>
                <w:kern w:val="0"/>
                <w:lang w:eastAsia="en-GB"/>
                <w14:ligatures w14:val="none"/>
              </w:rPr>
              <w:t xml:space="preserve"> </w:t>
            </w:r>
            <w:r w:rsidR="6BDE1BDA" w:rsidRPr="00327E49">
              <w:rPr>
                <w:rFonts w:ascii="Verdana" w:eastAsia="Times New Roman" w:hAnsi="Verdana" w:cs="Times New Roman"/>
                <w:color w:val="000000"/>
                <w:kern w:val="0"/>
                <w:lang w:eastAsia="en-GB"/>
                <w14:ligatures w14:val="none"/>
              </w:rPr>
              <w:t xml:space="preserve"> Welsh Government have written to all organisations to mandate the implementation of the </w:t>
            </w:r>
            <w:r w:rsidR="00327E49" w:rsidRPr="00327E49">
              <w:rPr>
                <w:rFonts w:ascii="Verdana" w:eastAsia="Times New Roman" w:hAnsi="Verdana" w:cs="Times New Roman"/>
                <w:color w:val="000000"/>
                <w:kern w:val="0"/>
                <w:lang w:eastAsia="en-GB"/>
                <w14:ligatures w14:val="none"/>
              </w:rPr>
              <w:t>E</w:t>
            </w:r>
            <w:r w:rsidR="09DEE67A" w:rsidRPr="00327E49">
              <w:rPr>
                <w:rFonts w:ascii="Verdana" w:eastAsia="Times New Roman" w:hAnsi="Verdana" w:cs="Times New Roman"/>
                <w:color w:val="000000"/>
                <w:kern w:val="0"/>
                <w:lang w:eastAsia="en-GB"/>
                <w14:ligatures w14:val="none"/>
              </w:rPr>
              <w:t xml:space="preserve">lectronic </w:t>
            </w:r>
            <w:r w:rsidR="00327E49" w:rsidRPr="00327E49">
              <w:rPr>
                <w:rFonts w:ascii="Verdana" w:eastAsia="Times New Roman" w:hAnsi="Verdana" w:cs="Times New Roman"/>
                <w:color w:val="000000"/>
                <w:kern w:val="0"/>
                <w:lang w:eastAsia="en-GB"/>
                <w14:ligatures w14:val="none"/>
              </w:rPr>
              <w:t>R</w:t>
            </w:r>
            <w:r w:rsidR="7B64C88F" w:rsidRPr="00327E49">
              <w:rPr>
                <w:rFonts w:ascii="Verdana" w:eastAsia="Times New Roman" w:hAnsi="Verdana" w:cs="Times New Roman"/>
                <w:color w:val="000000"/>
                <w:kern w:val="0"/>
                <w:lang w:eastAsia="en-GB"/>
                <w14:ligatures w14:val="none"/>
              </w:rPr>
              <w:t>eferral System</w:t>
            </w:r>
            <w:r w:rsidR="00327E49" w:rsidRPr="00327E49">
              <w:rPr>
                <w:rFonts w:ascii="Verdana" w:eastAsia="Times New Roman" w:hAnsi="Verdana" w:cs="Times New Roman"/>
                <w:color w:val="000000"/>
                <w:kern w:val="0"/>
                <w:lang w:eastAsia="en-GB"/>
                <w14:ligatures w14:val="none"/>
              </w:rPr>
              <w:t xml:space="preserve"> solution to support WGOS pathways</w:t>
            </w:r>
            <w:r w:rsidR="6DDEF669" w:rsidRPr="00327E49">
              <w:rPr>
                <w:rFonts w:ascii="Verdana" w:eastAsia="Times New Roman" w:hAnsi="Verdana" w:cs="Times New Roman"/>
                <w:color w:val="000000"/>
                <w:kern w:val="0"/>
                <w:lang w:eastAsia="en-GB"/>
                <w14:ligatures w14:val="none"/>
              </w:rPr>
              <w:t xml:space="preserve"> which is currently being configured nationally by DHCW.</w:t>
            </w:r>
            <w:r w:rsidR="00327E49" w:rsidRPr="00327E49">
              <w:rPr>
                <w:rFonts w:ascii="Verdana" w:eastAsia="Times New Roman" w:hAnsi="Verdana" w:cs="Times New Roman"/>
                <w:color w:val="000000"/>
                <w:kern w:val="0"/>
                <w:lang w:eastAsia="en-GB"/>
                <w14:ligatures w14:val="none"/>
              </w:rPr>
              <w:t xml:space="preserve"> Timescales for completion </w:t>
            </w:r>
            <w:r w:rsidR="776DF4EA" w:rsidRPr="00327E49">
              <w:rPr>
                <w:rFonts w:ascii="Verdana" w:eastAsia="Times New Roman" w:hAnsi="Verdana" w:cs="Times New Roman"/>
                <w:color w:val="000000"/>
                <w:kern w:val="0"/>
                <w:lang w:eastAsia="en-GB"/>
                <w14:ligatures w14:val="none"/>
              </w:rPr>
              <w:t>are unavailable</w:t>
            </w:r>
            <w:r w:rsidR="00327E49" w:rsidRPr="00327E49">
              <w:rPr>
                <w:rFonts w:ascii="Verdana" w:eastAsia="Times New Roman" w:hAnsi="Verdana" w:cs="Times New Roman"/>
                <w:color w:val="000000"/>
                <w:kern w:val="0"/>
                <w:lang w:eastAsia="en-GB"/>
                <w14:ligatures w14:val="none"/>
              </w:rPr>
              <w:t>. In addition, DHCW are yet to</w:t>
            </w:r>
            <w:r w:rsidR="329EB20C" w:rsidRPr="00327E49">
              <w:rPr>
                <w:rFonts w:ascii="Verdana" w:eastAsia="Times New Roman" w:hAnsi="Verdana" w:cs="Times New Roman"/>
                <w:color w:val="000000"/>
                <w:kern w:val="0"/>
                <w:lang w:eastAsia="en-GB"/>
                <w14:ligatures w14:val="none"/>
              </w:rPr>
              <w:t xml:space="preserve"> engage with Health Boards to</w:t>
            </w:r>
            <w:r w:rsidR="00327E49" w:rsidRPr="00327E49">
              <w:rPr>
                <w:rFonts w:ascii="Verdana" w:eastAsia="Times New Roman" w:hAnsi="Verdana" w:cs="Times New Roman"/>
                <w:color w:val="000000"/>
                <w:kern w:val="0"/>
                <w:lang w:eastAsia="en-GB"/>
                <w14:ligatures w14:val="none"/>
              </w:rPr>
              <w:t xml:space="preserve"> agree a rollout schedule</w:t>
            </w:r>
            <w:r w:rsidR="7B3AF883" w:rsidRPr="00327E49">
              <w:rPr>
                <w:rFonts w:ascii="Verdana" w:eastAsia="Times New Roman" w:hAnsi="Verdana" w:cs="Times New Roman"/>
                <w:color w:val="000000"/>
                <w:kern w:val="0"/>
                <w:lang w:eastAsia="en-GB"/>
                <w14:ligatures w14:val="none"/>
              </w:rPr>
              <w:t xml:space="preserve">. </w:t>
            </w:r>
          </w:p>
        </w:tc>
      </w:tr>
      <w:tr w:rsidR="00327E49" w:rsidRPr="00327E49" w14:paraId="1E303BD8" w14:textId="77777777" w:rsidTr="210F0FC3">
        <w:trPr>
          <w:trHeight w:val="370"/>
        </w:trPr>
        <w:tc>
          <w:tcPr>
            <w:tcW w:w="3256" w:type="dxa"/>
            <w:tcBorders>
              <w:top w:val="nil"/>
              <w:left w:val="single" w:sz="4" w:space="0" w:color="auto"/>
              <w:bottom w:val="single" w:sz="4" w:space="0" w:color="auto"/>
              <w:right w:val="single" w:sz="4" w:space="0" w:color="auto"/>
            </w:tcBorders>
            <w:noWrap/>
            <w:hideMark/>
          </w:tcPr>
          <w:p w14:paraId="73F622F5"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D16 - Welsh Intensive Care Information System - Implementation</w:t>
            </w:r>
          </w:p>
        </w:tc>
        <w:tc>
          <w:tcPr>
            <w:tcW w:w="802" w:type="dxa"/>
            <w:tcBorders>
              <w:top w:val="single" w:sz="4" w:space="0" w:color="auto"/>
              <w:left w:val="single" w:sz="4" w:space="0" w:color="auto"/>
              <w:bottom w:val="single" w:sz="4" w:space="0" w:color="auto"/>
              <w:right w:val="single" w:sz="4" w:space="0" w:color="auto"/>
            </w:tcBorders>
            <w:shd w:val="clear" w:color="auto" w:fill="00B050"/>
            <w:noWrap/>
            <w:vAlign w:val="bottom"/>
            <w:hideMark/>
          </w:tcPr>
          <w:p w14:paraId="44A81853"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Green</w:t>
            </w:r>
          </w:p>
        </w:tc>
        <w:tc>
          <w:tcPr>
            <w:tcW w:w="6285" w:type="dxa"/>
            <w:tcBorders>
              <w:top w:val="nil"/>
              <w:left w:val="nil"/>
              <w:bottom w:val="single" w:sz="4" w:space="0" w:color="auto"/>
              <w:right w:val="single" w:sz="4" w:space="0" w:color="auto"/>
            </w:tcBorders>
            <w:vAlign w:val="bottom"/>
            <w:hideMark/>
          </w:tcPr>
          <w:p w14:paraId="7FBA03C9"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5ED93B50" w14:textId="77777777" w:rsidTr="210F0FC3">
        <w:trPr>
          <w:trHeight w:val="1646"/>
        </w:trPr>
        <w:tc>
          <w:tcPr>
            <w:tcW w:w="3256" w:type="dxa"/>
            <w:tcBorders>
              <w:top w:val="nil"/>
              <w:left w:val="single" w:sz="4" w:space="0" w:color="auto"/>
              <w:bottom w:val="single" w:sz="4" w:space="0" w:color="auto"/>
              <w:right w:val="single" w:sz="4" w:space="0" w:color="auto"/>
            </w:tcBorders>
            <w:noWrap/>
            <w:hideMark/>
          </w:tcPr>
          <w:p w14:paraId="3B7490D4"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D17 - Expand Electronic Test Requesting</w:t>
            </w:r>
          </w:p>
        </w:tc>
        <w:tc>
          <w:tcPr>
            <w:tcW w:w="802" w:type="dxa"/>
            <w:tcBorders>
              <w:top w:val="single" w:sz="4" w:space="0" w:color="auto"/>
              <w:left w:val="single" w:sz="4" w:space="0" w:color="auto"/>
              <w:bottom w:val="single" w:sz="4" w:space="0" w:color="auto"/>
              <w:right w:val="single" w:sz="4" w:space="0" w:color="auto"/>
            </w:tcBorders>
            <w:shd w:val="clear" w:color="auto" w:fill="FFC000"/>
            <w:noWrap/>
            <w:vAlign w:val="bottom"/>
            <w:hideMark/>
          </w:tcPr>
          <w:p w14:paraId="01E4FA2C"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Amber</w:t>
            </w:r>
          </w:p>
        </w:tc>
        <w:tc>
          <w:tcPr>
            <w:tcW w:w="6285" w:type="dxa"/>
            <w:tcBorders>
              <w:top w:val="nil"/>
              <w:left w:val="nil"/>
              <w:bottom w:val="single" w:sz="4" w:space="0" w:color="auto"/>
              <w:right w:val="single" w:sz="4" w:space="0" w:color="auto"/>
            </w:tcBorders>
            <w:vAlign w:val="bottom"/>
            <w:hideMark/>
          </w:tcPr>
          <w:p w14:paraId="485E25B4"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Timescales elongated for a number of integrations due to:</w:t>
            </w:r>
            <w:r w:rsidRPr="00327E49">
              <w:rPr>
                <w:rFonts w:ascii="Verdana" w:eastAsia="Times New Roman" w:hAnsi="Verdana" w:cs="Times New Roman"/>
                <w:color w:val="000000"/>
                <w:kern w:val="0"/>
                <w:lang w:eastAsia="en-GB"/>
                <w14:ligatures w14:val="none"/>
              </w:rPr>
              <w:br/>
              <w:t xml:space="preserve">- Awaiting supplier quote for Development (SpaceLabs) </w:t>
            </w:r>
            <w:r w:rsidRPr="00327E49">
              <w:rPr>
                <w:rFonts w:ascii="Verdana" w:eastAsia="Times New Roman" w:hAnsi="Verdana" w:cs="Times New Roman"/>
                <w:color w:val="000000"/>
                <w:kern w:val="0"/>
                <w:lang w:eastAsia="en-GB"/>
                <w14:ligatures w14:val="none"/>
              </w:rPr>
              <w:br/>
              <w:t>- Timelines extended for all cardiology integrations</w:t>
            </w:r>
            <w:r w:rsidRPr="00327E49">
              <w:rPr>
                <w:rFonts w:ascii="Verdana" w:eastAsia="Times New Roman" w:hAnsi="Verdana" w:cs="Times New Roman"/>
                <w:color w:val="000000"/>
                <w:kern w:val="0"/>
                <w:lang w:eastAsia="en-GB"/>
                <w14:ligatures w14:val="none"/>
              </w:rPr>
              <w:br/>
              <w:t>- New API DHCW Process to undertake</w:t>
            </w:r>
            <w:r w:rsidRPr="00327E49">
              <w:rPr>
                <w:rFonts w:ascii="Verdana" w:eastAsia="Times New Roman" w:hAnsi="Verdana" w:cs="Times New Roman"/>
                <w:color w:val="000000"/>
                <w:kern w:val="0"/>
                <w:lang w:eastAsia="en-GB"/>
                <w14:ligatures w14:val="none"/>
              </w:rPr>
              <w:br/>
              <w:t>- Cellma GP Letters - technical issues in template conversion, currently undergoing further testing</w:t>
            </w:r>
          </w:p>
        </w:tc>
      </w:tr>
      <w:tr w:rsidR="00327E49" w:rsidRPr="00327E49" w14:paraId="06C8D135" w14:textId="77777777" w:rsidTr="210F0FC3">
        <w:trPr>
          <w:trHeight w:val="834"/>
        </w:trPr>
        <w:tc>
          <w:tcPr>
            <w:tcW w:w="3256" w:type="dxa"/>
            <w:tcBorders>
              <w:top w:val="nil"/>
              <w:left w:val="single" w:sz="4" w:space="0" w:color="auto"/>
              <w:bottom w:val="single" w:sz="4" w:space="0" w:color="auto"/>
              <w:right w:val="single" w:sz="4" w:space="0" w:color="auto"/>
            </w:tcBorders>
            <w:noWrap/>
            <w:hideMark/>
          </w:tcPr>
          <w:p w14:paraId="4EC5637F"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D18 - Systemic Anti-Cancer Therapy (SACT)</w:t>
            </w:r>
          </w:p>
        </w:tc>
        <w:tc>
          <w:tcPr>
            <w:tcW w:w="802" w:type="dxa"/>
            <w:tcBorders>
              <w:top w:val="single" w:sz="4" w:space="0" w:color="auto"/>
              <w:left w:val="single" w:sz="4" w:space="0" w:color="auto"/>
              <w:bottom w:val="single" w:sz="4" w:space="0" w:color="auto"/>
              <w:right w:val="single" w:sz="4" w:space="0" w:color="auto"/>
            </w:tcBorders>
            <w:shd w:val="clear" w:color="auto" w:fill="FFC000"/>
            <w:noWrap/>
            <w:vAlign w:val="bottom"/>
            <w:hideMark/>
          </w:tcPr>
          <w:p w14:paraId="0586ED83"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Amber</w:t>
            </w:r>
          </w:p>
        </w:tc>
        <w:tc>
          <w:tcPr>
            <w:tcW w:w="6285" w:type="dxa"/>
            <w:tcBorders>
              <w:top w:val="nil"/>
              <w:left w:val="nil"/>
              <w:bottom w:val="single" w:sz="4" w:space="0" w:color="auto"/>
              <w:right w:val="single" w:sz="4" w:space="0" w:color="auto"/>
            </w:tcBorders>
            <w:vAlign w:val="bottom"/>
            <w:hideMark/>
          </w:tcPr>
          <w:p w14:paraId="24525D0F"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Contract extension negotiations with System C ongoing, at risk for not securing contract extension before current contract expires on 30/09/25 and system support past this date at risk</w:t>
            </w:r>
          </w:p>
        </w:tc>
      </w:tr>
      <w:tr w:rsidR="00327E49" w:rsidRPr="00327E49" w14:paraId="746102FA" w14:textId="77777777" w:rsidTr="210F0FC3">
        <w:trPr>
          <w:trHeight w:val="610"/>
        </w:trPr>
        <w:tc>
          <w:tcPr>
            <w:tcW w:w="3256" w:type="dxa"/>
            <w:tcBorders>
              <w:top w:val="nil"/>
              <w:left w:val="single" w:sz="4" w:space="0" w:color="auto"/>
              <w:bottom w:val="single" w:sz="4" w:space="0" w:color="auto"/>
              <w:right w:val="single" w:sz="4" w:space="0" w:color="auto"/>
            </w:tcBorders>
            <w:noWrap/>
            <w:hideMark/>
          </w:tcPr>
          <w:p w14:paraId="610EA00A"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lastRenderedPageBreak/>
              <w:t>D19 - In-Touch - Go Live with 'In Touch' in Singleton Hospital</w:t>
            </w:r>
          </w:p>
        </w:tc>
        <w:tc>
          <w:tcPr>
            <w:tcW w:w="802" w:type="dxa"/>
            <w:tcBorders>
              <w:top w:val="single" w:sz="4" w:space="0" w:color="auto"/>
              <w:left w:val="single" w:sz="4" w:space="0" w:color="auto"/>
              <w:bottom w:val="single" w:sz="4" w:space="0" w:color="auto"/>
              <w:right w:val="single" w:sz="4" w:space="0" w:color="auto"/>
            </w:tcBorders>
            <w:shd w:val="clear" w:color="auto" w:fill="00B050"/>
            <w:noWrap/>
            <w:vAlign w:val="bottom"/>
            <w:hideMark/>
          </w:tcPr>
          <w:p w14:paraId="091E8BE8"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Green</w:t>
            </w:r>
          </w:p>
        </w:tc>
        <w:tc>
          <w:tcPr>
            <w:tcW w:w="6285" w:type="dxa"/>
            <w:tcBorders>
              <w:top w:val="nil"/>
              <w:left w:val="nil"/>
              <w:bottom w:val="single" w:sz="4" w:space="0" w:color="auto"/>
              <w:right w:val="single" w:sz="4" w:space="0" w:color="auto"/>
            </w:tcBorders>
            <w:vAlign w:val="bottom"/>
            <w:hideMark/>
          </w:tcPr>
          <w:p w14:paraId="73EA08D0"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11DF954E"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48BC34EB"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D20 - Millcare System in Sexual Health</w:t>
            </w:r>
          </w:p>
        </w:tc>
        <w:tc>
          <w:tcPr>
            <w:tcW w:w="802" w:type="dxa"/>
            <w:tcBorders>
              <w:top w:val="single" w:sz="4" w:space="0" w:color="auto"/>
              <w:left w:val="single" w:sz="4" w:space="0" w:color="auto"/>
              <w:bottom w:val="single" w:sz="4" w:space="0" w:color="auto"/>
              <w:right w:val="single" w:sz="4" w:space="0" w:color="auto"/>
            </w:tcBorders>
            <w:shd w:val="clear" w:color="auto" w:fill="00B050"/>
            <w:noWrap/>
            <w:vAlign w:val="bottom"/>
            <w:hideMark/>
          </w:tcPr>
          <w:p w14:paraId="7746FE33"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Green</w:t>
            </w:r>
          </w:p>
        </w:tc>
        <w:tc>
          <w:tcPr>
            <w:tcW w:w="6285" w:type="dxa"/>
            <w:tcBorders>
              <w:top w:val="nil"/>
              <w:left w:val="nil"/>
              <w:bottom w:val="single" w:sz="4" w:space="0" w:color="auto"/>
              <w:right w:val="single" w:sz="4" w:space="0" w:color="auto"/>
            </w:tcBorders>
            <w:vAlign w:val="bottom"/>
            <w:hideMark/>
          </w:tcPr>
          <w:p w14:paraId="7992DAC4"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2852EBFF"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496F8DCE"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D21 - WPAS Roll out across Mental Health, Learning Disabilities and Primary Care and Therapies</w:t>
            </w:r>
          </w:p>
        </w:tc>
        <w:tc>
          <w:tcPr>
            <w:tcW w:w="802" w:type="dxa"/>
            <w:tcBorders>
              <w:top w:val="single" w:sz="4" w:space="0" w:color="auto"/>
              <w:left w:val="single" w:sz="4" w:space="0" w:color="auto"/>
              <w:bottom w:val="single" w:sz="4" w:space="0" w:color="auto"/>
              <w:right w:val="single" w:sz="4" w:space="0" w:color="auto"/>
            </w:tcBorders>
            <w:shd w:val="clear" w:color="auto" w:fill="00B050"/>
            <w:noWrap/>
            <w:vAlign w:val="bottom"/>
            <w:hideMark/>
          </w:tcPr>
          <w:p w14:paraId="579FE1B7"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Green</w:t>
            </w:r>
          </w:p>
        </w:tc>
        <w:tc>
          <w:tcPr>
            <w:tcW w:w="6285" w:type="dxa"/>
            <w:tcBorders>
              <w:top w:val="nil"/>
              <w:left w:val="nil"/>
              <w:bottom w:val="single" w:sz="4" w:space="0" w:color="auto"/>
              <w:right w:val="single" w:sz="4" w:space="0" w:color="auto"/>
            </w:tcBorders>
            <w:vAlign w:val="bottom"/>
            <w:hideMark/>
          </w:tcPr>
          <w:p w14:paraId="2BA30711"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316B513E"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103460CB"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D22- Cyber Secure Back Ups</w:t>
            </w:r>
          </w:p>
        </w:tc>
        <w:tc>
          <w:tcPr>
            <w:tcW w:w="802" w:type="dxa"/>
            <w:tcBorders>
              <w:top w:val="single" w:sz="4" w:space="0" w:color="auto"/>
              <w:left w:val="single" w:sz="4" w:space="0" w:color="auto"/>
              <w:bottom w:val="single" w:sz="4" w:space="0" w:color="auto"/>
              <w:right w:val="single" w:sz="4" w:space="0" w:color="auto"/>
            </w:tcBorders>
            <w:shd w:val="clear" w:color="auto" w:fill="00B050"/>
            <w:noWrap/>
            <w:vAlign w:val="bottom"/>
            <w:hideMark/>
          </w:tcPr>
          <w:p w14:paraId="44720657"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Green</w:t>
            </w:r>
          </w:p>
        </w:tc>
        <w:tc>
          <w:tcPr>
            <w:tcW w:w="6285" w:type="dxa"/>
            <w:tcBorders>
              <w:top w:val="nil"/>
              <w:left w:val="nil"/>
              <w:bottom w:val="single" w:sz="4" w:space="0" w:color="auto"/>
              <w:right w:val="single" w:sz="4" w:space="0" w:color="auto"/>
            </w:tcBorders>
            <w:vAlign w:val="bottom"/>
            <w:hideMark/>
          </w:tcPr>
          <w:p w14:paraId="656A1317"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2BA9533A" w14:textId="77777777" w:rsidTr="210F0FC3">
        <w:trPr>
          <w:trHeight w:val="530"/>
        </w:trPr>
        <w:tc>
          <w:tcPr>
            <w:tcW w:w="3256" w:type="dxa"/>
            <w:tcBorders>
              <w:top w:val="nil"/>
              <w:left w:val="single" w:sz="4" w:space="0" w:color="auto"/>
              <w:bottom w:val="single" w:sz="4" w:space="0" w:color="auto"/>
              <w:right w:val="single" w:sz="4" w:space="0" w:color="auto"/>
            </w:tcBorders>
            <w:noWrap/>
            <w:hideMark/>
          </w:tcPr>
          <w:p w14:paraId="7D1882F9"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D23 - NPT wireless equipment replacement</w:t>
            </w:r>
          </w:p>
        </w:tc>
        <w:tc>
          <w:tcPr>
            <w:tcW w:w="802" w:type="dxa"/>
            <w:tcBorders>
              <w:top w:val="single" w:sz="4" w:space="0" w:color="auto"/>
              <w:left w:val="single" w:sz="4" w:space="0" w:color="auto"/>
              <w:bottom w:val="single" w:sz="4" w:space="0" w:color="auto"/>
              <w:right w:val="single" w:sz="4" w:space="0" w:color="auto"/>
            </w:tcBorders>
            <w:shd w:val="clear" w:color="auto" w:fill="FFC000"/>
            <w:noWrap/>
            <w:vAlign w:val="bottom"/>
            <w:hideMark/>
          </w:tcPr>
          <w:p w14:paraId="3065874A"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Amber</w:t>
            </w:r>
          </w:p>
        </w:tc>
        <w:tc>
          <w:tcPr>
            <w:tcW w:w="6285" w:type="dxa"/>
            <w:tcBorders>
              <w:top w:val="nil"/>
              <w:left w:val="nil"/>
              <w:bottom w:val="single" w:sz="4" w:space="0" w:color="auto"/>
              <w:right w:val="single" w:sz="4" w:space="0" w:color="auto"/>
            </w:tcBorders>
            <w:vAlign w:val="bottom"/>
            <w:hideMark/>
          </w:tcPr>
          <w:p w14:paraId="4203ED09"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Prioritisation of another Delivery Action with support ending soon (D29 - Call Manager Upgrade to Cloud Voice)</w:t>
            </w:r>
          </w:p>
        </w:tc>
      </w:tr>
      <w:tr w:rsidR="00327E49" w:rsidRPr="00327E49" w14:paraId="0A5AA19E"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19EAB38F"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D24 - Laptop, PC, iPad and Printer Replacement</w:t>
            </w:r>
          </w:p>
        </w:tc>
        <w:tc>
          <w:tcPr>
            <w:tcW w:w="802" w:type="dxa"/>
            <w:tcBorders>
              <w:top w:val="single" w:sz="4" w:space="0" w:color="auto"/>
              <w:left w:val="single" w:sz="4" w:space="0" w:color="auto"/>
              <w:bottom w:val="single" w:sz="4" w:space="0" w:color="auto"/>
              <w:right w:val="single" w:sz="4" w:space="0" w:color="auto"/>
            </w:tcBorders>
            <w:shd w:val="clear" w:color="auto" w:fill="00B050"/>
            <w:noWrap/>
            <w:vAlign w:val="bottom"/>
            <w:hideMark/>
          </w:tcPr>
          <w:p w14:paraId="5BF74678"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Green</w:t>
            </w:r>
          </w:p>
        </w:tc>
        <w:tc>
          <w:tcPr>
            <w:tcW w:w="6285" w:type="dxa"/>
            <w:tcBorders>
              <w:top w:val="nil"/>
              <w:left w:val="nil"/>
              <w:bottom w:val="single" w:sz="4" w:space="0" w:color="auto"/>
              <w:right w:val="single" w:sz="4" w:space="0" w:color="auto"/>
            </w:tcBorders>
            <w:vAlign w:val="bottom"/>
            <w:hideMark/>
          </w:tcPr>
          <w:p w14:paraId="38575B69"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1FF088D4"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51F6CF0A"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D25 - Additional Server Equipment including Storage</w:t>
            </w:r>
          </w:p>
        </w:tc>
        <w:tc>
          <w:tcPr>
            <w:tcW w:w="802" w:type="dxa"/>
            <w:tcBorders>
              <w:top w:val="single" w:sz="4" w:space="0" w:color="auto"/>
              <w:left w:val="single" w:sz="4" w:space="0" w:color="auto"/>
              <w:bottom w:val="single" w:sz="4" w:space="0" w:color="auto"/>
              <w:right w:val="single" w:sz="4" w:space="0" w:color="auto"/>
            </w:tcBorders>
            <w:shd w:val="clear" w:color="auto" w:fill="00B050"/>
            <w:noWrap/>
            <w:vAlign w:val="bottom"/>
            <w:hideMark/>
          </w:tcPr>
          <w:p w14:paraId="047185A8"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Green</w:t>
            </w:r>
          </w:p>
        </w:tc>
        <w:tc>
          <w:tcPr>
            <w:tcW w:w="6285" w:type="dxa"/>
            <w:tcBorders>
              <w:top w:val="nil"/>
              <w:left w:val="nil"/>
              <w:bottom w:val="single" w:sz="4" w:space="0" w:color="auto"/>
              <w:right w:val="single" w:sz="4" w:space="0" w:color="auto"/>
            </w:tcBorders>
            <w:vAlign w:val="bottom"/>
            <w:hideMark/>
          </w:tcPr>
          <w:p w14:paraId="12213B67"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0388C203"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69BDFF82"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D26 - Imprivata Rollout</w:t>
            </w:r>
          </w:p>
        </w:tc>
        <w:tc>
          <w:tcPr>
            <w:tcW w:w="802" w:type="dxa"/>
            <w:tcBorders>
              <w:top w:val="single" w:sz="4" w:space="0" w:color="auto"/>
              <w:left w:val="single" w:sz="4" w:space="0" w:color="auto"/>
              <w:bottom w:val="single" w:sz="4" w:space="0" w:color="auto"/>
              <w:right w:val="single" w:sz="4" w:space="0" w:color="auto"/>
            </w:tcBorders>
            <w:shd w:val="clear" w:color="auto" w:fill="00B050"/>
            <w:noWrap/>
            <w:vAlign w:val="bottom"/>
            <w:hideMark/>
          </w:tcPr>
          <w:p w14:paraId="39001DE8"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Green</w:t>
            </w:r>
          </w:p>
        </w:tc>
        <w:tc>
          <w:tcPr>
            <w:tcW w:w="6285" w:type="dxa"/>
            <w:tcBorders>
              <w:top w:val="nil"/>
              <w:left w:val="nil"/>
              <w:bottom w:val="single" w:sz="4" w:space="0" w:color="auto"/>
              <w:right w:val="single" w:sz="4" w:space="0" w:color="auto"/>
            </w:tcBorders>
            <w:vAlign w:val="bottom"/>
            <w:hideMark/>
          </w:tcPr>
          <w:p w14:paraId="5488148A"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6F241FE7"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30879255"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D27 - Implement New Core Network at Morriston &amp; Singleton</w:t>
            </w:r>
          </w:p>
        </w:tc>
        <w:tc>
          <w:tcPr>
            <w:tcW w:w="802" w:type="dxa"/>
            <w:tcBorders>
              <w:top w:val="single" w:sz="4" w:space="0" w:color="auto"/>
              <w:left w:val="single" w:sz="4" w:space="0" w:color="auto"/>
              <w:bottom w:val="single" w:sz="4" w:space="0" w:color="auto"/>
              <w:right w:val="single" w:sz="4" w:space="0" w:color="auto"/>
            </w:tcBorders>
            <w:shd w:val="clear" w:color="auto" w:fill="FFC000"/>
            <w:noWrap/>
            <w:vAlign w:val="bottom"/>
            <w:hideMark/>
          </w:tcPr>
          <w:p w14:paraId="5C0584EB"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Amber</w:t>
            </w:r>
          </w:p>
        </w:tc>
        <w:tc>
          <w:tcPr>
            <w:tcW w:w="6285" w:type="dxa"/>
            <w:tcBorders>
              <w:top w:val="nil"/>
              <w:left w:val="nil"/>
              <w:bottom w:val="single" w:sz="4" w:space="0" w:color="auto"/>
              <w:right w:val="single" w:sz="4" w:space="0" w:color="auto"/>
            </w:tcBorders>
            <w:vAlign w:val="bottom"/>
            <w:hideMark/>
          </w:tcPr>
          <w:p w14:paraId="5AC9147F"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69C12ACD"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57E8E3F7"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D28 - Windows 10 Removal</w:t>
            </w:r>
          </w:p>
        </w:tc>
        <w:tc>
          <w:tcPr>
            <w:tcW w:w="802" w:type="dxa"/>
            <w:tcBorders>
              <w:top w:val="single" w:sz="4" w:space="0" w:color="auto"/>
              <w:left w:val="single" w:sz="4" w:space="0" w:color="auto"/>
              <w:bottom w:val="single" w:sz="4" w:space="0" w:color="auto"/>
              <w:right w:val="single" w:sz="4" w:space="0" w:color="auto"/>
            </w:tcBorders>
            <w:shd w:val="clear" w:color="auto" w:fill="00B050"/>
            <w:noWrap/>
            <w:vAlign w:val="bottom"/>
            <w:hideMark/>
          </w:tcPr>
          <w:p w14:paraId="1C7E6F19"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Green</w:t>
            </w:r>
          </w:p>
        </w:tc>
        <w:tc>
          <w:tcPr>
            <w:tcW w:w="6285" w:type="dxa"/>
            <w:tcBorders>
              <w:top w:val="nil"/>
              <w:left w:val="nil"/>
              <w:bottom w:val="single" w:sz="4" w:space="0" w:color="auto"/>
              <w:right w:val="single" w:sz="4" w:space="0" w:color="auto"/>
            </w:tcBorders>
            <w:vAlign w:val="bottom"/>
            <w:hideMark/>
          </w:tcPr>
          <w:p w14:paraId="3978C8EE"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136BA12F" w14:textId="77777777" w:rsidTr="210F0FC3">
        <w:trPr>
          <w:trHeight w:val="893"/>
        </w:trPr>
        <w:tc>
          <w:tcPr>
            <w:tcW w:w="3256" w:type="dxa"/>
            <w:tcBorders>
              <w:top w:val="nil"/>
              <w:left w:val="single" w:sz="4" w:space="0" w:color="auto"/>
              <w:bottom w:val="single" w:sz="4" w:space="0" w:color="auto"/>
              <w:right w:val="single" w:sz="4" w:space="0" w:color="auto"/>
            </w:tcBorders>
            <w:noWrap/>
            <w:hideMark/>
          </w:tcPr>
          <w:p w14:paraId="3293DA3B"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D29 - Call Manager Upgrade to Cloud Voice</w:t>
            </w:r>
          </w:p>
        </w:tc>
        <w:tc>
          <w:tcPr>
            <w:tcW w:w="802" w:type="dxa"/>
            <w:tcBorders>
              <w:top w:val="single" w:sz="4" w:space="0" w:color="auto"/>
              <w:left w:val="single" w:sz="4" w:space="0" w:color="auto"/>
              <w:bottom w:val="single" w:sz="4" w:space="0" w:color="auto"/>
              <w:right w:val="single" w:sz="4" w:space="0" w:color="auto"/>
            </w:tcBorders>
            <w:shd w:val="clear" w:color="auto" w:fill="FFC000"/>
            <w:noWrap/>
            <w:vAlign w:val="bottom"/>
            <w:hideMark/>
          </w:tcPr>
          <w:p w14:paraId="6D27E884"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Amber</w:t>
            </w:r>
          </w:p>
        </w:tc>
        <w:tc>
          <w:tcPr>
            <w:tcW w:w="6285" w:type="dxa"/>
            <w:tcBorders>
              <w:top w:val="nil"/>
              <w:left w:val="nil"/>
              <w:bottom w:val="single" w:sz="4" w:space="0" w:color="auto"/>
              <w:right w:val="single" w:sz="4" w:space="0" w:color="auto"/>
            </w:tcBorders>
            <w:vAlign w:val="bottom"/>
            <w:hideMark/>
          </w:tcPr>
          <w:p w14:paraId="2F0FFD0D"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The implementation had stalled in Q3 due to the lack response from a third-party supplier (Call Recording Supplier). Work now continues with the migration partner and the migration is now due to commence in January 2026.</w:t>
            </w:r>
          </w:p>
        </w:tc>
      </w:tr>
      <w:tr w:rsidR="00327E49" w:rsidRPr="00327E49" w14:paraId="406BA4E5"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23134A2A"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D31 - Creation of a measures to be visualised in Dashboard pulling data from various systems</w:t>
            </w:r>
          </w:p>
        </w:tc>
        <w:tc>
          <w:tcPr>
            <w:tcW w:w="802" w:type="dxa"/>
            <w:tcBorders>
              <w:top w:val="single" w:sz="4" w:space="0" w:color="auto"/>
              <w:left w:val="single" w:sz="4" w:space="0" w:color="auto"/>
              <w:bottom w:val="single" w:sz="4" w:space="0" w:color="auto"/>
              <w:right w:val="single" w:sz="4" w:space="0" w:color="auto"/>
            </w:tcBorders>
            <w:shd w:val="clear" w:color="auto" w:fill="00B050"/>
            <w:noWrap/>
            <w:vAlign w:val="bottom"/>
            <w:hideMark/>
          </w:tcPr>
          <w:p w14:paraId="3610E8AD"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Green</w:t>
            </w:r>
          </w:p>
        </w:tc>
        <w:tc>
          <w:tcPr>
            <w:tcW w:w="6285" w:type="dxa"/>
            <w:tcBorders>
              <w:top w:val="nil"/>
              <w:left w:val="nil"/>
              <w:bottom w:val="single" w:sz="4" w:space="0" w:color="auto"/>
              <w:right w:val="single" w:sz="4" w:space="0" w:color="auto"/>
            </w:tcBorders>
            <w:vAlign w:val="bottom"/>
            <w:hideMark/>
          </w:tcPr>
          <w:p w14:paraId="41BB1043"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32582AD9"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7CA1B4C3"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D32- Re-banding of Coding Staff and Development of Auto-coding Software</w:t>
            </w:r>
          </w:p>
        </w:tc>
        <w:tc>
          <w:tcPr>
            <w:tcW w:w="802" w:type="dxa"/>
            <w:tcBorders>
              <w:top w:val="single" w:sz="4" w:space="0" w:color="auto"/>
              <w:left w:val="single" w:sz="4" w:space="0" w:color="auto"/>
              <w:bottom w:val="single" w:sz="4" w:space="0" w:color="auto"/>
              <w:right w:val="single" w:sz="4" w:space="0" w:color="auto"/>
            </w:tcBorders>
            <w:shd w:val="clear" w:color="auto" w:fill="00B050"/>
            <w:noWrap/>
            <w:vAlign w:val="bottom"/>
            <w:hideMark/>
          </w:tcPr>
          <w:p w14:paraId="62A0994B"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Green</w:t>
            </w:r>
          </w:p>
        </w:tc>
        <w:tc>
          <w:tcPr>
            <w:tcW w:w="6285" w:type="dxa"/>
            <w:tcBorders>
              <w:top w:val="nil"/>
              <w:left w:val="nil"/>
              <w:bottom w:val="single" w:sz="4" w:space="0" w:color="auto"/>
              <w:right w:val="single" w:sz="4" w:space="0" w:color="auto"/>
            </w:tcBorders>
            <w:vAlign w:val="bottom"/>
            <w:hideMark/>
          </w:tcPr>
          <w:p w14:paraId="4625C736"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6630C93E"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7B70A490"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D33 - Data Literacy and Value</w:t>
            </w:r>
          </w:p>
        </w:tc>
        <w:tc>
          <w:tcPr>
            <w:tcW w:w="802" w:type="dxa"/>
            <w:tcBorders>
              <w:top w:val="single" w:sz="4" w:space="0" w:color="auto"/>
              <w:left w:val="single" w:sz="4" w:space="0" w:color="auto"/>
              <w:bottom w:val="single" w:sz="4" w:space="0" w:color="auto"/>
              <w:right w:val="single" w:sz="4" w:space="0" w:color="auto"/>
            </w:tcBorders>
            <w:shd w:val="clear" w:color="auto" w:fill="00B050"/>
            <w:noWrap/>
            <w:vAlign w:val="bottom"/>
            <w:hideMark/>
          </w:tcPr>
          <w:p w14:paraId="2B66316F"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Green</w:t>
            </w:r>
          </w:p>
        </w:tc>
        <w:tc>
          <w:tcPr>
            <w:tcW w:w="6285" w:type="dxa"/>
            <w:tcBorders>
              <w:top w:val="nil"/>
              <w:left w:val="nil"/>
              <w:bottom w:val="single" w:sz="4" w:space="0" w:color="auto"/>
              <w:right w:val="single" w:sz="4" w:space="0" w:color="auto"/>
            </w:tcBorders>
            <w:vAlign w:val="bottom"/>
            <w:hideMark/>
          </w:tcPr>
          <w:p w14:paraId="0A833263"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6DBE1567"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78A54216"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lastRenderedPageBreak/>
              <w:t>D34 - National Data Resource (NDR)</w:t>
            </w:r>
          </w:p>
        </w:tc>
        <w:tc>
          <w:tcPr>
            <w:tcW w:w="802" w:type="dxa"/>
            <w:tcBorders>
              <w:top w:val="single" w:sz="4" w:space="0" w:color="auto"/>
              <w:left w:val="single" w:sz="4" w:space="0" w:color="auto"/>
              <w:bottom w:val="single" w:sz="4" w:space="0" w:color="auto"/>
              <w:right w:val="single" w:sz="4" w:space="0" w:color="auto"/>
            </w:tcBorders>
            <w:shd w:val="clear" w:color="auto" w:fill="00B050"/>
            <w:noWrap/>
            <w:vAlign w:val="bottom"/>
            <w:hideMark/>
          </w:tcPr>
          <w:p w14:paraId="76E53BC7"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Green</w:t>
            </w:r>
          </w:p>
        </w:tc>
        <w:tc>
          <w:tcPr>
            <w:tcW w:w="6285" w:type="dxa"/>
            <w:tcBorders>
              <w:top w:val="nil"/>
              <w:left w:val="nil"/>
              <w:bottom w:val="single" w:sz="4" w:space="0" w:color="auto"/>
              <w:right w:val="single" w:sz="4" w:space="0" w:color="auto"/>
            </w:tcBorders>
            <w:vAlign w:val="bottom"/>
            <w:hideMark/>
          </w:tcPr>
          <w:p w14:paraId="53332FD0"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7022D8CE"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3047FE44"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D35- Health Records Centralisation</w:t>
            </w:r>
          </w:p>
        </w:tc>
        <w:tc>
          <w:tcPr>
            <w:tcW w:w="802" w:type="dxa"/>
            <w:tcBorders>
              <w:top w:val="single" w:sz="4" w:space="0" w:color="auto"/>
              <w:left w:val="single" w:sz="4" w:space="0" w:color="auto"/>
              <w:bottom w:val="single" w:sz="4" w:space="0" w:color="auto"/>
              <w:right w:val="single" w:sz="4" w:space="0" w:color="auto"/>
            </w:tcBorders>
            <w:shd w:val="clear" w:color="auto" w:fill="00B050"/>
            <w:noWrap/>
            <w:vAlign w:val="bottom"/>
            <w:hideMark/>
          </w:tcPr>
          <w:p w14:paraId="54F23544"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Green</w:t>
            </w:r>
          </w:p>
        </w:tc>
        <w:tc>
          <w:tcPr>
            <w:tcW w:w="6285" w:type="dxa"/>
            <w:tcBorders>
              <w:top w:val="nil"/>
              <w:left w:val="nil"/>
              <w:bottom w:val="single" w:sz="4" w:space="0" w:color="auto"/>
              <w:right w:val="single" w:sz="4" w:space="0" w:color="auto"/>
            </w:tcBorders>
            <w:vAlign w:val="bottom"/>
            <w:hideMark/>
          </w:tcPr>
          <w:p w14:paraId="6AF2653E"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w:t>
            </w:r>
          </w:p>
        </w:tc>
      </w:tr>
      <w:tr w:rsidR="00327E49" w:rsidRPr="00327E49" w14:paraId="653657B0" w14:textId="77777777" w:rsidTr="210F0FC3">
        <w:trPr>
          <w:trHeight w:val="582"/>
        </w:trPr>
        <w:tc>
          <w:tcPr>
            <w:tcW w:w="3256" w:type="dxa"/>
            <w:tcBorders>
              <w:top w:val="nil"/>
              <w:left w:val="single" w:sz="4" w:space="0" w:color="auto"/>
              <w:bottom w:val="single" w:sz="4" w:space="0" w:color="auto"/>
              <w:right w:val="single" w:sz="4" w:space="0" w:color="auto"/>
            </w:tcBorders>
            <w:noWrap/>
            <w:hideMark/>
          </w:tcPr>
          <w:p w14:paraId="03E45C96"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D36 - Digital Cellular Pathology</w:t>
            </w:r>
          </w:p>
        </w:tc>
        <w:tc>
          <w:tcPr>
            <w:tcW w:w="802" w:type="dxa"/>
            <w:tcBorders>
              <w:top w:val="single" w:sz="4" w:space="0" w:color="auto"/>
              <w:left w:val="single" w:sz="4" w:space="0" w:color="auto"/>
              <w:bottom w:val="single" w:sz="4" w:space="0" w:color="auto"/>
              <w:right w:val="single" w:sz="4" w:space="0" w:color="auto"/>
            </w:tcBorders>
            <w:shd w:val="clear" w:color="auto" w:fill="FFC000"/>
            <w:noWrap/>
            <w:vAlign w:val="bottom"/>
            <w:hideMark/>
          </w:tcPr>
          <w:p w14:paraId="6AC0A2CF"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Amber</w:t>
            </w:r>
          </w:p>
        </w:tc>
        <w:tc>
          <w:tcPr>
            <w:tcW w:w="6285" w:type="dxa"/>
            <w:tcBorders>
              <w:top w:val="nil"/>
              <w:left w:val="nil"/>
              <w:bottom w:val="single" w:sz="4" w:space="0" w:color="auto"/>
              <w:right w:val="single" w:sz="4" w:space="0" w:color="auto"/>
            </w:tcBorders>
            <w:vAlign w:val="bottom"/>
            <w:hideMark/>
          </w:tcPr>
          <w:p w14:paraId="7B32C180" w14:textId="5D27290C"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 xml:space="preserve">Publication of national Invitation </w:t>
            </w:r>
            <w:r w:rsidR="00136193" w:rsidRPr="00327E49">
              <w:rPr>
                <w:rFonts w:ascii="Verdana" w:eastAsia="Times New Roman" w:hAnsi="Verdana" w:cs="Times New Roman"/>
                <w:color w:val="000000"/>
                <w:kern w:val="0"/>
                <w:lang w:eastAsia="en-GB"/>
                <w14:ligatures w14:val="none"/>
              </w:rPr>
              <w:t>to</w:t>
            </w:r>
            <w:r w:rsidRPr="00327E49">
              <w:rPr>
                <w:rFonts w:ascii="Verdana" w:eastAsia="Times New Roman" w:hAnsi="Verdana" w:cs="Times New Roman"/>
                <w:color w:val="000000"/>
                <w:kern w:val="0"/>
                <w:lang w:eastAsia="en-GB"/>
                <w14:ligatures w14:val="none"/>
              </w:rPr>
              <w:t xml:space="preserve"> Tender delayed as not all Health Boards have yet agreed a Business Case.</w:t>
            </w:r>
          </w:p>
        </w:tc>
      </w:tr>
      <w:tr w:rsidR="00327E49" w:rsidRPr="00327E49" w14:paraId="727633A2" w14:textId="77777777" w:rsidTr="210F0FC3">
        <w:trPr>
          <w:trHeight w:val="350"/>
        </w:trPr>
        <w:tc>
          <w:tcPr>
            <w:tcW w:w="3256" w:type="dxa"/>
            <w:tcBorders>
              <w:top w:val="nil"/>
              <w:left w:val="single" w:sz="4" w:space="0" w:color="auto"/>
              <w:bottom w:val="single" w:sz="4" w:space="0" w:color="auto"/>
              <w:right w:val="single" w:sz="4" w:space="0" w:color="auto"/>
            </w:tcBorders>
            <w:noWrap/>
            <w:hideMark/>
          </w:tcPr>
          <w:p w14:paraId="70CEF571"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D37 - eTriage</w:t>
            </w:r>
          </w:p>
        </w:tc>
        <w:tc>
          <w:tcPr>
            <w:tcW w:w="802" w:type="dxa"/>
            <w:tcBorders>
              <w:top w:val="single" w:sz="4" w:space="0" w:color="auto"/>
              <w:left w:val="single" w:sz="4" w:space="0" w:color="auto"/>
              <w:bottom w:val="single" w:sz="4" w:space="0" w:color="auto"/>
              <w:right w:val="single" w:sz="4" w:space="0" w:color="auto"/>
            </w:tcBorders>
            <w:shd w:val="clear" w:color="auto" w:fill="FFC000"/>
            <w:noWrap/>
            <w:vAlign w:val="bottom"/>
            <w:hideMark/>
          </w:tcPr>
          <w:p w14:paraId="4EAAEF94" w14:textId="77777777" w:rsidR="00327E49" w:rsidRPr="00327E49" w:rsidRDefault="00327E49">
            <w:pPr>
              <w:spacing w:after="0" w:line="240" w:lineRule="auto"/>
              <w:rPr>
                <w:rFonts w:ascii="Verdana" w:eastAsia="Times New Roman" w:hAnsi="Verdana" w:cs="Times New Roman"/>
                <w:color w:val="000000"/>
                <w:kern w:val="0"/>
                <w:lang w:eastAsia="en-GB"/>
                <w14:ligatures w14:val="none"/>
              </w:rPr>
            </w:pPr>
            <w:r w:rsidRPr="00327E49">
              <w:rPr>
                <w:rFonts w:ascii="Verdana" w:eastAsia="Times New Roman" w:hAnsi="Verdana" w:cs="Times New Roman"/>
                <w:color w:val="000000"/>
                <w:kern w:val="0"/>
                <w:lang w:eastAsia="en-GB"/>
                <w14:ligatures w14:val="none"/>
              </w:rPr>
              <w:t>Amber</w:t>
            </w:r>
          </w:p>
        </w:tc>
        <w:tc>
          <w:tcPr>
            <w:tcW w:w="6285" w:type="dxa"/>
            <w:tcBorders>
              <w:top w:val="nil"/>
              <w:left w:val="nil"/>
              <w:bottom w:val="single" w:sz="4" w:space="0" w:color="auto"/>
              <w:right w:val="single" w:sz="4" w:space="0" w:color="auto"/>
            </w:tcBorders>
            <w:vAlign w:val="bottom"/>
            <w:hideMark/>
          </w:tcPr>
          <w:p w14:paraId="0EB5E09A" w14:textId="6DC1ACD8" w:rsidR="00327E49" w:rsidRPr="00327E49" w:rsidRDefault="00EC6D2C">
            <w:pPr>
              <w:spacing w:after="0" w:line="240" w:lineRule="auto"/>
              <w:rPr>
                <w:rFonts w:ascii="Verdana" w:eastAsia="Times New Roman" w:hAnsi="Verdana" w:cs="Times New Roman"/>
                <w:color w:val="000000"/>
                <w:kern w:val="0"/>
                <w:lang w:eastAsia="en-GB"/>
                <w14:ligatures w14:val="none"/>
              </w:rPr>
            </w:pPr>
            <w:r w:rsidRPr="00EC6D2C">
              <w:rPr>
                <w:rFonts w:ascii="Verdana" w:eastAsia="Times New Roman" w:hAnsi="Verdana" w:cs="Times New Roman"/>
                <w:color w:val="000000"/>
                <w:kern w:val="0"/>
                <w:lang w:eastAsia="en-GB"/>
                <w14:ligatures w14:val="none"/>
              </w:rPr>
              <w:t xml:space="preserve">This is on hold as the requirements to integrate with WEDS (Symphony) did not make the investment worthwhile, due to the Symphony contract expiring August 2026. </w:t>
            </w:r>
            <w:r>
              <w:rPr>
                <w:rFonts w:ascii="Verdana" w:eastAsia="Times New Roman" w:hAnsi="Verdana" w:cs="Times New Roman"/>
                <w:color w:val="000000"/>
                <w:kern w:val="0"/>
                <w:lang w:eastAsia="en-GB"/>
                <w14:ligatures w14:val="none"/>
              </w:rPr>
              <w:t>SBUHB will continue to engage with DHCW to inform the integration requirements for the UEC App.</w:t>
            </w:r>
          </w:p>
        </w:tc>
      </w:tr>
    </w:tbl>
    <w:p w14:paraId="4272213B" w14:textId="77777777" w:rsidR="00855CF0" w:rsidRPr="00327E49" w:rsidRDefault="00855CF0" w:rsidP="00D6297D">
      <w:pPr>
        <w:spacing w:after="0" w:line="240" w:lineRule="auto"/>
        <w:rPr>
          <w:rFonts w:ascii="Verdana" w:eastAsia="Calibri" w:hAnsi="Verdana" w:cs="Arial"/>
          <w:kern w:val="0"/>
          <w14:ligatures w14:val="none"/>
        </w:rPr>
      </w:pPr>
    </w:p>
    <w:sectPr w:rsidR="00855CF0" w:rsidRPr="00327E49" w:rsidSect="00D6297D">
      <w:headerReference w:type="default" r:id="rId10"/>
      <w:footerReference w:type="default" r:id="rId11"/>
      <w:pgSz w:w="11906" w:h="16838"/>
      <w:pgMar w:top="170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5BB804" w14:textId="77777777" w:rsidR="005C2024" w:rsidRDefault="005C2024" w:rsidP="002D4A39">
      <w:pPr>
        <w:spacing w:after="0" w:line="240" w:lineRule="auto"/>
      </w:pPr>
      <w:r>
        <w:separator/>
      </w:r>
    </w:p>
  </w:endnote>
  <w:endnote w:type="continuationSeparator" w:id="0">
    <w:p w14:paraId="54F47B71" w14:textId="77777777" w:rsidR="005C2024" w:rsidRDefault="005C2024" w:rsidP="002D4A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108F8" w14:textId="209846BD" w:rsidR="002D4A39" w:rsidRPr="00562FCE" w:rsidRDefault="00704B91" w:rsidP="002D4A39">
    <w:pPr>
      <w:pStyle w:val="Footer"/>
      <w:tabs>
        <w:tab w:val="left" w:pos="780"/>
      </w:tabs>
      <w:jc w:val="right"/>
      <w:rPr>
        <w:noProof/>
      </w:rPr>
    </w:pPr>
    <w:r w:rsidRPr="00767E3E">
      <w:rPr>
        <w:noProof/>
        <w:lang w:eastAsia="en-GB"/>
      </w:rPr>
      <w:drawing>
        <wp:anchor distT="0" distB="0" distL="114300" distR="114300" simplePos="0" relativeHeight="251658240" behindDoc="1" locked="0" layoutInCell="1" allowOverlap="1" wp14:anchorId="0CDE720B" wp14:editId="4CC9B802">
          <wp:simplePos x="0" y="0"/>
          <wp:positionH relativeFrom="margin">
            <wp:posOffset>0</wp:posOffset>
          </wp:positionH>
          <wp:positionV relativeFrom="paragraph">
            <wp:posOffset>190500</wp:posOffset>
          </wp:positionV>
          <wp:extent cx="1933575" cy="590550"/>
          <wp:effectExtent l="0" t="0" r="9525" b="0"/>
          <wp:wrapTight wrapText="bothSides">
            <wp:wrapPolygon edited="0">
              <wp:start x="0" y="0"/>
              <wp:lineTo x="0" y="20903"/>
              <wp:lineTo x="21494" y="20903"/>
              <wp:lineTo x="21494" y="0"/>
              <wp:lineTo x="0" y="0"/>
            </wp:wrapPolygon>
          </wp:wrapTight>
          <wp:docPr id="1848020240" name="Picture 184802024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shd w:val="clear" w:color="auto" w:fill="E6E6E6"/>
        </w:rPr>
        <w:id w:val="1307820809"/>
        <w:docPartObj>
          <w:docPartGallery w:val="Page Numbers (Bottom of Page)"/>
          <w:docPartUnique/>
        </w:docPartObj>
      </w:sdtPr>
      <w:sdtEndPr>
        <w:rPr>
          <w:noProof/>
          <w:shd w:val="clear" w:color="auto" w:fill="auto"/>
        </w:rPr>
      </w:sdtEndPr>
      <w:sdtContent>
        <w:r w:rsidR="002D4A39" w:rsidRPr="00562FCE">
          <w:tab/>
        </w:r>
        <w:r w:rsidR="002D4A39">
          <w:tab/>
        </w:r>
        <w:r w:rsidR="002D4A39">
          <w:tab/>
        </w:r>
        <w:r w:rsidR="002D4A39" w:rsidRPr="00562FCE">
          <w:t xml:space="preserve">Page </w:t>
        </w:r>
        <w:r w:rsidR="002D4A39" w:rsidRPr="00562FCE">
          <w:rPr>
            <w:b/>
            <w:bCs/>
          </w:rPr>
          <w:fldChar w:fldCharType="begin"/>
        </w:r>
        <w:r w:rsidR="002D4A39" w:rsidRPr="00562FCE">
          <w:rPr>
            <w:b/>
            <w:bCs/>
          </w:rPr>
          <w:instrText>PAGE  \* Arabic  \* MERGEFORMAT</w:instrText>
        </w:r>
        <w:r w:rsidR="002D4A39" w:rsidRPr="00562FCE">
          <w:rPr>
            <w:b/>
            <w:bCs/>
          </w:rPr>
          <w:fldChar w:fldCharType="separate"/>
        </w:r>
        <w:r w:rsidR="002D4A39">
          <w:rPr>
            <w:b/>
            <w:bCs/>
          </w:rPr>
          <w:t>12</w:t>
        </w:r>
        <w:r w:rsidR="002D4A39" w:rsidRPr="00562FCE">
          <w:rPr>
            <w:b/>
            <w:bCs/>
          </w:rPr>
          <w:fldChar w:fldCharType="end"/>
        </w:r>
        <w:r w:rsidR="002D4A39" w:rsidRPr="00562FCE">
          <w:t xml:space="preserve"> of </w:t>
        </w:r>
        <w:r w:rsidR="002D4A39" w:rsidRPr="00562FCE">
          <w:rPr>
            <w:b/>
            <w:bCs/>
          </w:rPr>
          <w:fldChar w:fldCharType="begin"/>
        </w:r>
        <w:r w:rsidR="002D4A39" w:rsidRPr="00562FCE">
          <w:rPr>
            <w:b/>
            <w:bCs/>
          </w:rPr>
          <w:instrText>NUMPAGES  \* Arabic  \* MERGEFORMAT</w:instrText>
        </w:r>
        <w:r w:rsidR="002D4A39" w:rsidRPr="00562FCE">
          <w:rPr>
            <w:b/>
            <w:bCs/>
          </w:rPr>
          <w:fldChar w:fldCharType="separate"/>
        </w:r>
        <w:r w:rsidR="002D4A39">
          <w:rPr>
            <w:b/>
            <w:bCs/>
          </w:rPr>
          <w:t>12</w:t>
        </w:r>
        <w:r w:rsidR="002D4A39" w:rsidRPr="00562FCE">
          <w:rPr>
            <w:b/>
            <w:bCs/>
          </w:rPr>
          <w:fldChar w:fldCharType="end"/>
        </w:r>
      </w:sdtContent>
    </w:sdt>
  </w:p>
  <w:p w14:paraId="4531B2FD" w14:textId="77777777" w:rsidR="002D4A39" w:rsidRDefault="002D4A39" w:rsidP="002D4A39">
    <w:pPr>
      <w:pStyle w:val="Footer"/>
      <w:jc w:val="right"/>
    </w:pPr>
    <w:r>
      <w:t xml:space="preserve">Digital, Data, Research and Innovation </w:t>
    </w:r>
    <w:r w:rsidRPr="00A225BD">
      <w:t>Committee</w:t>
    </w:r>
    <w:r>
      <w:t xml:space="preserve"> </w:t>
    </w:r>
  </w:p>
  <w:p w14:paraId="527723A4" w14:textId="1D0737D9" w:rsidR="002D4A39" w:rsidRDefault="00FE430D">
    <w:pPr>
      <w:pStyle w:val="Footer"/>
    </w:pPr>
    <w:r>
      <w:tab/>
    </w:r>
    <w:r>
      <w:tab/>
      <w:t>January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78A70F" w14:textId="77777777" w:rsidR="005C2024" w:rsidRDefault="005C2024" w:rsidP="002D4A39">
      <w:pPr>
        <w:spacing w:after="0" w:line="240" w:lineRule="auto"/>
      </w:pPr>
      <w:r>
        <w:separator/>
      </w:r>
    </w:p>
  </w:footnote>
  <w:footnote w:type="continuationSeparator" w:id="0">
    <w:p w14:paraId="32B4B808" w14:textId="77777777" w:rsidR="005C2024" w:rsidRDefault="005C2024" w:rsidP="002D4A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005"/>
      <w:gridCol w:w="3005"/>
      <w:gridCol w:w="3005"/>
    </w:tblGrid>
    <w:tr w:rsidR="4BABAE82" w14:paraId="3CB86D60" w14:textId="77777777" w:rsidTr="4BABAE82">
      <w:trPr>
        <w:trHeight w:val="300"/>
      </w:trPr>
      <w:tc>
        <w:tcPr>
          <w:tcW w:w="3005" w:type="dxa"/>
        </w:tcPr>
        <w:p w14:paraId="37CC053C" w14:textId="6F0CC2C9" w:rsidR="4BABAE82" w:rsidRDefault="4BABAE82" w:rsidP="4BABAE82">
          <w:pPr>
            <w:pStyle w:val="Header"/>
            <w:ind w:left="-115"/>
          </w:pPr>
        </w:p>
      </w:tc>
      <w:tc>
        <w:tcPr>
          <w:tcW w:w="3005" w:type="dxa"/>
        </w:tcPr>
        <w:p w14:paraId="2CBD87D7" w14:textId="1512698D" w:rsidR="4BABAE82" w:rsidRDefault="4BABAE82" w:rsidP="4BABAE82">
          <w:pPr>
            <w:pStyle w:val="Header"/>
            <w:jc w:val="center"/>
          </w:pPr>
        </w:p>
      </w:tc>
      <w:tc>
        <w:tcPr>
          <w:tcW w:w="3005" w:type="dxa"/>
        </w:tcPr>
        <w:p w14:paraId="1728F412" w14:textId="00E4C510" w:rsidR="4BABAE82" w:rsidRDefault="4BABAE82" w:rsidP="4BABAE82">
          <w:pPr>
            <w:pStyle w:val="Header"/>
            <w:ind w:right="-115"/>
            <w:jc w:val="right"/>
          </w:pPr>
        </w:p>
      </w:tc>
    </w:tr>
  </w:tbl>
  <w:p w14:paraId="39510173" w14:textId="7E681318" w:rsidR="00E03F6B" w:rsidRDefault="00317EB8">
    <w:pPr>
      <w:pStyle w:val="Header"/>
    </w:pPr>
    <w:r w:rsidRPr="0082722B">
      <w:rPr>
        <w:rFonts w:ascii="Arial" w:hAnsi="Arial" w:cs="Arial"/>
        <w:noProof/>
        <w:color w:val="2B579A"/>
        <w:shd w:val="clear" w:color="auto" w:fill="E6E6E6"/>
        <w:lang w:eastAsia="en-GB"/>
      </w:rPr>
      <w:drawing>
        <wp:anchor distT="0" distB="0" distL="114300" distR="114300" simplePos="0" relativeHeight="251660288" behindDoc="1" locked="0" layoutInCell="1" allowOverlap="1" wp14:anchorId="7CAE3E44" wp14:editId="25109276">
          <wp:simplePos x="0" y="0"/>
          <wp:positionH relativeFrom="margin">
            <wp:align>center</wp:align>
          </wp:positionH>
          <wp:positionV relativeFrom="paragraph">
            <wp:posOffset>-530860</wp:posOffset>
          </wp:positionV>
          <wp:extent cx="2971800" cy="751840"/>
          <wp:effectExtent l="0" t="0" r="0" b="0"/>
          <wp:wrapTight wrapText="bothSides">
            <wp:wrapPolygon edited="0">
              <wp:start x="0" y="0"/>
              <wp:lineTo x="0" y="20797"/>
              <wp:lineTo x="21462" y="20797"/>
              <wp:lineTo x="21462" y="0"/>
              <wp:lineTo x="0" y="0"/>
            </wp:wrapPolygon>
          </wp:wrapTight>
          <wp:docPr id="748068114" name="Picture 74806811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AD5FF5"/>
    <w:multiLevelType w:val="hybridMultilevel"/>
    <w:tmpl w:val="EBA234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BC1384E"/>
    <w:multiLevelType w:val="hybridMultilevel"/>
    <w:tmpl w:val="6902D3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34055E3"/>
    <w:multiLevelType w:val="multilevel"/>
    <w:tmpl w:val="4C0A88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6756581"/>
    <w:multiLevelType w:val="hybridMultilevel"/>
    <w:tmpl w:val="B0E26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96D533F"/>
    <w:multiLevelType w:val="multilevel"/>
    <w:tmpl w:val="B6AA1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B851330"/>
    <w:multiLevelType w:val="hybridMultilevel"/>
    <w:tmpl w:val="763C4478"/>
    <w:lvl w:ilvl="0" w:tplc="08090001">
      <w:start w:val="1"/>
      <w:numFmt w:val="bullet"/>
      <w:lvlText w:val=""/>
      <w:lvlJc w:val="left"/>
      <w:pPr>
        <w:ind w:left="808" w:hanging="360"/>
      </w:pPr>
      <w:rPr>
        <w:rFonts w:ascii="Symbol" w:hAnsi="Symbol" w:hint="default"/>
      </w:rPr>
    </w:lvl>
    <w:lvl w:ilvl="1" w:tplc="08090003" w:tentative="1">
      <w:start w:val="1"/>
      <w:numFmt w:val="bullet"/>
      <w:lvlText w:val="o"/>
      <w:lvlJc w:val="left"/>
      <w:pPr>
        <w:ind w:left="1528" w:hanging="360"/>
      </w:pPr>
      <w:rPr>
        <w:rFonts w:ascii="Courier New" w:hAnsi="Courier New" w:cs="Courier New" w:hint="default"/>
      </w:rPr>
    </w:lvl>
    <w:lvl w:ilvl="2" w:tplc="08090005" w:tentative="1">
      <w:start w:val="1"/>
      <w:numFmt w:val="bullet"/>
      <w:lvlText w:val=""/>
      <w:lvlJc w:val="left"/>
      <w:pPr>
        <w:ind w:left="2248" w:hanging="360"/>
      </w:pPr>
      <w:rPr>
        <w:rFonts w:ascii="Wingdings" w:hAnsi="Wingdings" w:hint="default"/>
      </w:rPr>
    </w:lvl>
    <w:lvl w:ilvl="3" w:tplc="08090001" w:tentative="1">
      <w:start w:val="1"/>
      <w:numFmt w:val="bullet"/>
      <w:lvlText w:val=""/>
      <w:lvlJc w:val="left"/>
      <w:pPr>
        <w:ind w:left="2968" w:hanging="360"/>
      </w:pPr>
      <w:rPr>
        <w:rFonts w:ascii="Symbol" w:hAnsi="Symbol" w:hint="default"/>
      </w:rPr>
    </w:lvl>
    <w:lvl w:ilvl="4" w:tplc="08090003" w:tentative="1">
      <w:start w:val="1"/>
      <w:numFmt w:val="bullet"/>
      <w:lvlText w:val="o"/>
      <w:lvlJc w:val="left"/>
      <w:pPr>
        <w:ind w:left="3688" w:hanging="360"/>
      </w:pPr>
      <w:rPr>
        <w:rFonts w:ascii="Courier New" w:hAnsi="Courier New" w:cs="Courier New" w:hint="default"/>
      </w:rPr>
    </w:lvl>
    <w:lvl w:ilvl="5" w:tplc="08090005" w:tentative="1">
      <w:start w:val="1"/>
      <w:numFmt w:val="bullet"/>
      <w:lvlText w:val=""/>
      <w:lvlJc w:val="left"/>
      <w:pPr>
        <w:ind w:left="4408" w:hanging="360"/>
      </w:pPr>
      <w:rPr>
        <w:rFonts w:ascii="Wingdings" w:hAnsi="Wingdings" w:hint="default"/>
      </w:rPr>
    </w:lvl>
    <w:lvl w:ilvl="6" w:tplc="08090001" w:tentative="1">
      <w:start w:val="1"/>
      <w:numFmt w:val="bullet"/>
      <w:lvlText w:val=""/>
      <w:lvlJc w:val="left"/>
      <w:pPr>
        <w:ind w:left="5128" w:hanging="360"/>
      </w:pPr>
      <w:rPr>
        <w:rFonts w:ascii="Symbol" w:hAnsi="Symbol" w:hint="default"/>
      </w:rPr>
    </w:lvl>
    <w:lvl w:ilvl="7" w:tplc="08090003" w:tentative="1">
      <w:start w:val="1"/>
      <w:numFmt w:val="bullet"/>
      <w:lvlText w:val="o"/>
      <w:lvlJc w:val="left"/>
      <w:pPr>
        <w:ind w:left="5848" w:hanging="360"/>
      </w:pPr>
      <w:rPr>
        <w:rFonts w:ascii="Courier New" w:hAnsi="Courier New" w:cs="Courier New" w:hint="default"/>
      </w:rPr>
    </w:lvl>
    <w:lvl w:ilvl="8" w:tplc="08090005" w:tentative="1">
      <w:start w:val="1"/>
      <w:numFmt w:val="bullet"/>
      <w:lvlText w:val=""/>
      <w:lvlJc w:val="left"/>
      <w:pPr>
        <w:ind w:left="6568" w:hanging="360"/>
      </w:pPr>
      <w:rPr>
        <w:rFonts w:ascii="Wingdings" w:hAnsi="Wingdings" w:hint="default"/>
      </w:rPr>
    </w:lvl>
  </w:abstractNum>
  <w:num w:numId="1" w16cid:durableId="1456950104">
    <w:abstractNumId w:val="3"/>
  </w:num>
  <w:num w:numId="2" w16cid:durableId="388767249">
    <w:abstractNumId w:val="4"/>
  </w:num>
  <w:num w:numId="3" w16cid:durableId="954290221">
    <w:abstractNumId w:val="2"/>
  </w:num>
  <w:num w:numId="4" w16cid:durableId="1736783856">
    <w:abstractNumId w:val="1"/>
  </w:num>
  <w:num w:numId="5" w16cid:durableId="858545133">
    <w:abstractNumId w:val="5"/>
  </w:num>
  <w:num w:numId="6" w16cid:durableId="1608924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297D"/>
    <w:rsid w:val="00005056"/>
    <w:rsid w:val="00027590"/>
    <w:rsid w:val="00031584"/>
    <w:rsid w:val="00040AB8"/>
    <w:rsid w:val="000460FC"/>
    <w:rsid w:val="000B4119"/>
    <w:rsid w:val="00114678"/>
    <w:rsid w:val="00136193"/>
    <w:rsid w:val="001C190F"/>
    <w:rsid w:val="00271732"/>
    <w:rsid w:val="00292EB1"/>
    <w:rsid w:val="002D2466"/>
    <w:rsid w:val="002D4A39"/>
    <w:rsid w:val="00317EB8"/>
    <w:rsid w:val="00327E49"/>
    <w:rsid w:val="00331AED"/>
    <w:rsid w:val="0033254D"/>
    <w:rsid w:val="0036361E"/>
    <w:rsid w:val="0039107F"/>
    <w:rsid w:val="00397BE1"/>
    <w:rsid w:val="003D421E"/>
    <w:rsid w:val="003E38A5"/>
    <w:rsid w:val="004A355B"/>
    <w:rsid w:val="004D63B1"/>
    <w:rsid w:val="004E5A62"/>
    <w:rsid w:val="005B13EE"/>
    <w:rsid w:val="005C2024"/>
    <w:rsid w:val="005D148D"/>
    <w:rsid w:val="00613B0D"/>
    <w:rsid w:val="00615622"/>
    <w:rsid w:val="00633501"/>
    <w:rsid w:val="00660446"/>
    <w:rsid w:val="006763F0"/>
    <w:rsid w:val="006A6B16"/>
    <w:rsid w:val="00704B91"/>
    <w:rsid w:val="007137CD"/>
    <w:rsid w:val="007674F1"/>
    <w:rsid w:val="007811AB"/>
    <w:rsid w:val="008302FB"/>
    <w:rsid w:val="00855CF0"/>
    <w:rsid w:val="00887257"/>
    <w:rsid w:val="00895C40"/>
    <w:rsid w:val="008C535D"/>
    <w:rsid w:val="008C6E85"/>
    <w:rsid w:val="009D4A8E"/>
    <w:rsid w:val="009F18D5"/>
    <w:rsid w:val="00A17D90"/>
    <w:rsid w:val="00A422A8"/>
    <w:rsid w:val="00AA309E"/>
    <w:rsid w:val="00AB2527"/>
    <w:rsid w:val="00B6607B"/>
    <w:rsid w:val="00BA62A7"/>
    <w:rsid w:val="00C45016"/>
    <w:rsid w:val="00C96EC4"/>
    <w:rsid w:val="00CE7135"/>
    <w:rsid w:val="00D02EFE"/>
    <w:rsid w:val="00D308F8"/>
    <w:rsid w:val="00D52F92"/>
    <w:rsid w:val="00D6297D"/>
    <w:rsid w:val="00D73E07"/>
    <w:rsid w:val="00D952D0"/>
    <w:rsid w:val="00DD386D"/>
    <w:rsid w:val="00E03F6B"/>
    <w:rsid w:val="00E170C4"/>
    <w:rsid w:val="00E76D11"/>
    <w:rsid w:val="00EC6D2C"/>
    <w:rsid w:val="00F4655A"/>
    <w:rsid w:val="00F51903"/>
    <w:rsid w:val="00F6562A"/>
    <w:rsid w:val="00F947D7"/>
    <w:rsid w:val="00FE430D"/>
    <w:rsid w:val="036D2ED6"/>
    <w:rsid w:val="0521C5CA"/>
    <w:rsid w:val="055D24EA"/>
    <w:rsid w:val="09DEE67A"/>
    <w:rsid w:val="0D9431A1"/>
    <w:rsid w:val="14E23E00"/>
    <w:rsid w:val="19C215F8"/>
    <w:rsid w:val="1B5FCE36"/>
    <w:rsid w:val="210F0FC3"/>
    <w:rsid w:val="2126377A"/>
    <w:rsid w:val="25633194"/>
    <w:rsid w:val="2770A513"/>
    <w:rsid w:val="2B6FBD57"/>
    <w:rsid w:val="2BE3025A"/>
    <w:rsid w:val="2CDA145F"/>
    <w:rsid w:val="2EE8A816"/>
    <w:rsid w:val="3009C893"/>
    <w:rsid w:val="32536C18"/>
    <w:rsid w:val="329EB20C"/>
    <w:rsid w:val="38BB7EE6"/>
    <w:rsid w:val="3B496918"/>
    <w:rsid w:val="3D97C673"/>
    <w:rsid w:val="3FFC2E7C"/>
    <w:rsid w:val="429A6D63"/>
    <w:rsid w:val="481F3A94"/>
    <w:rsid w:val="4BABAE82"/>
    <w:rsid w:val="4E5FBAD9"/>
    <w:rsid w:val="5460F8EC"/>
    <w:rsid w:val="5475DEC4"/>
    <w:rsid w:val="5480B4AF"/>
    <w:rsid w:val="5493292D"/>
    <w:rsid w:val="5635507B"/>
    <w:rsid w:val="590040FB"/>
    <w:rsid w:val="598C3E10"/>
    <w:rsid w:val="5B97A2B5"/>
    <w:rsid w:val="5C40C030"/>
    <w:rsid w:val="5D1F69FC"/>
    <w:rsid w:val="5DD98721"/>
    <w:rsid w:val="5E3878B0"/>
    <w:rsid w:val="5E630D82"/>
    <w:rsid w:val="60C15833"/>
    <w:rsid w:val="684D4301"/>
    <w:rsid w:val="6BDE1BDA"/>
    <w:rsid w:val="6DDEF669"/>
    <w:rsid w:val="6EA1088B"/>
    <w:rsid w:val="6EB0A296"/>
    <w:rsid w:val="776DF4EA"/>
    <w:rsid w:val="79A2186C"/>
    <w:rsid w:val="7B3AF883"/>
    <w:rsid w:val="7B64C88F"/>
    <w:rsid w:val="7BB5839D"/>
    <w:rsid w:val="7CC0791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E0F8DF"/>
  <w15:chartTrackingRefBased/>
  <w15:docId w15:val="{8AA46B3C-894D-487D-B53F-96ADCB9C35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6297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6297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6297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6297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6297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6297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6297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6297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6297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6297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6297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6297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6297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6297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6297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6297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6297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6297D"/>
    <w:rPr>
      <w:rFonts w:eastAsiaTheme="majorEastAsia" w:cstheme="majorBidi"/>
      <w:color w:val="272727" w:themeColor="text1" w:themeTint="D8"/>
    </w:rPr>
  </w:style>
  <w:style w:type="paragraph" w:styleId="Title">
    <w:name w:val="Title"/>
    <w:basedOn w:val="Normal"/>
    <w:next w:val="Normal"/>
    <w:link w:val="TitleChar"/>
    <w:uiPriority w:val="10"/>
    <w:qFormat/>
    <w:rsid w:val="00D6297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6297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6297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6297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6297D"/>
    <w:pPr>
      <w:spacing w:before="160"/>
      <w:jc w:val="center"/>
    </w:pPr>
    <w:rPr>
      <w:i/>
      <w:iCs/>
      <w:color w:val="404040" w:themeColor="text1" w:themeTint="BF"/>
    </w:rPr>
  </w:style>
  <w:style w:type="character" w:customStyle="1" w:styleId="QuoteChar">
    <w:name w:val="Quote Char"/>
    <w:basedOn w:val="DefaultParagraphFont"/>
    <w:link w:val="Quote"/>
    <w:uiPriority w:val="29"/>
    <w:rsid w:val="00D6297D"/>
    <w:rPr>
      <w:i/>
      <w:iCs/>
      <w:color w:val="404040" w:themeColor="text1" w:themeTint="BF"/>
    </w:rPr>
  </w:style>
  <w:style w:type="paragraph" w:styleId="ListParagraph">
    <w:name w:val="List Paragraph"/>
    <w:basedOn w:val="Normal"/>
    <w:uiPriority w:val="34"/>
    <w:qFormat/>
    <w:rsid w:val="00D6297D"/>
    <w:pPr>
      <w:ind w:left="720"/>
      <w:contextualSpacing/>
    </w:pPr>
  </w:style>
  <w:style w:type="character" w:styleId="IntenseEmphasis">
    <w:name w:val="Intense Emphasis"/>
    <w:basedOn w:val="DefaultParagraphFont"/>
    <w:uiPriority w:val="21"/>
    <w:qFormat/>
    <w:rsid w:val="00D6297D"/>
    <w:rPr>
      <w:i/>
      <w:iCs/>
      <w:color w:val="0F4761" w:themeColor="accent1" w:themeShade="BF"/>
    </w:rPr>
  </w:style>
  <w:style w:type="paragraph" w:styleId="IntenseQuote">
    <w:name w:val="Intense Quote"/>
    <w:basedOn w:val="Normal"/>
    <w:next w:val="Normal"/>
    <w:link w:val="IntenseQuoteChar"/>
    <w:uiPriority w:val="30"/>
    <w:qFormat/>
    <w:rsid w:val="00D6297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6297D"/>
    <w:rPr>
      <w:i/>
      <w:iCs/>
      <w:color w:val="0F4761" w:themeColor="accent1" w:themeShade="BF"/>
    </w:rPr>
  </w:style>
  <w:style w:type="character" w:styleId="IntenseReference">
    <w:name w:val="Intense Reference"/>
    <w:basedOn w:val="DefaultParagraphFont"/>
    <w:uiPriority w:val="32"/>
    <w:qFormat/>
    <w:rsid w:val="00D6297D"/>
    <w:rPr>
      <w:b/>
      <w:bCs/>
      <w:smallCaps/>
      <w:color w:val="0F4761" w:themeColor="accent1" w:themeShade="BF"/>
      <w:spacing w:val="5"/>
    </w:rPr>
  </w:style>
  <w:style w:type="character" w:styleId="CommentReference">
    <w:name w:val="annotation reference"/>
    <w:basedOn w:val="DefaultParagraphFont"/>
    <w:uiPriority w:val="99"/>
    <w:semiHidden/>
    <w:unhideWhenUsed/>
    <w:rsid w:val="00D6297D"/>
    <w:rPr>
      <w:sz w:val="16"/>
      <w:szCs w:val="16"/>
    </w:rPr>
  </w:style>
  <w:style w:type="paragraph" w:styleId="CommentText">
    <w:name w:val="annotation text"/>
    <w:basedOn w:val="Normal"/>
    <w:link w:val="CommentTextChar"/>
    <w:uiPriority w:val="99"/>
    <w:unhideWhenUsed/>
    <w:rsid w:val="00D6297D"/>
    <w:pPr>
      <w:spacing w:line="240" w:lineRule="auto"/>
    </w:pPr>
    <w:rPr>
      <w:kern w:val="0"/>
      <w:sz w:val="20"/>
      <w:szCs w:val="20"/>
      <w14:ligatures w14:val="none"/>
    </w:rPr>
  </w:style>
  <w:style w:type="character" w:customStyle="1" w:styleId="CommentTextChar">
    <w:name w:val="Comment Text Char"/>
    <w:basedOn w:val="DefaultParagraphFont"/>
    <w:link w:val="CommentText"/>
    <w:uiPriority w:val="99"/>
    <w:rsid w:val="00D6297D"/>
    <w:rPr>
      <w:kern w:val="0"/>
      <w:sz w:val="20"/>
      <w:szCs w:val="20"/>
      <w14:ligatures w14:val="none"/>
    </w:rPr>
  </w:style>
  <w:style w:type="character" w:styleId="Mention">
    <w:name w:val="Mention"/>
    <w:basedOn w:val="DefaultParagraphFont"/>
    <w:uiPriority w:val="99"/>
    <w:unhideWhenUsed/>
    <w:rsid w:val="00D6297D"/>
    <w:rPr>
      <w:color w:val="2B579A"/>
      <w:shd w:val="clear" w:color="auto" w:fill="E6E6E6"/>
    </w:rPr>
  </w:style>
  <w:style w:type="paragraph" w:styleId="Header">
    <w:name w:val="header"/>
    <w:basedOn w:val="Normal"/>
    <w:link w:val="HeaderChar"/>
    <w:uiPriority w:val="99"/>
    <w:unhideWhenUsed/>
    <w:rsid w:val="002D4A39"/>
    <w:pPr>
      <w:tabs>
        <w:tab w:val="center" w:pos="4513"/>
        <w:tab w:val="right" w:pos="9026"/>
      </w:tabs>
      <w:spacing w:after="0" w:line="240" w:lineRule="auto"/>
    </w:pPr>
  </w:style>
  <w:style w:type="character" w:customStyle="1" w:styleId="HeaderChar">
    <w:name w:val="Header Char"/>
    <w:basedOn w:val="DefaultParagraphFont"/>
    <w:link w:val="Header"/>
    <w:uiPriority w:val="99"/>
    <w:rsid w:val="002D4A39"/>
  </w:style>
  <w:style w:type="paragraph" w:styleId="Footer">
    <w:name w:val="footer"/>
    <w:basedOn w:val="Normal"/>
    <w:link w:val="FooterChar"/>
    <w:uiPriority w:val="99"/>
    <w:unhideWhenUsed/>
    <w:rsid w:val="002D4A39"/>
    <w:pPr>
      <w:tabs>
        <w:tab w:val="center" w:pos="4513"/>
        <w:tab w:val="right" w:pos="9026"/>
      </w:tabs>
      <w:spacing w:after="0" w:line="240" w:lineRule="auto"/>
    </w:pPr>
  </w:style>
  <w:style w:type="character" w:customStyle="1" w:styleId="FooterChar">
    <w:name w:val="Footer Char"/>
    <w:basedOn w:val="DefaultParagraphFont"/>
    <w:link w:val="Footer"/>
    <w:uiPriority w:val="99"/>
    <w:rsid w:val="002D4A39"/>
  </w:style>
  <w:style w:type="table" w:styleId="TableGrid">
    <w:name w:val="Table Grid"/>
    <w:basedOn w:val="TableNormal"/>
    <w:uiPriority w:val="59"/>
    <w:rsid w:val="00E03F6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5F435B7-35F5-490E-9AA7-52DD2C973C24}">
  <ds:schemaRefs>
    <ds:schemaRef ds:uri="http://schemas.microsoft.com/office/2006/metadata/properties"/>
    <ds:schemaRef ds:uri="http://schemas.microsoft.com/office/infopath/2007/PartnerControls"/>
    <ds:schemaRef ds:uri="2cdd0f6b-12eb-4a7c-9667-d7cbf3b2c716"/>
  </ds:schemaRefs>
</ds:datastoreItem>
</file>

<file path=customXml/itemProps2.xml><?xml version="1.0" encoding="utf-8"?>
<ds:datastoreItem xmlns:ds="http://schemas.openxmlformats.org/officeDocument/2006/customXml" ds:itemID="{83E587C3-833F-45E2-ACF1-C655EB4FA99C}">
  <ds:schemaRefs>
    <ds:schemaRef ds:uri="http://schemas.microsoft.com/sharepoint/v3/contenttype/forms"/>
  </ds:schemaRefs>
</ds:datastoreItem>
</file>

<file path=customXml/itemProps3.xml><?xml version="1.0" encoding="utf-8"?>
<ds:datastoreItem xmlns:ds="http://schemas.openxmlformats.org/officeDocument/2006/customXml" ds:itemID="{C3B05E45-3EC0-40F8-BE46-2EA0AFCB47D4}"/>
</file>

<file path=docProps/app.xml><?xml version="1.0" encoding="utf-8"?>
<Properties xmlns="http://schemas.openxmlformats.org/officeDocument/2006/extended-properties" xmlns:vt="http://schemas.openxmlformats.org/officeDocument/2006/docPropsVTypes">
  <Template>Normal</Template>
  <TotalTime>7</TotalTime>
  <Pages>6</Pages>
  <Words>1192</Words>
  <Characters>6296</Characters>
  <Application>Microsoft Office Word</Application>
  <DocSecurity>0</DocSecurity>
  <Lines>314</Lines>
  <Paragraphs>122</Paragraphs>
  <ScaleCrop>false</ScaleCrop>
  <Company>SBU</Company>
  <LinksUpToDate>false</LinksUpToDate>
  <CharactersWithSpaces>7366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Tracey Bell (Swansea Bay UHB - Digital Services)</dc:creator>
  <cp:keywords/>
  <dc:description/>
  <cp:lastModifiedBy>Tracey Bell (Swansea Bay UHB - Digital Services)</cp:lastModifiedBy>
  <cp:revision>59</cp:revision>
  <dcterms:created xsi:type="dcterms:W3CDTF">2025-10-30T22:34:00Z</dcterms:created>
  <dcterms:modified xsi:type="dcterms:W3CDTF">2026-01-13T15:00:00Z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ies>
</file>