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21" w:type="dxa"/>
        <w:tblInd w:w="-5" w:type="dxa"/>
        <w:tblLayout w:type="fixed"/>
        <w:tblLook w:val="04A0" w:firstRow="1" w:lastRow="0" w:firstColumn="1" w:lastColumn="0" w:noHBand="0" w:noVBand="1"/>
      </w:tblPr>
      <w:tblGrid>
        <w:gridCol w:w="2977"/>
        <w:gridCol w:w="2835"/>
        <w:gridCol w:w="2368"/>
        <w:gridCol w:w="841"/>
      </w:tblGrid>
      <w:tr w:rsidRPr="00F8567E" w:rsidR="00083FC0" w:rsidTr="52FAB726"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tc>
          <w:tcPr>
            <w:tcW w:w="2835" w:type="dxa"/>
            <w:tcMar/>
          </w:tcPr>
          <w:p w:rsidRPr="005E055E" w:rsidR="2567F81D" w:rsidP="2567F81D" w:rsidRDefault="00E60FC3" w14:paraId="09F30430" w14:textId="65D5CFF0">
            <w:pPr>
              <w:rPr>
                <w:b/>
                <w:bCs/>
              </w:rPr>
            </w:pPr>
            <w:r w:rsidRPr="005E055E">
              <w:rPr>
                <w:b/>
                <w:bCs/>
              </w:rPr>
              <w:t>17 September 2026</w:t>
            </w:r>
          </w:p>
        </w:tc>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22BE3648" w14:paraId="6D2903E1" w14:textId="461AA02C">
            <w:r w:rsidRPr="52FAB726" w:rsidR="465C0EE4">
              <w:rPr>
                <w:b w:val="1"/>
                <w:bCs w:val="1"/>
              </w:rPr>
              <w:t>4.</w:t>
            </w:r>
            <w:r w:rsidRPr="52FAB726" w:rsidR="3EB7D0E2">
              <w:rPr>
                <w:b w:val="1"/>
                <w:bCs w:val="1"/>
              </w:rPr>
              <w:t>3</w:t>
            </w:r>
          </w:p>
        </w:tc>
      </w:tr>
      <w:tr w:rsidRPr="00F8567E" w:rsidR="00B0479E" w:rsidTr="52FAB726"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tc>
          <w:tcPr>
            <w:tcW w:w="6044" w:type="dxa"/>
            <w:gridSpan w:val="3"/>
            <w:tcMar/>
          </w:tcPr>
          <w:p w:rsidR="2567F81D" w:rsidP="2567F81D" w:rsidRDefault="2567F81D" w14:paraId="758F8073" w14:textId="4ED619F2">
            <w:r w:rsidRPr="2567F81D">
              <w:rPr>
                <w:b/>
                <w:bCs/>
              </w:rPr>
              <w:t>Digital, Research and Innovation Committee</w:t>
            </w:r>
          </w:p>
        </w:tc>
      </w:tr>
      <w:tr w:rsidRPr="00F8567E" w:rsidR="00083FC0" w:rsidTr="52FAB726"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2567F81D" w:rsidP="2567F81D" w:rsidRDefault="2567F81D" w14:paraId="233E326A" w14:textId="076C820C">
            <w:r w:rsidRPr="2567F81D">
              <w:rPr>
                <w:b/>
                <w:bCs/>
              </w:rPr>
              <w:t>Artificial Intelligence Governance Arrangements and Pipeline Assurance Update</w:t>
            </w:r>
          </w:p>
        </w:tc>
      </w:tr>
      <w:tr w:rsidRPr="00F8567E" w:rsidR="00083FC0" w:rsidTr="52FAB726"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2567F81D" w:rsidP="2567F81D" w:rsidRDefault="006A0951" w14:paraId="3CA53357" w14:textId="569729A4">
            <w:r>
              <w:t>Assistant Director of Digital</w:t>
            </w:r>
            <w:r w:rsidR="000F2C4A">
              <w:t>: Business Management and Information Governance – Gareth Westlake</w:t>
            </w:r>
          </w:p>
        </w:tc>
      </w:tr>
      <w:tr w:rsidRPr="00F8567E" w:rsidR="00762BBE" w:rsidTr="52FAB726"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tc>
          <w:tcPr>
            <w:tcW w:w="6044" w:type="dxa"/>
            <w:gridSpan w:val="3"/>
            <w:tcMar/>
          </w:tcPr>
          <w:p w:rsidR="2567F81D" w:rsidP="2567F81D" w:rsidRDefault="2567F81D" w14:paraId="60E758D0" w14:textId="250E422B">
            <w:r>
              <w:t>Director of Digital</w:t>
            </w:r>
          </w:p>
        </w:tc>
      </w:tr>
      <w:tr w:rsidRPr="00F8567E" w:rsidR="00762BBE" w:rsidTr="52FAB726"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2567F81D" w:rsidP="2567F81D" w:rsidRDefault="2567F81D" w14:paraId="61A9D8FB" w14:textId="3B4D70DB">
            <w:r>
              <w:t>Director of Digital</w:t>
            </w:r>
            <w:r w:rsidR="000F2C4A">
              <w:t xml:space="preserve"> – Matt John</w:t>
            </w:r>
          </w:p>
        </w:tc>
      </w:tr>
      <w:tr w:rsidRPr="00F8567E" w:rsidR="00653AEC" w:rsidTr="52FAB726"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p w:rsidR="2567F81D" w:rsidP="2567F81D" w:rsidRDefault="2567F81D" w14:paraId="792B8FF9" w14:textId="399A420A">
            <w:r>
              <w:t>Open</w:t>
            </w:r>
          </w:p>
        </w:tc>
      </w:tr>
      <w:tr w:rsidRPr="00F8567E" w:rsidR="00041CF6" w:rsidTr="52FAB726"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tc>
          <w:tcPr>
            <w:tcW w:w="6044" w:type="dxa"/>
            <w:gridSpan w:val="3"/>
            <w:tcMar/>
          </w:tcPr>
          <w:p w:rsidR="2567F81D" w:rsidP="2567F81D" w:rsidRDefault="2567F81D" w14:paraId="038A2894" w14:textId="06C24BE6">
            <w:r>
              <w:t>Not applicable</w:t>
            </w:r>
          </w:p>
        </w:tc>
      </w:tr>
      <w:tr w:rsidRPr="00F8567E" w:rsidR="008F442A" w:rsidTr="52FAB726"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52FAB726" w14:paraId="44E771AC" w14:textId="77777777">
        <w:tc>
          <w:tcPr>
            <w:tcW w:w="5812" w:type="dxa"/>
            <w:gridSpan w:val="2"/>
            <w:tcMar/>
          </w:tcPr>
          <w:p w:rsidR="2567F81D" w:rsidP="2567F81D" w:rsidRDefault="2567F81D" w14:paraId="3C1F2066" w14:textId="549B7AE9">
            <w:r>
              <w:t>No decision is required. This paper provides assurance on the implementation of approved governance arrangements; individual Artificial Intelligence use cases will complete proportionate impact, clinical safety and information governance assessments where required.</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52FAB726"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tc>
          <w:tcPr>
            <w:tcW w:w="6044" w:type="dxa"/>
            <w:gridSpan w:val="3"/>
            <w:tcMar/>
          </w:tcPr>
          <w:p w:rsidR="2567F81D" w:rsidP="2567F81D" w:rsidRDefault="2567F81D" w14:paraId="5541AD5B" w14:textId="1898B01A">
            <w:r>
              <w:t>Assurance</w:t>
            </w:r>
          </w:p>
        </w:tc>
      </w:tr>
      <w:tr w:rsidRPr="00F8567E" w:rsidR="00110100" w:rsidTr="52FAB726"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52FAB726" w14:paraId="6D2903F8" w14:textId="77777777">
        <w:tc>
          <w:tcPr>
            <w:tcW w:w="9021" w:type="dxa"/>
            <w:gridSpan w:val="4"/>
            <w:tcMar/>
          </w:tcPr>
          <w:p w:rsidRPr="00860A9E" w:rsidR="2567F81D" w:rsidP="00873695" w:rsidRDefault="00873695" w14:paraId="2071F539" w14:textId="6EA25D37">
            <w:pPr>
              <w:rPr>
                <w:kern w:val="2"/>
                <w:lang w:eastAsia="en-GB"/>
                <w14:ligatures w14:val="standardContextual"/>
              </w:rPr>
            </w:pPr>
            <w:r>
              <w:t>This paper provides the Digital, Research and Innovation Committee with assurance on progress to implement the Artificial Intelligence governance proposals approved by the Executive Team in July 2026. It confirms that the Artificial Intelligence Governance Group is being established, that an Ambient Voice Technology project board has commenced, and that early priority use cases are being progressed through the proposed governance approach. It also sets out the immediate implementation actions needed to strengthen safe, ethical and practical adoption, including staff-facing guidance, awareness and training, a baseline AI inventory, adoption monitoring, benefits tracking and clear routes for prioritising, approving and assuring AI use cases.</w:t>
            </w:r>
          </w:p>
        </w:tc>
      </w:tr>
      <w:tr w:rsidRPr="00F8567E" w:rsidR="00110100" w:rsidTr="52FAB726"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52FAB726" w14:paraId="6D290402" w14:textId="77777777">
        <w:tc>
          <w:tcPr>
            <w:tcW w:w="9021" w:type="dxa"/>
            <w:gridSpan w:val="4"/>
            <w:tcMar/>
          </w:tcPr>
          <w:p w:rsidRPr="00860A9E" w:rsidR="2567F81D" w:rsidP="00873695" w:rsidRDefault="00873695" w14:paraId="611055C0" w14:textId="780A3761">
            <w:pPr>
              <w:rPr>
                <w:kern w:val="2"/>
                <w:lang w:eastAsia="en-GB"/>
                <w14:ligatures w14:val="standardContextual"/>
              </w:rPr>
            </w:pPr>
            <w:r>
              <w:t xml:space="preserve">Artificial Intelligence offers significant opportunities to improve care, release capacity and strengthen services, but requires clear ethical guardrails for safety, information governance, equality, cyber security, procurement, finance, clinical accountability and public trust. Since Executive approval, the Artificial Intelligence Governance Group is being set up to meet in early October, and an Ambient Voice Technology project board has met in August to support a first Children and Young </w:t>
            </w:r>
            <w:r>
              <w:lastRenderedPageBreak/>
              <w:t>People Neurodevelopmental Services pilot in Quarter 3. Implementation now needs to move at pace from governance design into practical delivery, with priority actions focused on clear staff “do and don’t” guidance, safe and ethical use of Microsoft Copilot, senior leader and service-owner training, a visible AI inventory and pipeline, monitoring of adoption and benefits, and early use cases progressing through proportionate assurance. The paper provides assurance that implementation is progressing in line with the agreed phased governance model, while strengthening the focus on safe, ethical, prioritised and measurable adoption.</w:t>
            </w:r>
          </w:p>
        </w:tc>
      </w:tr>
      <w:tr w:rsidRPr="00F8567E" w:rsidR="00B22CF9" w:rsidTr="52FAB726" w14:paraId="78C95897" w14:textId="77777777">
        <w:tc>
          <w:tcPr>
            <w:tcW w:w="2977" w:type="dxa"/>
            <w:shd w:val="clear" w:color="auto" w:fill="C1A775"/>
            <w:tcMar/>
          </w:tcPr>
          <w:p w:rsidRPr="00F8567E" w:rsidR="00B22CF9" w:rsidRDefault="00B22CF9" w14:paraId="1B78D4FE" w14:textId="54876F52">
            <w:pPr>
              <w:rPr>
                <w:b/>
                <w:bCs/>
              </w:rPr>
            </w:pPr>
            <w:r w:rsidRPr="6FC5F940">
              <w:rPr>
                <w:b/>
                <w:bCs/>
              </w:rPr>
              <w:lastRenderedPageBreak/>
              <w:t>Decision / Action required</w:t>
            </w:r>
          </w:p>
        </w:tc>
        <w:tc>
          <w:tcPr>
            <w:tcW w:w="6044" w:type="dxa"/>
            <w:gridSpan w:val="3"/>
            <w:tcMar/>
          </w:tcPr>
          <w:p w:rsidR="2567F81D" w:rsidP="2567F81D" w:rsidRDefault="2567F81D" w14:paraId="3F25B26C" w14:textId="3B84F205">
            <w:r>
              <w:t>No</w:t>
            </w:r>
          </w:p>
        </w:tc>
      </w:tr>
      <w:tr w:rsidRPr="00F8567E" w:rsidR="00110100" w:rsidTr="52FAB726"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bl>
    <w:tbl>
      <w:tblPr>
        <w:tblStyle w:val="TableGrid"/>
        <w:tblW w:w="9021" w:type="dxa"/>
        <w:tblLook w:val="04A0" w:firstRow="1" w:lastRow="0" w:firstColumn="1" w:lastColumn="0" w:noHBand="0" w:noVBand="1"/>
      </w:tblPr>
      <w:tblGrid>
        <w:gridCol w:w="9021"/>
      </w:tblGrid>
      <w:tr w:rsidR="00A876A3" w:rsidTr="00860A9E" w14:paraId="55249082" w14:textId="77777777">
        <w:tc>
          <w:tcPr>
            <w:tcW w:w="9015" w:type="dxa"/>
            <w:hideMark/>
          </w:tcPr>
          <w:p w:rsidR="005D3549" w:rsidRDefault="005D3549" w14:paraId="6F842729" w14:textId="77777777">
            <w:pPr>
              <w:rPr>
                <w:kern w:val="2"/>
                <w:lang w:eastAsia="en-GB"/>
                <w14:ligatures w14:val="standardContextual"/>
              </w:rPr>
            </w:pPr>
            <w:r>
              <w:t>Members are asked to:</w:t>
            </w:r>
          </w:p>
          <w:p w:rsidR="00A876A3" w:rsidP="00860A9E" w:rsidRDefault="00A876A3" w14:paraId="3BDF3413" w14:textId="77777777">
            <w:pPr>
              <w:pStyle w:val="ListParagraph"/>
              <w:numPr>
                <w:ilvl w:val="0"/>
                <w:numId w:val="12"/>
              </w:numPr>
            </w:pPr>
            <w:r w:rsidRPr="00860A9E">
              <w:rPr>
                <w:b/>
                <w:bCs/>
              </w:rPr>
              <w:t>Receive</w:t>
            </w:r>
            <w:r>
              <w:t xml:space="preserve"> this paper for assurance.</w:t>
            </w:r>
          </w:p>
          <w:p w:rsidRPr="00860A9E" w:rsidR="005D3549" w:rsidP="00860A9E" w:rsidRDefault="005D3549" w14:paraId="35D86071" w14:textId="77777777">
            <w:pPr>
              <w:pStyle w:val="ListParagraph"/>
              <w:numPr>
                <w:ilvl w:val="0"/>
                <w:numId w:val="12"/>
              </w:numPr>
            </w:pPr>
            <w:r w:rsidRPr="00860A9E">
              <w:rPr>
                <w:b/>
                <w:bCs/>
              </w:rPr>
              <w:t>Take cognisance of</w:t>
            </w:r>
            <w:r>
              <w:t xml:space="preserve"> the progress made since Executive approval of the Artificial Intelligence governance and pipeline proposals in July 2026.</w:t>
            </w:r>
          </w:p>
          <w:p w:rsidRPr="00860A9E" w:rsidR="005D3549" w:rsidP="00860A9E" w:rsidRDefault="005D3549" w14:paraId="53D77500" w14:textId="77777777">
            <w:pPr>
              <w:pStyle w:val="ListParagraph"/>
              <w:numPr>
                <w:ilvl w:val="0"/>
                <w:numId w:val="12"/>
              </w:numPr>
            </w:pPr>
            <w:r w:rsidRPr="00860A9E">
              <w:rPr>
                <w:b/>
                <w:bCs/>
              </w:rPr>
              <w:t>Take cognisance of</w:t>
            </w:r>
            <w:r>
              <w:t xml:space="preserve"> the establishment of the Artificial Intelligence Governance Group, which is due to meet in early October 2026.</w:t>
            </w:r>
          </w:p>
          <w:p w:rsidRPr="00860A9E" w:rsidR="005D3549" w:rsidP="00860A9E" w:rsidRDefault="005D3549" w14:paraId="1DA2ECDC" w14:textId="77777777">
            <w:pPr>
              <w:pStyle w:val="ListParagraph"/>
              <w:numPr>
                <w:ilvl w:val="0"/>
                <w:numId w:val="12"/>
              </w:numPr>
            </w:pPr>
            <w:r w:rsidRPr="00860A9E">
              <w:rPr>
                <w:b/>
                <w:bCs/>
              </w:rPr>
              <w:t>Take cognisance of</w:t>
            </w:r>
            <w:r>
              <w:t xml:space="preserve"> the establishment of the Ambient Voice Technology project board, which has met, with the first project expected to commence in Children and Young People Neurodevelopmental Services during Quarter 3.</w:t>
            </w:r>
          </w:p>
          <w:p w:rsidRPr="005D3549" w:rsidR="00A876A3" w:rsidP="00860A9E" w:rsidRDefault="005D3549" w14:paraId="16D06E4F" w14:textId="7D77BD39">
            <w:pPr>
              <w:pStyle w:val="ListParagraph"/>
              <w:numPr>
                <w:ilvl w:val="0"/>
                <w:numId w:val="12"/>
              </w:numPr>
            </w:pPr>
            <w:r w:rsidRPr="00860A9E">
              <w:rPr>
                <w:b/>
                <w:bCs/>
              </w:rPr>
              <w:t>Take cognisance of</w:t>
            </w:r>
            <w:r>
              <w:t xml:space="preserve"> the strengthened implementation focus covering staff guidance, awareness and training, AI inventory, intake and triage, adoption monitoring, benefits tracking, resourcing and longer-term embedding into business-as-usual governance.</w:t>
            </w:r>
          </w:p>
        </w:tc>
      </w:tr>
    </w:tbl>
    <w:p w:rsidR="2567F81D" w:rsidP="2567F81D" w:rsidRDefault="2567F81D" w14:paraId="17523313" w14:textId="0DE8B07A">
      <w:pPr>
        <w:jc w:val="center"/>
      </w:pPr>
      <w:r>
        <w:br w:type="page"/>
      </w:r>
      <w:r w:rsidRPr="2567F81D">
        <w:rPr>
          <w:b/>
          <w:bCs/>
        </w:rPr>
        <w:lastRenderedPageBreak/>
        <w:t>ARTIFICIAL INTELLIGENCE GOVERNANCE ARRANGEMENTS AND PIPELINE ASSURANCE UPDATE</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2"/>
        </w:numPr>
        <w:spacing w:after="0" w:line="240" w:lineRule="auto"/>
        <w:rPr>
          <w:b/>
        </w:rPr>
      </w:pPr>
      <w:r w:rsidRPr="2567F81D">
        <w:rPr>
          <w:b/>
          <w:bCs/>
        </w:rPr>
        <w:t>INTRODUCTION</w:t>
      </w:r>
    </w:p>
    <w:p w:rsidR="2567F81D" w:rsidP="2567F81D" w:rsidRDefault="2567F81D" w14:paraId="5DCC809F" w14:textId="1B31C07C">
      <w:r>
        <w:t>This paper provides the Digital, Research and Innovation Committee (DDRI) with assurance on progress to implement the Artificial Intelligence (AI) governance arrangements and pipeline model approved by the Executive Team in July 2026. The proposals were developed to ensure that AI opportunities across Swansea Bay University Health Board (SBUHB) are identified, assessed, prioritised and implemented through proportionate governance, with clear oversight of patient safety, information governance, cyber security, equality, procurement, finance, benefits and risk.</w:t>
      </w:r>
    </w:p>
    <w:p w:rsidR="00873695" w:rsidRDefault="00873695" w14:paraId="1E760292" w14:textId="77777777">
      <w:pPr>
        <w:rPr>
          <w:kern w:val="2"/>
          <w:lang w:eastAsia="en-GB"/>
          <w14:ligatures w14:val="standardContextual"/>
        </w:rPr>
      </w:pPr>
      <w:r>
        <w:t>Ethical use of AI is a central principle of the proposed approach, ensuring that adoption is transparent, fair, accountable, inclusive and subject to appropriate human oversight, particularly where AI may affect patients, staff, service decisions or public confidence.</w:t>
      </w:r>
    </w:p>
    <w:p w:rsidR="00A876A3" w:rsidRDefault="00A876A3" w14:paraId="05026371" w14:textId="77777777">
      <w:pPr>
        <w:rPr>
          <w:kern w:val="2"/>
          <w:lang w:eastAsia="en-GB"/>
          <w14:ligatures w14:val="standardContextual"/>
        </w:rPr>
      </w:pPr>
      <w:r>
        <w:t>Following Executive approval, the work is now moving from setting the direction into practical implementation. The immediate priority is to ensure that staff and services have clear, simple and usable guidance on what AI can be used for, what should not be done, where formal review is required, and how opportunities can be brought forward safely. This includes using existing approved tools, such as Microsoft Copilot, in a responsible way while ensuring that higher-risk clinical, operational or patient-facing use cases are subject to proportionate assurance before wider adoption.</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2"/>
        </w:numPr>
        <w:spacing w:after="0" w:line="240" w:lineRule="auto"/>
        <w:rPr>
          <w:b/>
        </w:rPr>
      </w:pPr>
      <w:r w:rsidRPr="2567F81D">
        <w:rPr>
          <w:b/>
          <w:bCs/>
        </w:rPr>
        <w:t>BACKGROUND</w:t>
      </w:r>
    </w:p>
    <w:p w:rsidR="2567F81D" w:rsidP="2567F81D" w:rsidRDefault="2567F81D" w14:paraId="74717CD7" w14:textId="4692B54F">
      <w:r>
        <w:t>The approved Executive paper set out the case for a structured approach to AI governance, recognising both the significant opportunities and the material risks associated with AI adoption. AI is already being used or explored in a range of areas within SBUHB, including Microsoft Copilot, AI-assisted stroke imaging, paediatric bone age assessment, clinical coding support, waiting list validation, Private Finance Initiative estates analysis, Ambient Voice Technology (AVT), Cancer Multidisciplinary Team support and Radiology Informatics System Procurement orchestration. The Executive Team endorsed a phased approach to establish an AI Governance Group, develop policy and guidance, create an intake and triage route, establish a baseline inventory, standardise proposal and monitoring templates, and test priority use cases through the full governance pathway.</w:t>
      </w:r>
    </w:p>
    <w:p w:rsidR="00A876A3" w:rsidRDefault="00A876A3" w14:paraId="4CF79AF4" w14:textId="77777777">
      <w:pPr>
        <w:rPr>
          <w:kern w:val="2"/>
          <w:lang w:eastAsia="en-GB"/>
          <w14:ligatures w14:val="standardContextual"/>
        </w:rPr>
      </w:pPr>
      <w:r>
        <w:lastRenderedPageBreak/>
        <w:t>Since the July approval, implementation has moved from design into mobilisation. The AI Governance Group is being established and is due to meet in early October 2026. This will provide the central forum for overseeing the AI pipeline, reviewing new proposals, confirming assurance requirements, monitoring risks, benefits, adoption and learning, and ensuring appropriate links with existing clinical, digital, information governance, procurement, finance and quality governance routes. The group will initially act as a focused enabling and assurance forum to build organisational experience, consistency and confidence in AI-specific governance. Over time, as the approach matures, its functions will be embedded into business-as-usual governance arrangements so that AI becomes part of normal clinical safety, information governance, procurement, finance, digital, quality and service-led oversight rather than a separate standing process.</w:t>
      </w:r>
    </w:p>
    <w:p w:rsidR="2567F81D" w:rsidP="2567F81D" w:rsidRDefault="2567F81D" w14:paraId="2B4DC7BC" w14:textId="56B2A25B">
      <w:r>
        <w:t xml:space="preserve">Progress has also been made on AVT. An AVT project board has been established and met in August 2026, with the intention of progressing the first controlled project in Children and Young People Neurodevelopmental Services during Quarter 3. This will provide an early opportunity to apply the proposed governance approach to a practical use case, including clinical safety, information governance, patient communication, evaluation and benefits tracking before any wider </w:t>
      </w:r>
      <w:r w:rsidR="5BFBBF35">
        <w:t xml:space="preserve">procurement and </w:t>
      </w:r>
      <w:r>
        <w:t>adoption is considered.</w:t>
      </w:r>
    </w:p>
    <w:p w:rsidR="00A876A3" w:rsidRDefault="00A876A3" w14:paraId="406E9B82" w14:textId="77777777">
      <w:pPr>
        <w:rPr>
          <w:kern w:val="2"/>
          <w:lang w:eastAsia="en-GB"/>
          <w14:ligatures w14:val="standardContextual"/>
        </w:rPr>
      </w:pPr>
      <w:r>
        <w:t>To strengthen delivery, the immediate implementation focus will be on a small number of practical actions that make the governance approach visible, usable and measurable. These actions will support safe adoption rather than create unnecessary barriers, and will ensure that early AI opportunities are prioritised where they have clear benefits, accountable ownership and an appropriate route through assurance.</w:t>
      </w:r>
    </w:p>
    <w:tbl>
      <w:tblPr>
        <w:tblStyle w:val="GridTable4-Accent1"/>
        <w:tblW w:w="5000" w:type="pct"/>
        <w:tblLook w:val="04A0" w:firstRow="1" w:lastRow="0" w:firstColumn="1" w:lastColumn="0" w:noHBand="0" w:noVBand="1"/>
      </w:tblPr>
      <w:tblGrid>
        <w:gridCol w:w="2700"/>
        <w:gridCol w:w="4276"/>
        <w:gridCol w:w="2040"/>
      </w:tblGrid>
      <w:tr w:rsidR="00A876A3" w14:paraId="197FB33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5280517A" w14:textId="77777777">
            <w:pPr>
              <w:spacing w:after="160"/>
              <w:rPr>
                <w:kern w:val="2"/>
                <w:lang w:eastAsia="en-GB"/>
                <w14:ligatures w14:val="standardContextual"/>
              </w:rPr>
            </w:pPr>
            <w:r>
              <w:t>Action</w:t>
            </w:r>
          </w:p>
        </w:tc>
        <w:tc>
          <w:tcPr>
            <w:tcW w:w="0" w:type="auto"/>
            <w:hideMark/>
          </w:tcPr>
          <w:p w:rsidR="00A876A3" w:rsidRDefault="00A876A3" w14:paraId="1FC291C9" w14:textId="77777777">
            <w:pPr>
              <w:spacing w:after="160"/>
              <w:cnfStyle w:val="100000000000" w:firstRow="1" w:lastRow="0" w:firstColumn="0" w:lastColumn="0" w:oddVBand="0" w:evenVBand="0" w:oddHBand="0" w:evenHBand="0" w:firstRowFirstColumn="0" w:firstRowLastColumn="0" w:lastRowFirstColumn="0" w:lastRowLastColumn="0"/>
            </w:pPr>
            <w:r>
              <w:t>Purpose and assurance benefit</w:t>
            </w:r>
          </w:p>
        </w:tc>
        <w:tc>
          <w:tcPr>
            <w:tcW w:w="0" w:type="auto"/>
            <w:hideMark/>
          </w:tcPr>
          <w:p w:rsidR="00A876A3" w:rsidRDefault="00A876A3" w14:paraId="065F850B" w14:textId="77777777">
            <w:pPr>
              <w:spacing w:after="160"/>
              <w:cnfStyle w:val="100000000000" w:firstRow="1" w:lastRow="0" w:firstColumn="0" w:lastColumn="0" w:oddVBand="0" w:evenVBand="0" w:oddHBand="0" w:evenHBand="0" w:firstRowFirstColumn="0" w:firstRowLastColumn="0" w:lastRowFirstColumn="0" w:lastRowLastColumn="0"/>
            </w:pPr>
            <w:r>
              <w:t>Expected timing</w:t>
            </w:r>
          </w:p>
        </w:tc>
      </w:tr>
      <w:tr w:rsidR="00A876A3" w14:paraId="3A4798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530C067F" w14:textId="77777777">
            <w:pPr>
              <w:spacing w:after="160"/>
            </w:pPr>
            <w:r>
              <w:t>Establish the AI Governance Group and confirm terms of reference</w:t>
            </w:r>
          </w:p>
        </w:tc>
        <w:tc>
          <w:tcPr>
            <w:tcW w:w="0" w:type="auto"/>
            <w:hideMark/>
          </w:tcPr>
          <w:p w:rsidR="00A876A3" w:rsidRDefault="00A876A3" w14:paraId="0F622017" w14:textId="77777777">
            <w:pPr>
              <w:spacing w:after="160"/>
              <w:cnfStyle w:val="000000100000" w:firstRow="0" w:lastRow="0" w:firstColumn="0" w:lastColumn="0" w:oddVBand="0" w:evenVBand="0" w:oddHBand="1" w:evenHBand="0" w:firstRowFirstColumn="0" w:firstRowLastColumn="0" w:lastRowFirstColumn="0" w:lastRowLastColumn="0"/>
            </w:pPr>
            <w:r>
              <w:t>Provides a clear forum for reviewing the AI pipeline, agreeing assurance requirements, monitoring risks and benefits, and escalating issues where required.</w:t>
            </w:r>
          </w:p>
        </w:tc>
        <w:tc>
          <w:tcPr>
            <w:tcW w:w="0" w:type="auto"/>
            <w:hideMark/>
          </w:tcPr>
          <w:p w:rsidR="00A876A3" w:rsidRDefault="00A876A3" w14:paraId="4275BFB0" w14:textId="77777777">
            <w:pPr>
              <w:spacing w:after="160"/>
              <w:cnfStyle w:val="000000100000" w:firstRow="0" w:lastRow="0" w:firstColumn="0" w:lastColumn="0" w:oddVBand="0" w:evenVBand="0" w:oddHBand="1" w:evenHBand="0" w:firstRowFirstColumn="0" w:firstRowLastColumn="0" w:lastRowFirstColumn="0" w:lastRowLastColumn="0"/>
            </w:pPr>
            <w:r>
              <w:t>Early October 2026</w:t>
            </w:r>
          </w:p>
        </w:tc>
      </w:tr>
      <w:tr w:rsidR="00A876A3" w14:paraId="3CB118DE" w14:textId="77777777">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67B83713" w14:textId="77777777">
            <w:pPr>
              <w:spacing w:after="160"/>
            </w:pPr>
            <w:r>
              <w:t>Produce staff-facing AI “do and don’t” guidance</w:t>
            </w:r>
          </w:p>
        </w:tc>
        <w:tc>
          <w:tcPr>
            <w:tcW w:w="0" w:type="auto"/>
            <w:hideMark/>
          </w:tcPr>
          <w:p w:rsidRPr="00860A9E" w:rsidR="00A876A3" w:rsidP="00860A9E" w:rsidRDefault="00873695" w14:paraId="2125D023" w14:textId="09D42AA4">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t xml:space="preserve">Gives staff practical guidance on safe, ethical and responsible AI use, including approved tools, safe prompting, human review, confidentiality, information </w:t>
            </w:r>
            <w:r>
              <w:lastRenderedPageBreak/>
              <w:t>governance, bias and escalation routes for new ideas.</w:t>
            </w:r>
          </w:p>
        </w:tc>
        <w:tc>
          <w:tcPr>
            <w:tcW w:w="0" w:type="auto"/>
            <w:hideMark/>
          </w:tcPr>
          <w:p w:rsidR="00A876A3" w:rsidRDefault="00A876A3" w14:paraId="42AE8856" w14:textId="77777777">
            <w:pPr>
              <w:spacing w:after="160"/>
              <w:cnfStyle w:val="000000000000" w:firstRow="0" w:lastRow="0" w:firstColumn="0" w:lastColumn="0" w:oddVBand="0" w:evenVBand="0" w:oddHBand="0" w:evenHBand="0" w:firstRowFirstColumn="0" w:firstRowLastColumn="0" w:lastRowFirstColumn="0" w:lastRowLastColumn="0"/>
            </w:pPr>
            <w:r>
              <w:lastRenderedPageBreak/>
              <w:t>October 2026</w:t>
            </w:r>
          </w:p>
        </w:tc>
      </w:tr>
      <w:tr w:rsidR="00A876A3" w14:paraId="5F9BA6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7113DD61" w14:textId="77777777">
            <w:pPr>
              <w:spacing w:after="160"/>
            </w:pPr>
            <w:r>
              <w:t>Complete a baseline AI inventory</w:t>
            </w:r>
          </w:p>
        </w:tc>
        <w:tc>
          <w:tcPr>
            <w:tcW w:w="0" w:type="auto"/>
            <w:hideMark/>
          </w:tcPr>
          <w:p w:rsidR="00A876A3" w:rsidRDefault="00A876A3" w14:paraId="2220BF30" w14:textId="77777777">
            <w:pPr>
              <w:spacing w:after="160"/>
              <w:cnfStyle w:val="000000100000" w:firstRow="0" w:lastRow="0" w:firstColumn="0" w:lastColumn="0" w:oddVBand="0" w:evenVBand="0" w:oddHBand="1" w:evenHBand="0" w:firstRowFirstColumn="0" w:firstRowLastColumn="0" w:lastRowFirstColumn="0" w:lastRowLastColumn="0"/>
            </w:pPr>
            <w:r>
              <w:t>Creates a visible register of AI already in use, under consideration or emerging through suppliers, so that risk, duplication, ownership and assurance gaps can be managed.</w:t>
            </w:r>
          </w:p>
        </w:tc>
        <w:tc>
          <w:tcPr>
            <w:tcW w:w="0" w:type="auto"/>
            <w:hideMark/>
          </w:tcPr>
          <w:p w:rsidR="00A876A3" w:rsidRDefault="00A876A3" w14:paraId="5D534C1C" w14:textId="77777777">
            <w:pPr>
              <w:spacing w:after="160"/>
              <w:cnfStyle w:val="000000100000" w:firstRow="0" w:lastRow="0" w:firstColumn="0" w:lastColumn="0" w:oddVBand="0" w:evenVBand="0" w:oddHBand="1" w:evenHBand="0" w:firstRowFirstColumn="0" w:firstRowLastColumn="0" w:lastRowFirstColumn="0" w:lastRowLastColumn="0"/>
            </w:pPr>
            <w:r>
              <w:t>October to November 2026</w:t>
            </w:r>
          </w:p>
        </w:tc>
      </w:tr>
      <w:tr w:rsidR="00A876A3" w14:paraId="0DB00367" w14:textId="77777777">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714CEF7A" w14:textId="77777777">
            <w:pPr>
              <w:spacing w:after="160"/>
            </w:pPr>
            <w:r>
              <w:t>Stand up the AI intake and triage route</w:t>
            </w:r>
          </w:p>
        </w:tc>
        <w:tc>
          <w:tcPr>
            <w:tcW w:w="0" w:type="auto"/>
            <w:hideMark/>
          </w:tcPr>
          <w:p w:rsidR="00A876A3" w:rsidRDefault="00A876A3" w14:paraId="2F8BFE87" w14:textId="77777777">
            <w:pPr>
              <w:spacing w:after="160"/>
              <w:cnfStyle w:val="000000000000" w:firstRow="0" w:lastRow="0" w:firstColumn="0" w:lastColumn="0" w:oddVBand="0" w:evenVBand="0" w:oddHBand="0" w:evenHBand="0" w:firstRowFirstColumn="0" w:firstRowLastColumn="0" w:lastRowFirstColumn="0" w:lastRowLastColumn="0"/>
            </w:pPr>
            <w:r>
              <w:t>Provides a single route for services to bring forward AI ideas and ensures proposals are assessed by risk, value, readiness, ownership, data requirements and assurance needs.</w:t>
            </w:r>
          </w:p>
        </w:tc>
        <w:tc>
          <w:tcPr>
            <w:tcW w:w="0" w:type="auto"/>
            <w:hideMark/>
          </w:tcPr>
          <w:p w:rsidR="00A876A3" w:rsidRDefault="00A876A3" w14:paraId="28B04767" w14:textId="77777777">
            <w:pPr>
              <w:spacing w:after="160"/>
              <w:cnfStyle w:val="000000000000" w:firstRow="0" w:lastRow="0" w:firstColumn="0" w:lastColumn="0" w:oddVBand="0" w:evenVBand="0" w:oddHBand="0" w:evenHBand="0" w:firstRowFirstColumn="0" w:firstRowLastColumn="0" w:lastRowFirstColumn="0" w:lastRowLastColumn="0"/>
            </w:pPr>
            <w:r>
              <w:t>October to November 2026</w:t>
            </w:r>
          </w:p>
        </w:tc>
      </w:tr>
      <w:tr w:rsidR="00A876A3" w14:paraId="2B1E1C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347F36BF" w14:textId="77777777">
            <w:pPr>
              <w:spacing w:after="160"/>
            </w:pPr>
            <w:r>
              <w:t>Progress two or three early priority use cases through the governance pathway</w:t>
            </w:r>
          </w:p>
        </w:tc>
        <w:tc>
          <w:tcPr>
            <w:tcW w:w="0" w:type="auto"/>
            <w:hideMark/>
          </w:tcPr>
          <w:p w:rsidR="00A876A3" w:rsidRDefault="00A876A3" w14:paraId="0F641D4C" w14:textId="77777777">
            <w:pPr>
              <w:spacing w:after="160"/>
              <w:cnfStyle w:val="000000100000" w:firstRow="0" w:lastRow="0" w:firstColumn="0" w:lastColumn="0" w:oddVBand="0" w:evenVBand="0" w:oddHBand="1" w:evenHBand="0" w:firstRowFirstColumn="0" w:firstRowLastColumn="0" w:lastRowFirstColumn="0" w:lastRowLastColumn="0"/>
            </w:pPr>
            <w:r>
              <w:t>Tests the governance model using practical examples, including AVT and Microsoft Copilot adoption, so that learning can be captured before wider rollout.</w:t>
            </w:r>
          </w:p>
        </w:tc>
        <w:tc>
          <w:tcPr>
            <w:tcW w:w="0" w:type="auto"/>
            <w:hideMark/>
          </w:tcPr>
          <w:p w:rsidR="00A876A3" w:rsidRDefault="00A876A3" w14:paraId="0EC4B345" w14:textId="77777777">
            <w:pPr>
              <w:spacing w:after="160"/>
              <w:cnfStyle w:val="000000100000" w:firstRow="0" w:lastRow="0" w:firstColumn="0" w:lastColumn="0" w:oddVBand="0" w:evenVBand="0" w:oddHBand="1" w:evenHBand="0" w:firstRowFirstColumn="0" w:firstRowLastColumn="0" w:lastRowFirstColumn="0" w:lastRowLastColumn="0"/>
            </w:pPr>
            <w:r>
              <w:t>Quarter 3 and Quarter 4 2026/27</w:t>
            </w:r>
          </w:p>
        </w:tc>
      </w:tr>
      <w:tr w:rsidR="00A876A3" w14:paraId="3A2B396C" w14:textId="77777777">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3D3A6028" w14:textId="77777777">
            <w:pPr>
              <w:spacing w:after="160"/>
            </w:pPr>
            <w:r>
              <w:t>Bring forward AI awareness and training for senior leaders and service owners</w:t>
            </w:r>
          </w:p>
        </w:tc>
        <w:tc>
          <w:tcPr>
            <w:tcW w:w="0" w:type="auto"/>
            <w:hideMark/>
          </w:tcPr>
          <w:p w:rsidR="00A876A3" w:rsidRDefault="00A876A3" w14:paraId="0387BFF1" w14:textId="77777777">
            <w:pPr>
              <w:spacing w:after="160"/>
              <w:cnfStyle w:val="000000000000" w:firstRow="0" w:lastRow="0" w:firstColumn="0" w:lastColumn="0" w:oddVBand="0" w:evenVBand="0" w:oddHBand="0" w:evenHBand="0" w:firstRowFirstColumn="0" w:firstRowLastColumn="0" w:lastRowFirstColumn="0" w:lastRowLastColumn="0"/>
            </w:pPr>
            <w:r>
              <w:t>Builds capability and confidence so that leaders can sponsor, challenge, prioritise and oversee AI opportunities safely and effectively.</w:t>
            </w:r>
          </w:p>
        </w:tc>
        <w:tc>
          <w:tcPr>
            <w:tcW w:w="0" w:type="auto"/>
            <w:hideMark/>
          </w:tcPr>
          <w:p w:rsidR="00A876A3" w:rsidRDefault="00A876A3" w14:paraId="09DB3920" w14:textId="77777777">
            <w:pPr>
              <w:spacing w:after="160"/>
              <w:cnfStyle w:val="000000000000" w:firstRow="0" w:lastRow="0" w:firstColumn="0" w:lastColumn="0" w:oddVBand="0" w:evenVBand="0" w:oddHBand="0" w:evenHBand="0" w:firstRowFirstColumn="0" w:firstRowLastColumn="0" w:lastRowFirstColumn="0" w:lastRowLastColumn="0"/>
            </w:pPr>
            <w:r>
              <w:t>From Quarter 3 2026/27</w:t>
            </w:r>
          </w:p>
        </w:tc>
      </w:tr>
      <w:tr w:rsidR="00A876A3" w14:paraId="566C09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876A3" w:rsidRDefault="00A876A3" w14:paraId="2746B1F0" w14:textId="77777777">
            <w:pPr>
              <w:spacing w:after="160"/>
            </w:pPr>
            <w:r>
              <w:t>Monitor adoption, benefits and risks</w:t>
            </w:r>
          </w:p>
        </w:tc>
        <w:tc>
          <w:tcPr>
            <w:tcW w:w="0" w:type="auto"/>
            <w:hideMark/>
          </w:tcPr>
          <w:p w:rsidR="00A876A3" w:rsidRDefault="00A876A3" w14:paraId="5E250586" w14:textId="77777777">
            <w:pPr>
              <w:spacing w:after="160"/>
              <w:cnfStyle w:val="000000100000" w:firstRow="0" w:lastRow="0" w:firstColumn="0" w:lastColumn="0" w:oddVBand="0" w:evenVBand="0" w:oddHBand="1" w:evenHBand="0" w:firstRowFirstColumn="0" w:firstRowLastColumn="0" w:lastRowFirstColumn="0" w:lastRowLastColumn="0"/>
            </w:pPr>
            <w:r>
              <w:t>Tracks proposals received, items triaged, pilots approved, assurance completed, adoption levels, benefits identified, risks escalated and lessons learned.</w:t>
            </w:r>
          </w:p>
        </w:tc>
        <w:tc>
          <w:tcPr>
            <w:tcW w:w="0" w:type="auto"/>
            <w:hideMark/>
          </w:tcPr>
          <w:p w:rsidR="00A876A3" w:rsidRDefault="00A876A3" w14:paraId="4D51CE81" w14:textId="4003CB09">
            <w:pPr>
              <w:spacing w:after="160"/>
              <w:cnfStyle w:val="000000100000" w:firstRow="0" w:lastRow="0" w:firstColumn="0" w:lastColumn="0" w:oddVBand="0" w:evenVBand="0" w:oddHBand="1" w:evenHBand="0" w:firstRowFirstColumn="0" w:firstRowLastColumn="0" w:lastRowFirstColumn="0" w:lastRowLastColumn="0"/>
            </w:pPr>
            <w:r>
              <w:t xml:space="preserve">Reported routinely through AIGG and </w:t>
            </w:r>
            <w:r w:rsidR="00491769">
              <w:t>up to Executive Board</w:t>
            </w:r>
          </w:p>
        </w:tc>
      </w:tr>
    </w:tbl>
    <w:p w:rsidR="00A876A3" w:rsidRDefault="00A876A3" w14:paraId="6DF010B2" w14:textId="77777777">
      <w:pPr>
        <w:rPr>
          <w:kern w:val="2"/>
          <w:lang w:eastAsia="en-GB"/>
          <w14:ligatures w14:val="standardContextual"/>
        </w:rPr>
      </w:pPr>
    </w:p>
    <w:p w:rsidR="00A876A3" w:rsidRDefault="00A876A3" w14:paraId="0BE7E6E8" w14:textId="77777777">
      <w:pPr>
        <w:rPr>
          <w:kern w:val="2"/>
          <w:lang w:eastAsia="en-GB"/>
          <w14:ligatures w14:val="standardContextual"/>
        </w:rPr>
      </w:pPr>
      <w:r>
        <w:t xml:space="preserve">Adoption monitoring will include both pipeline and service-level measures. These may include the number of AI proposals logged, number triaged, number approved for discovery or pilot, number rejected or redirected, assurance completion, risks escalated, benefits identified and whether the use case has defined clinical, operational or corporate ownership. For Microsoft Copilot, monitoring will include awareness, adoption and usage measures where available, alongside examples of productivity, time release, quality improvement or process improvement benefits. For AVT, monitoring will include pilot readiness, clinical safety and information </w:t>
      </w:r>
      <w:r>
        <w:lastRenderedPageBreak/>
        <w:t>governance assurance, staff and patient communication, documentation quality, user feedback, time released and any wider implementation requirements.</w:t>
      </w:r>
    </w:p>
    <w:p w:rsidR="00A876A3" w:rsidRDefault="00A876A3" w14:paraId="05F05117" w14:textId="77777777">
      <w:pPr>
        <w:rPr>
          <w:kern w:val="2"/>
          <w:lang w:eastAsia="en-GB"/>
          <w14:ligatures w14:val="standardContextual"/>
        </w:rPr>
      </w:pPr>
      <w:r>
        <w:t>Delivery will require coordinated input from Digital Services, Information Governance, clinical safety, cyber security, procurement, finance, operational services, clinical leadership and service owners. The AI Governance Group will keep this under review and will escalate capacity, funding or specialist support requirements where these affect the ability to progress priority use cases safely or at pace.</w:t>
      </w: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2"/>
        </w:numPr>
        <w:spacing w:after="0" w:line="240" w:lineRule="auto"/>
        <w:rPr>
          <w:b/>
        </w:rPr>
      </w:pPr>
      <w:r w:rsidRPr="2567F81D">
        <w:rPr>
          <w:b/>
          <w:bCs/>
        </w:rPr>
        <w:t>GOVERNANCE AND RISK ISSUES</w:t>
      </w:r>
    </w:p>
    <w:p w:rsidR="00A876A3" w:rsidRDefault="00A876A3" w14:paraId="4D916322" w14:textId="77777777">
      <w:pPr>
        <w:rPr>
          <w:kern w:val="2"/>
          <w:lang w:eastAsia="en-GB"/>
          <w14:ligatures w14:val="standardContextual"/>
        </w:rPr>
      </w:pPr>
      <w:r>
        <w:t>AI presents a dual risk for the Health Board: unmanaged adoption could create risks to patient safety, confidentiality, cyber security, equality, clinical accountability, supplier assurance, financial control and public trust; however, overly slow or risk-averse governance could also prevent SBUHB from realising safe and beneficial opportunities to improve services and release capacity. These risks are reflected in the Digital Services Risk Register through Datix ID4493, which identifies the potential organisational impact if AI adoption is not managed through appropriate controls and assurance. The governance approach therefore needs to be enabling as well as protective, supporting safe innovation while preventing unapproved, inconsistent or unsafe use.</w:t>
      </w:r>
    </w:p>
    <w:p w:rsidRPr="00F8567E" w:rsidR="00653AEC" w:rsidP="004221DC" w:rsidRDefault="00653AEC" w14:paraId="6D290424" w14:textId="77777777">
      <w:pPr>
        <w:pStyle w:val="ListParagraph"/>
        <w:spacing w:after="0" w:line="240" w:lineRule="auto"/>
        <w:jc w:val="both"/>
        <w:rPr>
          <w:color w:val="FF0000"/>
        </w:rPr>
      </w:pPr>
    </w:p>
    <w:p w:rsidR="00A876A3" w:rsidRDefault="00A876A3" w14:paraId="57AC8B75" w14:textId="77777777">
      <w:pPr>
        <w:rPr>
          <w:kern w:val="2"/>
          <w:lang w:eastAsia="en-GB"/>
          <w14:ligatures w14:val="standardContextual"/>
        </w:rPr>
      </w:pPr>
      <w:r>
        <w:t>The proposed governance arrangements mitigate these risks by establishing clear guardrails, escalation routes and proportionate assurance expectations. The AI Governance Group will support phased implementation, risk and value-based triage, standard templates, clinical safety case expectations, information governance review pathways and routine monitoring of the AI pipeline. Particular attention will be given to ethical and responsible use, including safe prompting, not entering patient-identifiable, confidential or commercially sensitive information into unapproved tools, ensuring human review of AI outputs, transparency about where AI has supported content or decisions, and understanding the limitations of AI-generated outputs. Equality, accessibility, Welsh language considerations, bias and the risk of differential impacts will be considered through the assessment of individual use cases, particularly where AI outputs may influence clinical, operational or patient-facing activity.</w:t>
      </w: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2"/>
        </w:numPr>
        <w:spacing w:after="0" w:line="240" w:lineRule="auto"/>
        <w:rPr>
          <w:b/>
        </w:rPr>
      </w:pPr>
      <w:r w:rsidRPr="2567F81D">
        <w:rPr>
          <w:b/>
          <w:bCs/>
        </w:rPr>
        <w:t xml:space="preserve"> </w:t>
      </w:r>
      <w:r w:rsidRPr="2567F81D" w:rsidR="00B50ABC">
        <w:rPr>
          <w:b/>
          <w:bCs/>
        </w:rPr>
        <w:t xml:space="preserve">OPEN AUDIT RECOMMENDATIONS </w:t>
      </w:r>
    </w:p>
    <w:p w:rsidR="2567F81D" w:rsidP="2567F81D" w:rsidRDefault="2567F81D" w14:paraId="5FA6075D" w14:textId="786E3481">
      <w:r>
        <w:lastRenderedPageBreak/>
        <w:t>There are two relevant open audit recommendations from the Wales Audit Digital Transformation audit undertaken in Quarter 4 of 2025/26. The first requires the Health Board to strengthen arrangements for managing AI-related risks by assessing risks, capturing them in relevant risk registers and establishing an AI governance and assurance framework within 12 months. The establishment of the AI Governance Group, the development of the AI pipeline and the creation of proportionate intake, triage and assurance processes directly support delivery of this recommendation. The second recommendation requires the Digital Strategic Plan to be underpinned by a clear, costed delivery plan through the Integrated Medium Term Plan process. The AI pipeline will help inform prioritisation, benefits assessment and future investment planning, recognising that material AI investment will require robust business cases and affordability assessment through established governance routes.</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2"/>
        </w:numPr>
        <w:spacing w:after="0" w:line="240" w:lineRule="auto"/>
        <w:rPr>
          <w:b/>
        </w:rPr>
      </w:pPr>
      <w:r w:rsidRPr="2567F81D">
        <w:rPr>
          <w:b/>
          <w:bCs/>
        </w:rPr>
        <w:t>FINANCIAL IMPLICATIONS</w:t>
      </w:r>
    </w:p>
    <w:p w:rsidR="00A876A3" w:rsidRDefault="00A876A3" w14:paraId="037BBF8F" w14:textId="77777777">
      <w:pPr>
        <w:rPr>
          <w:kern w:val="2"/>
          <w:lang w:eastAsia="en-GB"/>
          <w14:ligatures w14:val="standardContextual"/>
        </w:rPr>
      </w:pPr>
      <w:r>
        <w:t>This paper does not seek approval for new expenditure. The immediate financial focus is to maximise value from existing AI-related investments, including Microsoft Copilot, and to identify cash-releasing, cost avoidance, productivity and quality benefits. Any future material AI investment will require a clear business case through established governance routes, including the Planning and Financial Assurance Group where appropriate. AI and cloud-based technologies are predominantly revenue-based and often consumption-led, so future proposals will need to address affordability, supplier arrangements, usage monitoring, benefits realisation and alignment with the Digital Strategic Plan. The baseline AI inventory and pipeline will also help identify where resource, funding or commercial decisions may be required to support safe adoption at scale.</w:t>
      </w: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2"/>
        </w:numPr>
        <w:spacing w:after="0" w:line="240" w:lineRule="auto"/>
        <w:rPr>
          <w:b/>
        </w:rPr>
      </w:pPr>
      <w:r w:rsidRPr="2567F81D">
        <w:rPr>
          <w:b/>
          <w:bCs/>
        </w:rPr>
        <w:t>RECOMMENDATION</w:t>
      </w:r>
    </w:p>
    <w:p w:rsidR="00FE7070" w:rsidRDefault="005D3549" w14:paraId="6D290430" w14:textId="36A56D47">
      <w:pPr>
        <w:rPr>
          <w:b/>
        </w:rPr>
      </w:pPr>
      <w:r>
        <w:t>Members are asked to receive this paper for assurance; take cognisance of progress since Executive approval in July 2026; take cognisance of the establishment of the Artificial Intelligence Governance Group, which is due to meet in early October 2026; take cognisance of the establishment of the Ambient Voice Technology project board, which has met, with the first project expected to commence in Children and Young People Neurodevelopmental Services during Quarter 3; and take cognisance of the strengthened implementation focus covering staff guidance, awareness and training, AI inventory, intake and triage, adoption monitoring, benefits tracking, resourcing and longer-term embedding into business-as-usual governance.</w:t>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73491487"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73491487"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73491487"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tc>
          <w:tcPr>
            <w:tcW w:w="1624" w:type="dxa"/>
          </w:tcPr>
          <w:p w:rsidR="2567F81D" w:rsidP="2567F81D" w:rsidRDefault="2567F81D" w14:paraId="767DCB55" w14:textId="0F7E19B7">
            <w:pPr>
              <w:jc w:val="center"/>
            </w:pPr>
            <w:r w:rsidRPr="2567F81D">
              <w:rPr>
                <w:rFonts w:ascii="Segoe UI Symbol" w:hAnsi="Segoe UI Symbol" w:eastAsia="Segoe UI Symbol" w:cs="Segoe UI Symbol"/>
              </w:rPr>
              <w:t>☒</w:t>
            </w:r>
          </w:p>
        </w:tc>
      </w:tr>
      <w:tr w:rsidRPr="00F8567E" w:rsidR="00F5324A" w:rsidTr="73491487"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tc>
          <w:tcPr>
            <w:tcW w:w="1624" w:type="dxa"/>
          </w:tcPr>
          <w:p w:rsidR="2567F81D" w:rsidP="2567F81D" w:rsidRDefault="2567F81D" w14:paraId="46824C3B" w14:textId="4D177565">
            <w:pPr>
              <w:jc w:val="center"/>
            </w:pPr>
            <w:r w:rsidRPr="2567F81D">
              <w:rPr>
                <w:rFonts w:ascii="Segoe UI Symbol" w:hAnsi="Segoe UI Symbol" w:eastAsia="Segoe UI Symbol" w:cs="Segoe UI Symbol"/>
              </w:rPr>
              <w:t>☒</w:t>
            </w:r>
          </w:p>
        </w:tc>
      </w:tr>
      <w:tr w:rsidRPr="00F8567E" w:rsidR="00F5324A" w:rsidTr="73491487"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tc>
          <w:tcPr>
            <w:tcW w:w="1624" w:type="dxa"/>
          </w:tcPr>
          <w:p w:rsidR="2567F81D" w:rsidP="2567F81D" w:rsidRDefault="2567F81D" w14:paraId="723BC332" w14:textId="5891ED7E">
            <w:pPr>
              <w:jc w:val="center"/>
            </w:pPr>
            <w:r w:rsidRPr="2567F81D">
              <w:rPr>
                <w:rFonts w:ascii="Segoe UI Symbol" w:hAnsi="Segoe UI Symbol" w:eastAsia="Segoe UI Symbol" w:cs="Segoe UI Symbol"/>
              </w:rPr>
              <w:t>☒</w:t>
            </w:r>
          </w:p>
        </w:tc>
      </w:tr>
      <w:tr w:rsidRPr="00F8567E" w:rsidR="00F5324A" w:rsidTr="73491487"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tc>
          <w:tcPr>
            <w:tcW w:w="1624" w:type="dxa"/>
          </w:tcPr>
          <w:p w:rsidR="2567F81D" w:rsidP="2567F81D" w:rsidRDefault="2567F81D" w14:paraId="18861D76" w14:textId="2E981860">
            <w:pPr>
              <w:jc w:val="center"/>
            </w:pPr>
            <w:r w:rsidRPr="2567F81D">
              <w:rPr>
                <w:rFonts w:ascii="Segoe UI Symbol" w:hAnsi="Segoe UI Symbol" w:eastAsia="Segoe UI Symbol" w:cs="Segoe UI Symbol"/>
              </w:rPr>
              <w:t>☒</w:t>
            </w:r>
          </w:p>
        </w:tc>
      </w:tr>
      <w:tr w:rsidRPr="00F8567E" w:rsidR="00F5324A" w:rsidTr="73491487"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tc>
          <w:tcPr>
            <w:tcW w:w="1624" w:type="dxa"/>
          </w:tcPr>
          <w:p w:rsidR="2567F81D" w:rsidP="2567F81D" w:rsidRDefault="2567F81D" w14:paraId="7AF18E15" w14:textId="68F73175">
            <w:pPr>
              <w:jc w:val="center"/>
            </w:pPr>
            <w:r w:rsidRPr="2567F81D">
              <w:rPr>
                <w:rFonts w:ascii="Segoe UI Symbol" w:hAnsi="Segoe UI Symbol" w:eastAsia="Segoe UI Symbol" w:cs="Segoe UI Symbol"/>
              </w:rPr>
              <w:t>☒</w:t>
            </w:r>
          </w:p>
        </w:tc>
      </w:tr>
      <w:tr w:rsidRPr="00F8567E" w:rsidR="00F5324A" w:rsidTr="73491487"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73491487"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tc>
          <w:tcPr>
            <w:tcW w:w="1624" w:type="dxa"/>
          </w:tcPr>
          <w:p w:rsidR="2567F81D" w:rsidP="2567F81D" w:rsidRDefault="2567F81D" w14:paraId="4263DF11" w14:textId="77ED825C">
            <w:pPr>
              <w:jc w:val="center"/>
            </w:pPr>
            <w:r w:rsidRPr="2567F81D">
              <w:rPr>
                <w:rFonts w:ascii="Segoe UI Symbol" w:hAnsi="Segoe UI Symbol" w:eastAsia="Segoe UI Symbol" w:cs="Segoe UI Symbol"/>
              </w:rPr>
              <w:t>☒</w:t>
            </w:r>
          </w:p>
        </w:tc>
      </w:tr>
      <w:tr w:rsidRPr="00F8567E" w:rsidR="00C43F7B" w:rsidTr="73491487"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rsidRPr="00F8567E" w:rsidR="00C43F7B" w:rsidP="73491487" w:rsidRDefault="5D59150E" w14:paraId="6D290466" w14:textId="206A8E80">
                <w:pPr>
                  <w:jc w:val="center"/>
                  <w:rPr>
                    <w:b/>
                    <w:bCs/>
                  </w:rPr>
                </w:pPr>
                <w:r w:rsidRPr="73491487">
                  <w:rPr>
                    <w:rFonts w:ascii="MS Gothic" w:hAnsi="MS Gothic" w:eastAsia="MS Gothic" w:cs="MS Gothic"/>
                  </w:rPr>
                  <w:t>☒</w:t>
                </w:r>
              </w:p>
            </w:tc>
          </w:sdtContent>
        </w:sdt>
      </w:tr>
      <w:tr w:rsidRPr="00F8567E" w:rsidR="00C43F7B" w:rsidTr="73491487"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C43F7B" w:rsidP="73491487" w:rsidRDefault="1BA84F18" w14:paraId="6D29046A" w14:textId="34AB3187">
                <w:pPr>
                  <w:jc w:val="center"/>
                  <w:rPr>
                    <w:b/>
                    <w:bCs/>
                  </w:rPr>
                </w:pPr>
                <w:r w:rsidRPr="73491487">
                  <w:rPr>
                    <w:rFonts w:ascii="MS Gothic" w:hAnsi="MS Gothic" w:eastAsia="MS Gothic" w:cs="MS Gothic"/>
                  </w:rPr>
                  <w:t>☒</w:t>
                </w:r>
              </w:p>
            </w:tc>
          </w:sdtContent>
        </w:sdt>
      </w:tr>
      <w:tr w:rsidRPr="00F8567E" w:rsidR="00C43F7B" w:rsidTr="73491487"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tc>
          <w:tcPr>
            <w:tcW w:w="1624" w:type="dxa"/>
          </w:tcPr>
          <w:p w:rsidR="2567F81D" w:rsidP="2567F81D" w:rsidRDefault="2567F81D" w14:paraId="30C37B1A" w14:textId="688EE7B8">
            <w:pPr>
              <w:jc w:val="center"/>
            </w:pPr>
            <w:r w:rsidRPr="2567F81D">
              <w:rPr>
                <w:rFonts w:ascii="Segoe UI Symbol" w:hAnsi="Segoe UI Symbol" w:eastAsia="Segoe UI Symbol" w:cs="Segoe UI Symbol"/>
              </w:rPr>
              <w:t>☒</w:t>
            </w:r>
          </w:p>
        </w:tc>
      </w:tr>
      <w:tr w:rsidRPr="00F8567E" w:rsidR="00C43F7B" w:rsidTr="73491487"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tc>
          <w:tcPr>
            <w:tcW w:w="1624" w:type="dxa"/>
          </w:tcPr>
          <w:p w:rsidR="2567F81D" w:rsidP="2567F81D" w:rsidRDefault="2567F81D" w14:paraId="141ED798" w14:textId="7120C3B6">
            <w:pPr>
              <w:jc w:val="center"/>
            </w:pPr>
            <w:r w:rsidRPr="2567F81D">
              <w:rPr>
                <w:rFonts w:ascii="Segoe UI Symbol" w:hAnsi="Segoe UI Symbol" w:eastAsia="Segoe UI Symbol" w:cs="Segoe UI Symbol"/>
              </w:rPr>
              <w:t>☒</w:t>
            </w:r>
          </w:p>
        </w:tc>
      </w:tr>
      <w:tr w:rsidRPr="00F8567E" w:rsidR="00C43F7B" w:rsidTr="73491487"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tc>
          <w:tcPr>
            <w:tcW w:w="1624" w:type="dxa"/>
          </w:tcPr>
          <w:p w:rsidR="2567F81D" w:rsidP="2567F81D" w:rsidRDefault="2567F81D" w14:paraId="1C2D98F4" w14:textId="14423DC6">
            <w:pPr>
              <w:jc w:val="center"/>
            </w:pPr>
            <w:r w:rsidRPr="2567F81D">
              <w:rPr>
                <w:rFonts w:ascii="Segoe UI Symbol" w:hAnsi="Segoe UI Symbol" w:eastAsia="Segoe UI Symbol" w:cs="Segoe UI Symbol"/>
              </w:rPr>
              <w:t>☒</w:t>
            </w:r>
          </w:p>
        </w:tc>
      </w:tr>
      <w:tr w:rsidRPr="00F8567E" w:rsidR="00C43F7B" w:rsidTr="73491487"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tc>
          <w:tcPr>
            <w:tcW w:w="1624" w:type="dxa"/>
          </w:tcPr>
          <w:p w:rsidR="2567F81D" w:rsidP="2567F81D" w:rsidRDefault="2567F81D" w14:paraId="4C5F858A" w14:textId="6ADA9ADC">
            <w:pPr>
              <w:jc w:val="center"/>
            </w:pPr>
            <w:r w:rsidRPr="2567F81D">
              <w:rPr>
                <w:rFonts w:ascii="Segoe UI Symbol" w:hAnsi="Segoe UI Symbol" w:eastAsia="Segoe UI Symbol" w:cs="Segoe UI Symbol"/>
              </w:rPr>
              <w:t>☒</w:t>
            </w:r>
          </w:p>
        </w:tc>
      </w:tr>
      <w:tr w:rsidRPr="00F8567E" w:rsidR="00925DA1" w:rsidTr="73491487"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tc>
          <w:tcPr>
            <w:tcW w:w="1624" w:type="dxa"/>
          </w:tcPr>
          <w:p w:rsidR="2567F81D" w:rsidP="2567F81D" w:rsidRDefault="2567F81D" w14:paraId="4A67BEB5" w14:textId="4A0A34C9">
            <w:pPr>
              <w:jc w:val="center"/>
            </w:pPr>
            <w:r w:rsidRPr="2567F81D">
              <w:rPr>
                <w:rFonts w:ascii="Segoe UI Symbol" w:hAnsi="Segoe UI Symbol" w:eastAsia="Segoe UI Symbol" w:cs="Segoe UI Symbol"/>
              </w:rPr>
              <w:t>☒</w:t>
            </w:r>
          </w:p>
        </w:tc>
      </w:tr>
      <w:tr w:rsidRPr="00F8567E" w:rsidR="00925DA1" w:rsidTr="73491487"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tc>
          <w:tcPr>
            <w:tcW w:w="1624" w:type="dxa"/>
          </w:tcPr>
          <w:p w:rsidR="2567F81D" w:rsidP="2567F81D" w:rsidRDefault="2567F81D" w14:paraId="6AA13814" w14:textId="4877D2E4">
            <w:pPr>
              <w:jc w:val="center"/>
            </w:pPr>
            <w:r w:rsidRPr="2567F81D">
              <w:rPr>
                <w:rFonts w:ascii="Segoe UI Symbol" w:hAnsi="Segoe UI Symbol" w:eastAsia="Segoe UI Symbol" w:cs="Segoe UI Symbol"/>
              </w:rPr>
              <w:t>☒</w:t>
            </w:r>
          </w:p>
        </w:tc>
      </w:tr>
      <w:tr w:rsidRPr="00F8567E" w:rsidR="00925DA1" w:rsidTr="73491487"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tc>
          <w:tcPr>
            <w:tcW w:w="1624" w:type="dxa"/>
          </w:tcPr>
          <w:p w:rsidR="2567F81D" w:rsidP="2567F81D" w:rsidRDefault="2567F81D" w14:paraId="5A9EB362" w14:textId="2C934B4D">
            <w:pPr>
              <w:jc w:val="center"/>
            </w:pPr>
            <w:r w:rsidRPr="2567F81D">
              <w:rPr>
                <w:rFonts w:ascii="Segoe UI Symbol" w:hAnsi="Segoe UI Symbol" w:eastAsia="Segoe UI Symbol" w:cs="Segoe UI Symbol"/>
              </w:rPr>
              <w:t>☒</w:t>
            </w:r>
          </w:p>
        </w:tc>
      </w:tr>
      <w:tr w:rsidRPr="00F8567E" w:rsidR="00925DA1" w:rsidTr="73491487"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tc>
          <w:tcPr>
            <w:tcW w:w="1624" w:type="dxa"/>
          </w:tcPr>
          <w:p w:rsidR="2567F81D" w:rsidP="2567F81D" w:rsidRDefault="2567F81D" w14:paraId="065416A5" w14:textId="11B5BB05">
            <w:pPr>
              <w:jc w:val="center"/>
            </w:pPr>
            <w:r w:rsidRPr="2567F81D">
              <w:rPr>
                <w:rFonts w:ascii="Segoe UI Symbol" w:hAnsi="Segoe UI Symbol" w:eastAsia="Segoe UI Symbol" w:cs="Segoe UI Symbol"/>
              </w:rPr>
              <w:t>☒</w:t>
            </w:r>
          </w:p>
        </w:tc>
      </w:tr>
      <w:tr w:rsidRPr="00F8567E" w:rsidR="00925DA1" w:rsidTr="73491487"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tc>
          <w:tcPr>
            <w:tcW w:w="1624" w:type="dxa"/>
          </w:tcPr>
          <w:p w:rsidR="2567F81D" w:rsidP="2567F81D" w:rsidRDefault="2567F81D" w14:paraId="7688CED9" w14:textId="191F940A">
            <w:pPr>
              <w:jc w:val="center"/>
            </w:pPr>
            <w:r w:rsidRPr="2567F81D">
              <w:rPr>
                <w:rFonts w:ascii="Segoe UI Symbol" w:hAnsi="Segoe UI Symbol" w:eastAsia="Segoe UI Symbol" w:cs="Segoe UI Symbol"/>
              </w:rPr>
              <w:t>☒</w:t>
            </w:r>
          </w:p>
        </w:tc>
      </w:tr>
      <w:tr w:rsidRPr="00F8567E" w:rsidR="00925DA1" w:rsidTr="73491487"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tc>
          <w:tcPr>
            <w:tcW w:w="1624" w:type="dxa"/>
          </w:tcPr>
          <w:p w:rsidR="2567F81D" w:rsidP="2567F81D" w:rsidRDefault="2567F81D" w14:paraId="446830EE" w14:textId="08B93AF2">
            <w:pPr>
              <w:jc w:val="center"/>
            </w:pPr>
            <w:r w:rsidRPr="2567F81D">
              <w:rPr>
                <w:rFonts w:ascii="Segoe UI Symbol" w:hAnsi="Segoe UI Symbol" w:eastAsia="Segoe UI Symbol" w:cs="Segoe UI Symbol"/>
              </w:rPr>
              <w:t>☒</w:t>
            </w:r>
          </w:p>
        </w:tc>
      </w:tr>
      <w:tr w:rsidRPr="00F8567E" w:rsidR="00925DA1" w:rsidTr="73491487"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73491487" w14:paraId="6D290480" w14:textId="77777777">
        <w:tc>
          <w:tcPr>
            <w:tcW w:w="9245" w:type="dxa"/>
            <w:gridSpan w:val="3"/>
          </w:tcPr>
          <w:p w:rsidR="00873695" w:rsidRDefault="00873695" w14:paraId="22A29214" w14:textId="77777777">
            <w:pPr>
              <w:rPr>
                <w:kern w:val="2"/>
                <w:lang w:eastAsia="en-GB"/>
                <w14:ligatures w14:val="standardContextual"/>
              </w:rPr>
            </w:pPr>
            <w:r>
              <w:t>The governance arrangements are intended to support safe, high-quality and person-centred adoption of AI across SBUHB. They provide proportionate oversight of clinical safety, information governance, equity, transparency, ethical use, human accountability, bias, accessibility and responsible use. Early pilots, including AVT, will be assessed and monitored before wider adoption, with clear expectations for staff and patient communication, human review, benefits tracking and escalation of safety, quality or patient experience issues.</w:t>
            </w:r>
          </w:p>
          <w:p w:rsidRPr="00F8567E" w:rsidR="00925DA1" w:rsidP="00925DA1" w:rsidRDefault="00925DA1" w14:paraId="6D29047F" w14:textId="77777777">
            <w:pPr>
              <w:jc w:val="center"/>
              <w:rPr>
                <w:b/>
              </w:rPr>
            </w:pPr>
          </w:p>
        </w:tc>
      </w:tr>
      <w:tr w:rsidRPr="00F8567E" w:rsidR="00925DA1" w:rsidTr="73491487"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73491487" w14:paraId="6D290487" w14:textId="77777777">
        <w:tc>
          <w:tcPr>
            <w:tcW w:w="9245" w:type="dxa"/>
            <w:gridSpan w:val="3"/>
          </w:tcPr>
          <w:p w:rsidR="00A876A3" w:rsidRDefault="00A876A3" w14:paraId="02141C8F" w14:textId="77777777">
            <w:pPr>
              <w:rPr>
                <w:kern w:val="2"/>
                <w:lang w:eastAsia="en-GB"/>
                <w14:ligatures w14:val="standardContextual"/>
              </w:rPr>
            </w:pPr>
            <w:r>
              <w:t xml:space="preserve">This paper does not seek approval for new expenditure. Future AI investment will require clear business cases through established routes, including the Planning and Financial Assurance Group where appropriate. Proposals will need to demonstrate affordability, benefits realisation, </w:t>
            </w:r>
            <w:r>
              <w:lastRenderedPageBreak/>
              <w:t>supplier assurance and management of revenue-based or consumption-led costs. The AI pipeline and baseline inventory will help identify where investment, resourcing or commercial decisions may be required, and will support monitoring of adoption, benefits and value for money.</w:t>
            </w:r>
          </w:p>
          <w:p w:rsidRPr="00F8567E" w:rsidR="00925DA1" w:rsidP="00925DA1" w:rsidRDefault="00925DA1" w14:paraId="6D290484" w14:textId="77777777">
            <w:pPr>
              <w:ind w:right="96"/>
              <w:rPr>
                <w:color w:val="FF0000"/>
              </w:rPr>
            </w:pPr>
          </w:p>
          <w:p w:rsidRPr="00F8567E" w:rsidR="00925DA1" w:rsidP="00925DA1" w:rsidRDefault="00925DA1" w14:paraId="6D290486" w14:textId="77777777">
            <w:pPr>
              <w:ind w:right="96"/>
              <w:rPr>
                <w:color w:val="FF0000"/>
              </w:rPr>
            </w:pPr>
          </w:p>
        </w:tc>
      </w:tr>
      <w:tr w:rsidRPr="00F8567E" w:rsidR="00925DA1" w:rsidTr="73491487"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lastRenderedPageBreak/>
              <w:t>Legal Implications (including equality and diversity assessment)</w:t>
            </w:r>
          </w:p>
        </w:tc>
      </w:tr>
      <w:tr w:rsidRPr="00F8567E" w:rsidR="00925DA1" w:rsidTr="73491487" w14:paraId="6D29048C" w14:textId="77777777">
        <w:tc>
          <w:tcPr>
            <w:tcW w:w="9245" w:type="dxa"/>
            <w:gridSpan w:val="3"/>
          </w:tcPr>
          <w:p w:rsidR="00A876A3" w:rsidRDefault="00A876A3" w14:paraId="1E74FC3E" w14:textId="77777777">
            <w:pPr>
              <w:rPr>
                <w:kern w:val="2"/>
                <w:lang w:eastAsia="en-GB"/>
                <w14:ligatures w14:val="standardContextual"/>
              </w:rPr>
            </w:pPr>
            <w:r>
              <w:t>There are no immediate legal implications arising from this assurance paper. Individual AI use cases may raise legal, regulatory and equality considerations, including data protection, confidentiality, clinical accountability, transparency, bias, discrimination, procurement, supplier assurance and Welsh language or accessibility impacts. These will be addressed through proportionate assessment before approval or wider adoption, with higher-risk use cases requiring appropriate information governance, clinical safety, equality and procurement review.</w:t>
            </w:r>
          </w:p>
          <w:p w:rsidRPr="00F8567E" w:rsidR="00925DA1" w:rsidP="00925DA1" w:rsidRDefault="00925DA1" w14:paraId="6D29048B" w14:textId="77777777">
            <w:pPr>
              <w:ind w:right="96"/>
              <w:rPr>
                <w:color w:val="FF0000"/>
              </w:rPr>
            </w:pPr>
          </w:p>
        </w:tc>
      </w:tr>
      <w:tr w:rsidRPr="00F8567E" w:rsidR="00925DA1" w:rsidTr="73491487"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73491487" w14:paraId="6D290491" w14:textId="77777777">
        <w:tc>
          <w:tcPr>
            <w:tcW w:w="9245" w:type="dxa"/>
            <w:gridSpan w:val="3"/>
          </w:tcPr>
          <w:p w:rsidR="00A876A3" w:rsidRDefault="00A876A3" w14:paraId="5A2590F0" w14:textId="77777777">
            <w:pPr>
              <w:rPr>
                <w:kern w:val="2"/>
                <w:lang w:eastAsia="en-GB"/>
                <w14:ligatures w14:val="standardContextual"/>
              </w:rPr>
            </w:pPr>
            <w:r>
              <w:t>There are no immediate staffing implications arising from this paper. AI adoption may change how some administrative, clinical documentation and workflow tasks are supported over time, and staff may have concerns about how AI will affect roles, accountability and ways of working. The governance approach will ensure staff engagement, training, change support and leadership communication are considered as part of individual use cases. Early staff-facing guidance and senior leader/service-owner training will support responsible adoption and help reinforce that AI should augment staff judgement and capacity rather than replace professional accountability.</w:t>
            </w:r>
          </w:p>
          <w:p w:rsidRPr="00F8567E" w:rsidR="00925DA1" w:rsidP="00925DA1" w:rsidRDefault="00925DA1" w14:paraId="6D290490" w14:textId="77777777">
            <w:pPr>
              <w:ind w:right="96"/>
              <w:rPr>
                <w:color w:val="FF0000"/>
              </w:rPr>
            </w:pPr>
          </w:p>
        </w:tc>
      </w:tr>
      <w:tr w:rsidRPr="00F8567E" w:rsidR="00925DA1" w:rsidTr="73491487"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73491487" w14:paraId="6D290496" w14:textId="77777777">
        <w:tc>
          <w:tcPr>
            <w:tcW w:w="9245" w:type="dxa"/>
            <w:gridSpan w:val="3"/>
          </w:tcPr>
          <w:p w:rsidR="2567F81D" w:rsidP="2567F81D" w:rsidRDefault="2567F81D" w14:paraId="26061108" w14:textId="47E5E211">
            <w:r>
              <w:t>Responsible AI adoption has the potential to support longer-term service quality, workforce sustainability, more timely care and organisational resilience. The approach aligns with the Well-being of Future Generations (Wales) Act 2015 by supporting prevention, integration, collaboration, long-term planning and involvement, while considering equity, accessibility, Welsh language needs and diverse community impacts.</w:t>
            </w:r>
          </w:p>
          <w:p w:rsidRPr="00F8567E" w:rsidR="00925DA1" w:rsidP="00925DA1" w:rsidRDefault="00925DA1" w14:paraId="6D290495" w14:textId="77777777">
            <w:pPr>
              <w:ind w:right="96"/>
              <w:rPr>
                <w:color w:val="FF0000"/>
              </w:rPr>
            </w:pPr>
          </w:p>
        </w:tc>
      </w:tr>
      <w:tr w:rsidRPr="00F8567E" w:rsidR="00925DA1" w:rsidTr="73491487"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rsidTr="73491487" w14:paraId="6D29049A" w14:textId="77777777">
        <w:tc>
          <w:tcPr>
            <w:tcW w:w="9245" w:type="dxa"/>
            <w:gridSpan w:val="3"/>
          </w:tcPr>
          <w:p w:rsidR="2567F81D" w:rsidP="2567F81D" w:rsidRDefault="2567F81D" w14:paraId="331B872C" w14:textId="62594EF6">
            <w:r>
              <w:t>The underlying Artificial Intelligence governance and pipeline proposals were presented to and approved by the Executive Team in July 2026. This paper provides an assurance update to the Digital, Research and Innovation Committee on mobilisation since approval.</w:t>
            </w:r>
          </w:p>
          <w:p w:rsidRPr="00F8567E" w:rsidR="00925DA1" w:rsidP="00925DA1" w:rsidRDefault="00925DA1" w14:paraId="6D290499" w14:textId="77777777">
            <w:pPr>
              <w:ind w:right="96"/>
              <w:rPr>
                <w:color w:val="FF0000"/>
              </w:rPr>
            </w:pPr>
          </w:p>
        </w:tc>
      </w:tr>
      <w:tr w:rsidRPr="00F8567E" w:rsidR="00925DA1" w:rsidTr="73491487"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rsidTr="73491487" w14:paraId="6D29049F" w14:textId="77777777">
        <w:tc>
          <w:tcPr>
            <w:tcW w:w="9245" w:type="dxa"/>
            <w:gridSpan w:val="3"/>
          </w:tcPr>
          <w:p w:rsidRPr="005E055E" w:rsidR="00925DA1" w:rsidP="005E055E" w:rsidRDefault="003C263A" w14:paraId="6D29049E" w14:textId="1417991B">
            <w:pPr>
              <w:tabs>
                <w:tab w:val="right" w:pos="8933"/>
              </w:tabs>
              <w:ind w:right="96"/>
            </w:pPr>
            <w:r w:rsidRPr="003C263A">
              <w:t>None</w:t>
            </w:r>
            <w:r w:rsidR="005E055E">
              <w:tab/>
            </w:r>
          </w:p>
        </w:tc>
      </w:tr>
    </w:tbl>
    <w:p w:rsidRPr="00F8567E" w:rsidR="00034194" w:rsidP="000A078E"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2935" w:rsidP="00C107F2" w:rsidRDefault="00492935" w14:paraId="468A34FD" w14:textId="77777777">
      <w:pPr>
        <w:spacing w:after="0" w:line="240" w:lineRule="auto"/>
      </w:pPr>
      <w:r>
        <w:separator/>
      </w:r>
    </w:p>
  </w:endnote>
  <w:endnote w:type="continuationSeparator" w:id="0">
    <w:p w:rsidR="00492935" w:rsidP="00C107F2" w:rsidRDefault="00492935" w14:paraId="3EAF48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41688589">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0DF81297">
          <wp:simplePos x="0" y="0"/>
          <wp:positionH relativeFrom="column">
            <wp:posOffset>-628650</wp:posOffset>
          </wp:positionH>
          <wp:positionV relativeFrom="paragraph">
            <wp:posOffset>19050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5C183C9A">
          <w:rPr>
            <w:sz w:val="20"/>
            <w:szCs w:val="20"/>
          </w:rPr>
          <w:t>2</w:t>
        </w:r>
        <w:r w:rsidRPr="0031077C" w:rsidR="0032747D">
          <w:rPr>
            <w:sz w:val="20"/>
            <w:szCs w:val="20"/>
          </w:rPr>
          <w:fldChar w:fldCharType="end"/>
        </w:r>
        <w:r w:rsidRPr="0031077C" w:rsidR="5C183C9A">
          <w:rPr>
            <w:sz w:val="20"/>
            <w:szCs w:val="20"/>
          </w:rPr>
          <w:t xml:space="preserve"> of </w:t>
        </w:r>
        <w:r w:rsidR="5C183C9A">
          <w:rPr>
            <w:sz w:val="20"/>
            <w:szCs w:val="20"/>
          </w:rPr>
          <w:t>9</w:t>
        </w:r>
      </w:sdtContent>
      <w:sdtEndPr>
        <w:rPr>
          <w:sz w:val="20"/>
          <w:szCs w:val="20"/>
        </w:rPr>
      </w:sdtEndPr>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rsidR="003324CB" w:rsidP="0031077C" w:rsidRDefault="73491487" w14:paraId="6D2904A9" w14:textId="5A71972C">
        <w:pPr>
          <w:pStyle w:val="Footer"/>
          <w:jc w:val="right"/>
          <w:rPr>
            <w:rStyle w:val="CorporateStyle2"/>
          </w:rPr>
        </w:pPr>
        <w:r w:rsidRPr="73491487">
          <w:rPr>
            <w:rStyle w:val="CorporateStyle2"/>
          </w:rPr>
          <w:t>Digital, Data, Reasearch and Innovation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FB2436" w14:paraId="6DC782A8" w14:textId="27A11A63">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2935" w:rsidP="00C107F2" w:rsidRDefault="00492935" w14:paraId="1DE0DA2D" w14:textId="77777777">
      <w:pPr>
        <w:spacing w:after="0" w:line="240" w:lineRule="auto"/>
      </w:pPr>
      <w:r>
        <w:separator/>
      </w:r>
    </w:p>
  </w:footnote>
  <w:footnote w:type="continuationSeparator" w:id="0">
    <w:p w:rsidR="00492935" w:rsidP="00C107F2" w:rsidRDefault="00492935" w14:paraId="7148DE4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6E41768D">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607A"/>
    <w:multiLevelType w:val="multilevel"/>
    <w:tmpl w:val="D82E10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2C974B7"/>
    <w:multiLevelType w:val="multilevel"/>
    <w:tmpl w:val="DDF6E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CF65DDA"/>
    <w:multiLevelType w:val="multilevel"/>
    <w:tmpl w:val="62805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0BE7E12"/>
    <w:multiLevelType w:val="multilevel"/>
    <w:tmpl w:val="87124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57A1ED9"/>
    <w:multiLevelType w:val="hybridMultilevel"/>
    <w:tmpl w:val="496AF728"/>
    <w:lvl w:ilvl="0" w:tplc="7A5A5BCA">
      <w:start w:val="1"/>
      <w:numFmt w:val="bullet"/>
      <w:lvlText w:val=""/>
      <w:lvlJc w:val="left"/>
      <w:pPr>
        <w:ind w:left="720" w:hanging="360"/>
      </w:pPr>
      <w:rPr>
        <w:rFonts w:hint="default" w:ascii="Symbol" w:hAnsi="Symbol"/>
      </w:rPr>
    </w:lvl>
    <w:lvl w:ilvl="1" w:tplc="B1801396">
      <w:start w:val="1"/>
      <w:numFmt w:val="bullet"/>
      <w:lvlText w:val="o"/>
      <w:lvlJc w:val="left"/>
      <w:pPr>
        <w:ind w:left="1440" w:hanging="360"/>
      </w:pPr>
      <w:rPr>
        <w:rFonts w:hint="default" w:ascii="Courier New" w:hAnsi="Courier New"/>
      </w:rPr>
    </w:lvl>
    <w:lvl w:ilvl="2" w:tplc="DDA00778">
      <w:start w:val="1"/>
      <w:numFmt w:val="bullet"/>
      <w:lvlText w:val=""/>
      <w:lvlJc w:val="left"/>
      <w:pPr>
        <w:ind w:left="2160" w:hanging="360"/>
      </w:pPr>
      <w:rPr>
        <w:rFonts w:hint="default" w:ascii="Wingdings" w:hAnsi="Wingdings"/>
      </w:rPr>
    </w:lvl>
    <w:lvl w:ilvl="3" w:tplc="E070DA7A">
      <w:start w:val="1"/>
      <w:numFmt w:val="bullet"/>
      <w:lvlText w:val=""/>
      <w:lvlJc w:val="left"/>
      <w:pPr>
        <w:ind w:left="2880" w:hanging="360"/>
      </w:pPr>
      <w:rPr>
        <w:rFonts w:hint="default" w:ascii="Symbol" w:hAnsi="Symbol"/>
      </w:rPr>
    </w:lvl>
    <w:lvl w:ilvl="4" w:tplc="F59AA8F8">
      <w:start w:val="1"/>
      <w:numFmt w:val="bullet"/>
      <w:lvlText w:val="o"/>
      <w:lvlJc w:val="left"/>
      <w:pPr>
        <w:ind w:left="3600" w:hanging="360"/>
      </w:pPr>
      <w:rPr>
        <w:rFonts w:hint="default" w:ascii="Courier New" w:hAnsi="Courier New"/>
      </w:rPr>
    </w:lvl>
    <w:lvl w:ilvl="5" w:tplc="A678BCCC">
      <w:start w:val="1"/>
      <w:numFmt w:val="bullet"/>
      <w:lvlText w:val=""/>
      <w:lvlJc w:val="left"/>
      <w:pPr>
        <w:ind w:left="4320" w:hanging="360"/>
      </w:pPr>
      <w:rPr>
        <w:rFonts w:hint="default" w:ascii="Wingdings" w:hAnsi="Wingdings"/>
      </w:rPr>
    </w:lvl>
    <w:lvl w:ilvl="6" w:tplc="7A36E75C">
      <w:start w:val="1"/>
      <w:numFmt w:val="bullet"/>
      <w:lvlText w:val=""/>
      <w:lvlJc w:val="left"/>
      <w:pPr>
        <w:ind w:left="5040" w:hanging="360"/>
      </w:pPr>
      <w:rPr>
        <w:rFonts w:hint="default" w:ascii="Symbol" w:hAnsi="Symbol"/>
      </w:rPr>
    </w:lvl>
    <w:lvl w:ilvl="7" w:tplc="433CBA16">
      <w:start w:val="1"/>
      <w:numFmt w:val="bullet"/>
      <w:lvlText w:val="o"/>
      <w:lvlJc w:val="left"/>
      <w:pPr>
        <w:ind w:left="5760" w:hanging="360"/>
      </w:pPr>
      <w:rPr>
        <w:rFonts w:hint="default" w:ascii="Courier New" w:hAnsi="Courier New"/>
      </w:rPr>
    </w:lvl>
    <w:lvl w:ilvl="8" w:tplc="7D8E44F2">
      <w:start w:val="1"/>
      <w:numFmt w:val="bullet"/>
      <w:lvlText w:val=""/>
      <w:lvlJc w:val="left"/>
      <w:pPr>
        <w:ind w:left="6480" w:hanging="360"/>
      </w:pPr>
      <w:rPr>
        <w:rFonts w:hint="default" w:ascii="Wingdings" w:hAnsi="Wingdings"/>
      </w:rPr>
    </w:lvl>
  </w:abstractNum>
  <w:abstractNum w:abstractNumId="10" w15:restartNumberingAfterBreak="0">
    <w:nsid w:val="5FA620D7"/>
    <w:multiLevelType w:val="multilevel"/>
    <w:tmpl w:val="3948E7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72232421">
    <w:abstractNumId w:val="9"/>
  </w:num>
  <w:num w:numId="2" w16cid:durableId="704521321">
    <w:abstractNumId w:val="1"/>
  </w:num>
  <w:num w:numId="3" w16cid:durableId="1731493387">
    <w:abstractNumId w:val="8"/>
  </w:num>
  <w:num w:numId="4" w16cid:durableId="358313792">
    <w:abstractNumId w:val="7"/>
  </w:num>
  <w:num w:numId="5" w16cid:durableId="1144618638">
    <w:abstractNumId w:val="4"/>
  </w:num>
  <w:num w:numId="6" w16cid:durableId="211239042">
    <w:abstractNumId w:val="2"/>
  </w:num>
  <w:num w:numId="7" w16cid:durableId="1874800944">
    <w:abstractNumId w:val="14"/>
  </w:num>
  <w:num w:numId="8" w16cid:durableId="263198079">
    <w:abstractNumId w:val="15"/>
  </w:num>
  <w:num w:numId="9" w16cid:durableId="1535070366">
    <w:abstractNumId w:val="11"/>
  </w:num>
  <w:num w:numId="10" w16cid:durableId="1823614381">
    <w:abstractNumId w:val="12"/>
  </w:num>
  <w:num w:numId="11" w16cid:durableId="875429971">
    <w:abstractNumId w:val="13"/>
  </w:num>
  <w:num w:numId="12" w16cid:durableId="652178037">
    <w:abstractNumId w:val="3"/>
  </w:num>
  <w:num w:numId="13" w16cid:durableId="1646006411">
    <w:abstractNumId w:val="6"/>
  </w:num>
  <w:num w:numId="14" w16cid:durableId="886526846">
    <w:abstractNumId w:val="0"/>
  </w:num>
  <w:num w:numId="15" w16cid:durableId="1515731452">
    <w:abstractNumId w:val="10"/>
  </w:num>
  <w:num w:numId="16" w16cid:durableId="1520780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24EFA"/>
    <w:rsid w:val="00034194"/>
    <w:rsid w:val="00041CF6"/>
    <w:rsid w:val="0004211A"/>
    <w:rsid w:val="00052D01"/>
    <w:rsid w:val="00054F8C"/>
    <w:rsid w:val="00061E86"/>
    <w:rsid w:val="00065531"/>
    <w:rsid w:val="00072D3B"/>
    <w:rsid w:val="000837D9"/>
    <w:rsid w:val="00083FC0"/>
    <w:rsid w:val="0009121A"/>
    <w:rsid w:val="000940E7"/>
    <w:rsid w:val="000A0751"/>
    <w:rsid w:val="000A078E"/>
    <w:rsid w:val="000A1FFF"/>
    <w:rsid w:val="000C3280"/>
    <w:rsid w:val="000E379E"/>
    <w:rsid w:val="000F2C4A"/>
    <w:rsid w:val="000F361B"/>
    <w:rsid w:val="00110100"/>
    <w:rsid w:val="00133EA1"/>
    <w:rsid w:val="00147A3F"/>
    <w:rsid w:val="00147E96"/>
    <w:rsid w:val="0016096B"/>
    <w:rsid w:val="001707C4"/>
    <w:rsid w:val="0018209C"/>
    <w:rsid w:val="00182C00"/>
    <w:rsid w:val="001A4E1B"/>
    <w:rsid w:val="001B3120"/>
    <w:rsid w:val="001C06A8"/>
    <w:rsid w:val="001C6C4F"/>
    <w:rsid w:val="001E6F3B"/>
    <w:rsid w:val="001F2857"/>
    <w:rsid w:val="001F48BE"/>
    <w:rsid w:val="002010FE"/>
    <w:rsid w:val="00203F67"/>
    <w:rsid w:val="0020539A"/>
    <w:rsid w:val="00212752"/>
    <w:rsid w:val="002277D3"/>
    <w:rsid w:val="00233330"/>
    <w:rsid w:val="00233D58"/>
    <w:rsid w:val="00233F6D"/>
    <w:rsid w:val="00234AC2"/>
    <w:rsid w:val="00240F00"/>
    <w:rsid w:val="00241662"/>
    <w:rsid w:val="002432C6"/>
    <w:rsid w:val="002518B7"/>
    <w:rsid w:val="00253539"/>
    <w:rsid w:val="00260803"/>
    <w:rsid w:val="00270897"/>
    <w:rsid w:val="00272BD5"/>
    <w:rsid w:val="002950FF"/>
    <w:rsid w:val="00296CD9"/>
    <w:rsid w:val="002A2B74"/>
    <w:rsid w:val="002A706E"/>
    <w:rsid w:val="002B7C9A"/>
    <w:rsid w:val="002C3DD6"/>
    <w:rsid w:val="002D77FE"/>
    <w:rsid w:val="0030739E"/>
    <w:rsid w:val="0031077C"/>
    <w:rsid w:val="003261FD"/>
    <w:rsid w:val="00327324"/>
    <w:rsid w:val="0032747D"/>
    <w:rsid w:val="003324CB"/>
    <w:rsid w:val="003464BA"/>
    <w:rsid w:val="00366FDD"/>
    <w:rsid w:val="00375605"/>
    <w:rsid w:val="00387A41"/>
    <w:rsid w:val="003B1AF4"/>
    <w:rsid w:val="003B31B1"/>
    <w:rsid w:val="003C0FF8"/>
    <w:rsid w:val="003C263A"/>
    <w:rsid w:val="0040753F"/>
    <w:rsid w:val="004140C9"/>
    <w:rsid w:val="00414894"/>
    <w:rsid w:val="004221DC"/>
    <w:rsid w:val="004222DD"/>
    <w:rsid w:val="00423D21"/>
    <w:rsid w:val="0042635B"/>
    <w:rsid w:val="00461835"/>
    <w:rsid w:val="00466612"/>
    <w:rsid w:val="00466F20"/>
    <w:rsid w:val="004671D2"/>
    <w:rsid w:val="004754FC"/>
    <w:rsid w:val="00491769"/>
    <w:rsid w:val="00492935"/>
    <w:rsid w:val="004937D3"/>
    <w:rsid w:val="004E109D"/>
    <w:rsid w:val="0052297E"/>
    <w:rsid w:val="0053076A"/>
    <w:rsid w:val="00532828"/>
    <w:rsid w:val="005404F4"/>
    <w:rsid w:val="00547EBB"/>
    <w:rsid w:val="005506AE"/>
    <w:rsid w:val="00556711"/>
    <w:rsid w:val="0056191C"/>
    <w:rsid w:val="005671D1"/>
    <w:rsid w:val="00574BCF"/>
    <w:rsid w:val="00576395"/>
    <w:rsid w:val="005835C5"/>
    <w:rsid w:val="00585277"/>
    <w:rsid w:val="00594E39"/>
    <w:rsid w:val="005A4CD0"/>
    <w:rsid w:val="005B4817"/>
    <w:rsid w:val="005D1652"/>
    <w:rsid w:val="005D2C4A"/>
    <w:rsid w:val="005D3549"/>
    <w:rsid w:val="005D3DF1"/>
    <w:rsid w:val="005D5AFA"/>
    <w:rsid w:val="005D5E16"/>
    <w:rsid w:val="005E055E"/>
    <w:rsid w:val="005E6797"/>
    <w:rsid w:val="005F289F"/>
    <w:rsid w:val="005F38A1"/>
    <w:rsid w:val="005F4E71"/>
    <w:rsid w:val="0061628B"/>
    <w:rsid w:val="006201D0"/>
    <w:rsid w:val="00626ACF"/>
    <w:rsid w:val="00636DF7"/>
    <w:rsid w:val="0064147E"/>
    <w:rsid w:val="00641883"/>
    <w:rsid w:val="00646AAE"/>
    <w:rsid w:val="00653AEC"/>
    <w:rsid w:val="00655190"/>
    <w:rsid w:val="00656183"/>
    <w:rsid w:val="00662218"/>
    <w:rsid w:val="006715A4"/>
    <w:rsid w:val="006729DA"/>
    <w:rsid w:val="00672A4C"/>
    <w:rsid w:val="006777EC"/>
    <w:rsid w:val="00685AE0"/>
    <w:rsid w:val="00687037"/>
    <w:rsid w:val="00695935"/>
    <w:rsid w:val="006A0951"/>
    <w:rsid w:val="006B2EAC"/>
    <w:rsid w:val="006B319E"/>
    <w:rsid w:val="006B3E48"/>
    <w:rsid w:val="006B56D7"/>
    <w:rsid w:val="006C6CFF"/>
    <w:rsid w:val="006D1998"/>
    <w:rsid w:val="006D691B"/>
    <w:rsid w:val="006D6DF9"/>
    <w:rsid w:val="006F02B9"/>
    <w:rsid w:val="006F23A5"/>
    <w:rsid w:val="006F29E1"/>
    <w:rsid w:val="006F549F"/>
    <w:rsid w:val="00703D77"/>
    <w:rsid w:val="00707FAD"/>
    <w:rsid w:val="00711095"/>
    <w:rsid w:val="00726015"/>
    <w:rsid w:val="0072604C"/>
    <w:rsid w:val="007277B5"/>
    <w:rsid w:val="00737883"/>
    <w:rsid w:val="0075502E"/>
    <w:rsid w:val="00762BBE"/>
    <w:rsid w:val="0076681D"/>
    <w:rsid w:val="00767E3E"/>
    <w:rsid w:val="007961F3"/>
    <w:rsid w:val="007B195F"/>
    <w:rsid w:val="007B683C"/>
    <w:rsid w:val="007D313C"/>
    <w:rsid w:val="007E5BB1"/>
    <w:rsid w:val="007F125F"/>
    <w:rsid w:val="007F7925"/>
    <w:rsid w:val="00803B7E"/>
    <w:rsid w:val="00804324"/>
    <w:rsid w:val="00817C9C"/>
    <w:rsid w:val="00820546"/>
    <w:rsid w:val="008267FB"/>
    <w:rsid w:val="00850C29"/>
    <w:rsid w:val="00857D93"/>
    <w:rsid w:val="00860674"/>
    <w:rsid w:val="00860A9E"/>
    <w:rsid w:val="00873695"/>
    <w:rsid w:val="00885CE9"/>
    <w:rsid w:val="00891BA2"/>
    <w:rsid w:val="008962D9"/>
    <w:rsid w:val="008B4517"/>
    <w:rsid w:val="008B5A26"/>
    <w:rsid w:val="008C15D9"/>
    <w:rsid w:val="008C50D5"/>
    <w:rsid w:val="008D0747"/>
    <w:rsid w:val="008E13D1"/>
    <w:rsid w:val="008F442A"/>
    <w:rsid w:val="008F6C0F"/>
    <w:rsid w:val="009023EA"/>
    <w:rsid w:val="00910C0A"/>
    <w:rsid w:val="009112DC"/>
    <w:rsid w:val="00925DA1"/>
    <w:rsid w:val="00931E6B"/>
    <w:rsid w:val="009331F3"/>
    <w:rsid w:val="00982988"/>
    <w:rsid w:val="00983F5E"/>
    <w:rsid w:val="009911F2"/>
    <w:rsid w:val="00996159"/>
    <w:rsid w:val="009B52E7"/>
    <w:rsid w:val="009C0552"/>
    <w:rsid w:val="009E14BB"/>
    <w:rsid w:val="009E53B8"/>
    <w:rsid w:val="009E7AF7"/>
    <w:rsid w:val="009F7421"/>
    <w:rsid w:val="00A35122"/>
    <w:rsid w:val="00A356B8"/>
    <w:rsid w:val="00A56524"/>
    <w:rsid w:val="00A671E8"/>
    <w:rsid w:val="00A72323"/>
    <w:rsid w:val="00A75AC8"/>
    <w:rsid w:val="00A83E54"/>
    <w:rsid w:val="00A84941"/>
    <w:rsid w:val="00A876A3"/>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BD163F"/>
    <w:rsid w:val="00BE0717"/>
    <w:rsid w:val="00BE6DD0"/>
    <w:rsid w:val="00C107F2"/>
    <w:rsid w:val="00C2143D"/>
    <w:rsid w:val="00C33A04"/>
    <w:rsid w:val="00C40206"/>
    <w:rsid w:val="00C43F7B"/>
    <w:rsid w:val="00C55C8E"/>
    <w:rsid w:val="00C56152"/>
    <w:rsid w:val="00C61658"/>
    <w:rsid w:val="00C74B0D"/>
    <w:rsid w:val="00C77B23"/>
    <w:rsid w:val="00C933BE"/>
    <w:rsid w:val="00C95B3C"/>
    <w:rsid w:val="00CA1009"/>
    <w:rsid w:val="00CA59AF"/>
    <w:rsid w:val="00CA6D65"/>
    <w:rsid w:val="00CB1C7D"/>
    <w:rsid w:val="00CC048E"/>
    <w:rsid w:val="00CC381D"/>
    <w:rsid w:val="00CD7AA5"/>
    <w:rsid w:val="00D11351"/>
    <w:rsid w:val="00D16C84"/>
    <w:rsid w:val="00D26A98"/>
    <w:rsid w:val="00D40B91"/>
    <w:rsid w:val="00D45474"/>
    <w:rsid w:val="00D45B01"/>
    <w:rsid w:val="00D53020"/>
    <w:rsid w:val="00D6215B"/>
    <w:rsid w:val="00D758F4"/>
    <w:rsid w:val="00D914F2"/>
    <w:rsid w:val="00DA0F82"/>
    <w:rsid w:val="00DA51E0"/>
    <w:rsid w:val="00DA76AD"/>
    <w:rsid w:val="00DB308E"/>
    <w:rsid w:val="00DB4061"/>
    <w:rsid w:val="00DB5BB1"/>
    <w:rsid w:val="00DB76B3"/>
    <w:rsid w:val="00DC6D73"/>
    <w:rsid w:val="00DD41FA"/>
    <w:rsid w:val="00DF3645"/>
    <w:rsid w:val="00E06294"/>
    <w:rsid w:val="00E0748F"/>
    <w:rsid w:val="00E10124"/>
    <w:rsid w:val="00E242E5"/>
    <w:rsid w:val="00E31442"/>
    <w:rsid w:val="00E3794C"/>
    <w:rsid w:val="00E52C94"/>
    <w:rsid w:val="00E575AE"/>
    <w:rsid w:val="00E60FC3"/>
    <w:rsid w:val="00E87B30"/>
    <w:rsid w:val="00EA436A"/>
    <w:rsid w:val="00EA4667"/>
    <w:rsid w:val="00EC231A"/>
    <w:rsid w:val="00EC38C1"/>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B2436"/>
    <w:rsid w:val="00FC21DB"/>
    <w:rsid w:val="00FC75FE"/>
    <w:rsid w:val="00FE2C56"/>
    <w:rsid w:val="00FE7070"/>
    <w:rsid w:val="086753D9"/>
    <w:rsid w:val="12413FBE"/>
    <w:rsid w:val="16793548"/>
    <w:rsid w:val="1BA84F18"/>
    <w:rsid w:val="22BE3648"/>
    <w:rsid w:val="2467C9C4"/>
    <w:rsid w:val="24D01AD7"/>
    <w:rsid w:val="2567F81D"/>
    <w:rsid w:val="2A31D359"/>
    <w:rsid w:val="2FC40692"/>
    <w:rsid w:val="3CEDADF6"/>
    <w:rsid w:val="3EB7D0E2"/>
    <w:rsid w:val="417E2099"/>
    <w:rsid w:val="41AB34CB"/>
    <w:rsid w:val="465C0EE4"/>
    <w:rsid w:val="52FAB726"/>
    <w:rsid w:val="556B38F9"/>
    <w:rsid w:val="5BFBBF35"/>
    <w:rsid w:val="5C183C9A"/>
    <w:rsid w:val="5D59150E"/>
    <w:rsid w:val="6028DE1D"/>
    <w:rsid w:val="6163AAFF"/>
    <w:rsid w:val="6AB58CC4"/>
    <w:rsid w:val="6FB6A954"/>
    <w:rsid w:val="6FC5F940"/>
    <w:rsid w:val="73491487"/>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380F5270-5D91-45ED-84E2-3373F6BB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233F6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33F6D"/>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semiHidden/>
    <w:unhideWhenUsed/>
    <w:qFormat/>
    <w:rsid w:val="00233F6D"/>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33F6D"/>
    <w:pPr>
      <w:keepNext/>
      <w:keepLines/>
      <w:spacing w:before="40" w:after="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33F6D"/>
    <w:pPr>
      <w:keepNext/>
      <w:keepLines/>
      <w:spacing w:before="40" w:after="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233F6D"/>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233F6D"/>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33F6D"/>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BookTitle">
    <w:name w:val="Book Title"/>
    <w:basedOn w:val="DefaultParagraphFont"/>
    <w:uiPriority w:val="33"/>
    <w:qFormat/>
    <w:rsid w:val="00233F6D"/>
    <w:rPr>
      <w:b/>
      <w:bCs/>
      <w:i/>
      <w:iCs/>
      <w:spacing w:val="5"/>
    </w:rPr>
  </w:style>
  <w:style w:type="paragraph" w:styleId="Caption">
    <w:name w:val="caption"/>
    <w:basedOn w:val="Normal"/>
    <w:next w:val="Normal"/>
    <w:uiPriority w:val="35"/>
    <w:semiHidden/>
    <w:unhideWhenUsed/>
    <w:qFormat/>
    <w:rsid w:val="00233F6D"/>
    <w:pPr>
      <w:spacing w:after="200" w:line="240" w:lineRule="auto"/>
    </w:pPr>
    <w:rPr>
      <w:i/>
      <w:iCs/>
      <w:color w:val="44546A" w:themeColor="text2"/>
      <w:sz w:val="18"/>
      <w:szCs w:val="18"/>
    </w:rPr>
  </w:style>
  <w:style w:type="character" w:styleId="Heading1Char" w:customStyle="1">
    <w:name w:val="Heading 1 Char"/>
    <w:basedOn w:val="DefaultParagraphFont"/>
    <w:link w:val="Heading1"/>
    <w:uiPriority w:val="9"/>
    <w:rsid w:val="00233F6D"/>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233F6D"/>
    <w:rPr>
      <w:rFonts w:asciiTheme="majorHAnsi" w:hAnsiTheme="majorHAnsi" w:eastAsiaTheme="majorEastAsia" w:cstheme="majorBidi"/>
      <w:color w:val="1F4D78" w:themeColor="accent1" w:themeShade="7F"/>
    </w:rPr>
  </w:style>
  <w:style w:type="character" w:styleId="Heading4Char" w:customStyle="1">
    <w:name w:val="Heading 4 Char"/>
    <w:basedOn w:val="DefaultParagraphFont"/>
    <w:link w:val="Heading4"/>
    <w:uiPriority w:val="9"/>
    <w:semiHidden/>
    <w:rsid w:val="00233F6D"/>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233F6D"/>
    <w:rPr>
      <w:rFonts w:asciiTheme="majorHAnsi" w:hAnsiTheme="maj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233F6D"/>
    <w:rPr>
      <w:rFonts w:asciiTheme="majorHAnsi" w:hAnsiTheme="majorHAnsi" w:eastAsiaTheme="majorEastAsia" w:cstheme="majorBidi"/>
      <w:color w:val="1F4D78" w:themeColor="accent1" w:themeShade="7F"/>
    </w:rPr>
  </w:style>
  <w:style w:type="character" w:styleId="Heading7Char" w:customStyle="1">
    <w:name w:val="Heading 7 Char"/>
    <w:basedOn w:val="DefaultParagraphFont"/>
    <w:link w:val="Heading7"/>
    <w:uiPriority w:val="9"/>
    <w:semiHidden/>
    <w:rsid w:val="00233F6D"/>
    <w:rPr>
      <w:rFonts w:asciiTheme="majorHAnsi" w:hAnsiTheme="majorHAnsi" w:eastAsiaTheme="majorEastAsia" w:cstheme="majorBidi"/>
      <w:i/>
      <w:iCs/>
      <w:color w:val="1F4D78" w:themeColor="accent1" w:themeShade="7F"/>
    </w:rPr>
  </w:style>
  <w:style w:type="character" w:styleId="Heading8Char" w:customStyle="1">
    <w:name w:val="Heading 8 Char"/>
    <w:basedOn w:val="DefaultParagraphFont"/>
    <w:link w:val="Heading8"/>
    <w:uiPriority w:val="9"/>
    <w:semiHidden/>
    <w:rsid w:val="00233F6D"/>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233F6D"/>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233F6D"/>
    <w:rPr>
      <w:i/>
      <w:iCs/>
      <w:color w:val="5B9BD5" w:themeColor="accent1"/>
    </w:rPr>
  </w:style>
  <w:style w:type="paragraph" w:styleId="IntenseQuote">
    <w:name w:val="Intense Quote"/>
    <w:basedOn w:val="Normal"/>
    <w:next w:val="Normal"/>
    <w:link w:val="IntenseQuoteChar"/>
    <w:uiPriority w:val="30"/>
    <w:qFormat/>
    <w:rsid w:val="00233F6D"/>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233F6D"/>
    <w:rPr>
      <w:i/>
      <w:iCs/>
      <w:color w:val="5B9BD5" w:themeColor="accent1"/>
    </w:rPr>
  </w:style>
  <w:style w:type="character" w:styleId="IntenseReference">
    <w:name w:val="Intense Reference"/>
    <w:basedOn w:val="DefaultParagraphFont"/>
    <w:uiPriority w:val="32"/>
    <w:qFormat/>
    <w:rsid w:val="00233F6D"/>
    <w:rPr>
      <w:b/>
      <w:bCs/>
      <w:smallCaps/>
      <w:color w:val="5B9BD5" w:themeColor="accent1"/>
      <w:spacing w:val="5"/>
    </w:rPr>
  </w:style>
  <w:style w:type="paragraph" w:styleId="NoSpacing">
    <w:name w:val="No Spacing"/>
    <w:uiPriority w:val="1"/>
    <w:qFormat/>
    <w:rsid w:val="00233F6D"/>
    <w:pPr>
      <w:spacing w:after="0" w:line="240" w:lineRule="auto"/>
    </w:pPr>
  </w:style>
  <w:style w:type="paragraph" w:styleId="Quote">
    <w:name w:val="Quote"/>
    <w:basedOn w:val="Normal"/>
    <w:next w:val="Normal"/>
    <w:link w:val="QuoteChar"/>
    <w:uiPriority w:val="29"/>
    <w:qFormat/>
    <w:rsid w:val="00233F6D"/>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233F6D"/>
    <w:rPr>
      <w:i/>
      <w:iCs/>
      <w:color w:val="404040" w:themeColor="text1" w:themeTint="BF"/>
    </w:rPr>
  </w:style>
  <w:style w:type="paragraph" w:styleId="Subtitle">
    <w:name w:val="Subtitle"/>
    <w:basedOn w:val="Normal"/>
    <w:next w:val="Normal"/>
    <w:link w:val="SubtitleChar"/>
    <w:uiPriority w:val="11"/>
    <w:qFormat/>
    <w:rsid w:val="00233F6D"/>
    <w:pPr>
      <w:numPr>
        <w:ilvl w:val="1"/>
      </w:numPr>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233F6D"/>
    <w:rPr>
      <w:rFonts w:asciiTheme="minorHAnsi" w:hAnsiTheme="minorHAnsi" w:eastAsiaTheme="minorEastAsia" w:cstheme="minorBidi"/>
      <w:color w:val="5A5A5A" w:themeColor="text1" w:themeTint="A5"/>
      <w:spacing w:val="15"/>
      <w:sz w:val="22"/>
      <w:szCs w:val="22"/>
    </w:rPr>
  </w:style>
  <w:style w:type="character" w:styleId="SubtleEmphasis">
    <w:name w:val="Subtle Emphasis"/>
    <w:basedOn w:val="DefaultParagraphFont"/>
    <w:uiPriority w:val="19"/>
    <w:qFormat/>
    <w:rsid w:val="00233F6D"/>
    <w:rPr>
      <w:i/>
      <w:iCs/>
      <w:color w:val="404040" w:themeColor="text1" w:themeTint="BF"/>
    </w:rPr>
  </w:style>
  <w:style w:type="character" w:styleId="SubtleReference">
    <w:name w:val="Subtle Reference"/>
    <w:basedOn w:val="DefaultParagraphFont"/>
    <w:uiPriority w:val="31"/>
    <w:qFormat/>
    <w:rsid w:val="00233F6D"/>
    <w:rPr>
      <w:smallCaps/>
      <w:color w:val="5A5A5A" w:themeColor="text1" w:themeTint="A5"/>
    </w:rPr>
  </w:style>
  <w:style w:type="paragraph" w:styleId="Title">
    <w:name w:val="Title"/>
    <w:basedOn w:val="Normal"/>
    <w:next w:val="Normal"/>
    <w:link w:val="TitleChar"/>
    <w:uiPriority w:val="10"/>
    <w:qFormat/>
    <w:rsid w:val="00233F6D"/>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33F6D"/>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233F6D"/>
    <w:pPr>
      <w:outlineLvl w:val="9"/>
    </w:pPr>
  </w:style>
  <w:style w:type="table" w:styleId="GridTable4-Accent1">
    <w:name w:val="Grid Table 4 Accent 1"/>
    <w:basedOn w:val="TableNormal"/>
    <w:uiPriority w:val="49"/>
    <w:rsid w:val="00A876A3"/>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Mention">
    <w:name w:val="Mention"/>
    <w:basedOn w:val="DefaultParagraphFont"/>
    <w:uiPriority w:val="99"/>
    <w:unhideWhenUsed/>
    <w:rsid w:val="006B3E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A35F2"/>
    <w:rsid w:val="002D7989"/>
    <w:rsid w:val="003261FD"/>
    <w:rsid w:val="00327324"/>
    <w:rsid w:val="00387A41"/>
    <w:rsid w:val="0040753F"/>
    <w:rsid w:val="004140C9"/>
    <w:rsid w:val="00452091"/>
    <w:rsid w:val="00467E8C"/>
    <w:rsid w:val="00500DD2"/>
    <w:rsid w:val="00524839"/>
    <w:rsid w:val="00591655"/>
    <w:rsid w:val="00641883"/>
    <w:rsid w:val="00672A4C"/>
    <w:rsid w:val="006D0E46"/>
    <w:rsid w:val="006F549F"/>
    <w:rsid w:val="0076681D"/>
    <w:rsid w:val="007D313C"/>
    <w:rsid w:val="009E14BB"/>
    <w:rsid w:val="00A75AC8"/>
    <w:rsid w:val="00AD486E"/>
    <w:rsid w:val="00B06ACB"/>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65FB7730-83B7-4DF9-AB00-CDAB8B3C0121}"/>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2cdd0f6b-12eb-4a7c-9667-d7cbf3b2c71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198</cp:revision>
  <dcterms:created xsi:type="dcterms:W3CDTF">2019-03-29T16:09:00Z</dcterms:created>
  <dcterms:modified xsi:type="dcterms:W3CDTF">2026-09-09T08:33:20Z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