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C82EC3" w14:textId="77777777" w:rsidR="00CD3DBD" w:rsidRPr="00D4768C" w:rsidRDefault="00CD3DBD" w:rsidP="00CD3DBD">
      <w:pPr>
        <w:spacing w:after="60" w:line="240" w:lineRule="auto"/>
        <w:rPr>
          <w:rFonts w:eastAsia="Times New Roman" w:cstheme="minorHAnsi"/>
          <w:b/>
          <w:color w:val="FF0000"/>
          <w:sz w:val="40"/>
          <w:szCs w:val="40"/>
          <w:lang w:eastAsia="en-GB"/>
        </w:rPr>
      </w:pPr>
      <w:bookmarkStart w:id="0" w:name="_GoBack"/>
      <w:bookmarkEnd w:id="0"/>
      <w:r w:rsidRPr="00D4768C">
        <w:rPr>
          <w:rFonts w:eastAsia="Times New Roman" w:cstheme="minorHAnsi"/>
          <w:b/>
          <w:color w:val="0070C0"/>
          <w:sz w:val="40"/>
          <w:szCs w:val="40"/>
          <w:lang w:eastAsia="en-GB"/>
        </w:rPr>
        <w:t xml:space="preserve">GMS Access Improvement </w:t>
      </w:r>
    </w:p>
    <w:tbl>
      <w:tblPr>
        <w:tblStyle w:val="TableGrid"/>
        <w:tblW w:w="0" w:type="auto"/>
        <w:tblLook w:val="04A0" w:firstRow="1" w:lastRow="0" w:firstColumn="1" w:lastColumn="0" w:noHBand="0" w:noVBand="1"/>
      </w:tblPr>
      <w:tblGrid>
        <w:gridCol w:w="1712"/>
        <w:gridCol w:w="3822"/>
        <w:gridCol w:w="286"/>
        <w:gridCol w:w="2030"/>
        <w:gridCol w:w="2075"/>
        <w:gridCol w:w="283"/>
        <w:gridCol w:w="2549"/>
        <w:gridCol w:w="2684"/>
      </w:tblGrid>
      <w:tr w:rsidR="00CD3DBD" w:rsidRPr="00D4768C" w14:paraId="7A1A3EB4" w14:textId="77777777" w:rsidTr="00C20D83">
        <w:tc>
          <w:tcPr>
            <w:tcW w:w="1697" w:type="dxa"/>
          </w:tcPr>
          <w:p w14:paraId="12B6C6E2" w14:textId="77777777" w:rsidR="00CD3DBD" w:rsidRPr="00D4768C" w:rsidRDefault="00CD3DBD" w:rsidP="00C20D83">
            <w:pPr>
              <w:spacing w:before="60" w:after="60"/>
              <w:rPr>
                <w:rFonts w:eastAsia="Times New Roman" w:cstheme="minorHAnsi"/>
                <w:b/>
                <w:color w:val="000000" w:themeColor="text1"/>
                <w:sz w:val="28"/>
                <w:szCs w:val="28"/>
                <w:lang w:eastAsia="en-GB"/>
              </w:rPr>
            </w:pPr>
            <w:r w:rsidRPr="00D4768C">
              <w:rPr>
                <w:rFonts w:cstheme="minorHAnsi"/>
                <w:b/>
                <w:sz w:val="28"/>
                <w:szCs w:val="28"/>
              </w:rPr>
              <w:t>Organisation</w:t>
            </w:r>
          </w:p>
        </w:tc>
        <w:tc>
          <w:tcPr>
            <w:tcW w:w="3827" w:type="dxa"/>
          </w:tcPr>
          <w:p w14:paraId="08F88FFE" w14:textId="77777777" w:rsidR="00CD3DBD" w:rsidRPr="00D4768C" w:rsidRDefault="00293BBE"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Swansea Bay University Health Board </w:t>
            </w:r>
          </w:p>
        </w:tc>
        <w:tc>
          <w:tcPr>
            <w:tcW w:w="286" w:type="dxa"/>
            <w:tcBorders>
              <w:top w:val="nil"/>
              <w:bottom w:val="nil"/>
            </w:tcBorders>
          </w:tcPr>
          <w:p w14:paraId="42B8A61E" w14:textId="77777777" w:rsidR="00CD3DBD" w:rsidRPr="00D4768C" w:rsidRDefault="00CD3DBD" w:rsidP="00C20D83">
            <w:pPr>
              <w:spacing w:before="60" w:after="60"/>
              <w:rPr>
                <w:rFonts w:cstheme="minorHAnsi"/>
                <w:b/>
                <w:sz w:val="28"/>
                <w:szCs w:val="28"/>
              </w:rPr>
            </w:pPr>
          </w:p>
        </w:tc>
        <w:tc>
          <w:tcPr>
            <w:tcW w:w="2032" w:type="dxa"/>
          </w:tcPr>
          <w:p w14:paraId="40C99222" w14:textId="77777777" w:rsidR="00CD3DBD" w:rsidRPr="00D4768C" w:rsidRDefault="00CD3DBD" w:rsidP="00C20D83">
            <w:pPr>
              <w:spacing w:before="60" w:after="60"/>
              <w:rPr>
                <w:rFonts w:eastAsia="Times New Roman" w:cstheme="minorHAnsi"/>
                <w:b/>
                <w:color w:val="000000" w:themeColor="text1"/>
                <w:sz w:val="28"/>
                <w:szCs w:val="28"/>
                <w:lang w:eastAsia="en-GB"/>
              </w:rPr>
            </w:pPr>
            <w:r w:rsidRPr="00D4768C">
              <w:rPr>
                <w:rFonts w:cstheme="minorHAnsi"/>
                <w:b/>
                <w:sz w:val="28"/>
                <w:szCs w:val="28"/>
              </w:rPr>
              <w:t>Date of Report</w:t>
            </w:r>
          </w:p>
        </w:tc>
        <w:tc>
          <w:tcPr>
            <w:tcW w:w="2076" w:type="dxa"/>
          </w:tcPr>
          <w:p w14:paraId="0FF7F5E6" w14:textId="77777777" w:rsidR="00CD3DBD" w:rsidRPr="00D4768C" w:rsidRDefault="00293BBE"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11/04/2024</w:t>
            </w:r>
          </w:p>
        </w:tc>
        <w:tc>
          <w:tcPr>
            <w:tcW w:w="283" w:type="dxa"/>
            <w:tcBorders>
              <w:top w:val="nil"/>
              <w:bottom w:val="nil"/>
            </w:tcBorders>
          </w:tcPr>
          <w:p w14:paraId="36A14056" w14:textId="77777777" w:rsidR="00CD3DBD" w:rsidRPr="00D4768C" w:rsidRDefault="00CD3DBD" w:rsidP="00C20D83">
            <w:pPr>
              <w:spacing w:before="60" w:after="60"/>
              <w:rPr>
                <w:rFonts w:cstheme="minorHAnsi"/>
                <w:b/>
                <w:sz w:val="28"/>
                <w:szCs w:val="28"/>
              </w:rPr>
            </w:pPr>
          </w:p>
        </w:tc>
        <w:tc>
          <w:tcPr>
            <w:tcW w:w="2552" w:type="dxa"/>
          </w:tcPr>
          <w:p w14:paraId="632DFD87" w14:textId="77777777" w:rsidR="00CD3DBD" w:rsidRPr="00D4768C" w:rsidRDefault="00CD3DBD" w:rsidP="00C20D83">
            <w:pPr>
              <w:spacing w:before="60" w:after="60"/>
              <w:rPr>
                <w:rFonts w:eastAsia="Times New Roman" w:cstheme="minorHAnsi"/>
                <w:b/>
                <w:color w:val="000000" w:themeColor="text1"/>
                <w:sz w:val="28"/>
                <w:szCs w:val="28"/>
                <w:lang w:eastAsia="en-GB"/>
              </w:rPr>
            </w:pPr>
            <w:r w:rsidRPr="00D4768C">
              <w:rPr>
                <w:rFonts w:cstheme="minorHAnsi"/>
                <w:b/>
                <w:sz w:val="28"/>
                <w:szCs w:val="28"/>
              </w:rPr>
              <w:t>Report Prepared By</w:t>
            </w:r>
          </w:p>
        </w:tc>
        <w:tc>
          <w:tcPr>
            <w:tcW w:w="2688" w:type="dxa"/>
          </w:tcPr>
          <w:p w14:paraId="76641F86" w14:textId="77777777" w:rsidR="00CD3DBD" w:rsidRPr="00D4768C" w:rsidRDefault="003E27E0"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Sharon Miller</w:t>
            </w:r>
          </w:p>
        </w:tc>
      </w:tr>
    </w:tbl>
    <w:p w14:paraId="5BE4764D" w14:textId="77777777" w:rsidR="00CD3DBD" w:rsidRPr="00D4768C" w:rsidRDefault="00CD3DBD" w:rsidP="00CD3DBD">
      <w:pPr>
        <w:spacing w:after="0" w:line="240" w:lineRule="auto"/>
        <w:jc w:val="both"/>
        <w:rPr>
          <w:rFonts w:eastAsia="Times New Roman" w:cstheme="minorHAnsi"/>
          <w:b/>
          <w:color w:val="000000" w:themeColor="text1"/>
          <w:sz w:val="10"/>
          <w:szCs w:val="10"/>
          <w:lang w:eastAsia="en-GB"/>
        </w:rPr>
      </w:pPr>
    </w:p>
    <w:p w14:paraId="669B4C00" w14:textId="77777777" w:rsidR="00CD3DBD" w:rsidRPr="00D4768C" w:rsidRDefault="00CD3DBD" w:rsidP="00CD3DBD">
      <w:pPr>
        <w:shd w:val="clear" w:color="auto" w:fill="FFFFFF"/>
        <w:spacing w:line="256" w:lineRule="auto"/>
        <w:rPr>
          <w:rFonts w:cstheme="minorHAnsi"/>
          <w:sz w:val="28"/>
          <w:szCs w:val="28"/>
          <w:lang w:eastAsia="en-GB"/>
        </w:rPr>
      </w:pPr>
      <w:r w:rsidRPr="00D4768C">
        <w:rPr>
          <w:rFonts w:cstheme="minorHAnsi"/>
          <w:color w:val="000000"/>
          <w:sz w:val="28"/>
          <w:szCs w:val="28"/>
        </w:rPr>
        <w:t xml:space="preserve">In 2019 the GMS Access Standards put us on a path to improving access to GP services and ensuring consistency across Wales. </w:t>
      </w:r>
      <w:r w:rsidRPr="00D4768C">
        <w:rPr>
          <w:rFonts w:cstheme="minorHAnsi"/>
          <w:color w:val="000000"/>
          <w:sz w:val="28"/>
          <w:szCs w:val="28"/>
          <w:lang w:val="en"/>
        </w:rPr>
        <w:t xml:space="preserve">The Standards aim to inform people what to expect when they need help or advice and what options are available to them. </w:t>
      </w:r>
      <w:r w:rsidRPr="00D4768C">
        <w:rPr>
          <w:rFonts w:cstheme="minorHAnsi"/>
          <w:color w:val="000000"/>
          <w:sz w:val="28"/>
          <w:szCs w:val="28"/>
        </w:rPr>
        <w:t>Achievement has increased year on year over the past 3 years and from 1 April 2023 maintaining these Phase 1 standards will become part of the core GMS contract.</w:t>
      </w:r>
    </w:p>
    <w:p w14:paraId="6EBF88A5" w14:textId="77777777" w:rsidR="00CD3DBD" w:rsidRPr="00D4768C" w:rsidRDefault="00CD3DBD" w:rsidP="00CD3DBD">
      <w:pPr>
        <w:spacing w:line="256" w:lineRule="auto"/>
        <w:rPr>
          <w:rFonts w:cstheme="minorHAnsi"/>
          <w:sz w:val="28"/>
          <w:szCs w:val="28"/>
        </w:rPr>
      </w:pPr>
      <w:r w:rsidRPr="00D4768C">
        <w:rPr>
          <w:rFonts w:cstheme="minorHAnsi"/>
          <w:sz w:val="28"/>
          <w:szCs w:val="28"/>
        </w:rPr>
        <w:t>We have continued to build on this approach: in April 2022, the GMS Access Commitment introduced a second phase of standards to ensure practices take a forward-looking and planned approach to managing patient need and take account of patient feedback in developing an action plan for improvement. The Access Commitment GP requires practices to adopt a blended model of access, offering a mix of remote, face-to-face, urgent, on-the-day and pre-bookable appointments, as determined by an assessment of clinical need.</w:t>
      </w:r>
    </w:p>
    <w:p w14:paraId="44EA0A51" w14:textId="77777777" w:rsidR="00CD3DBD" w:rsidRPr="00D4768C" w:rsidRDefault="00CD3DBD" w:rsidP="00CD3DBD">
      <w:pPr>
        <w:spacing w:line="256" w:lineRule="auto"/>
        <w:rPr>
          <w:rFonts w:cstheme="minorHAnsi"/>
          <w:sz w:val="28"/>
          <w:szCs w:val="28"/>
        </w:rPr>
      </w:pPr>
      <w:r w:rsidRPr="00D4768C">
        <w:rPr>
          <w:rFonts w:cstheme="minorHAnsi"/>
          <w:sz w:val="28"/>
          <w:szCs w:val="28"/>
        </w:rPr>
        <w:t>Participation in the GMS Access Commitment is not mandatory for practices but carries up to 100 Quality and Improvement Framework points for achievement. Health Boards are responsible for verifying achievement and providing assurance to Welsh Government on progress with delivery of the Access Commitment. This template provides a structure for this assurance report.</w:t>
      </w:r>
    </w:p>
    <w:p w14:paraId="619AA050" w14:textId="77777777" w:rsidR="00CD3DBD" w:rsidRPr="00CD3DBD" w:rsidRDefault="00CD3DBD" w:rsidP="00CD3DBD">
      <w:pPr>
        <w:spacing w:after="120" w:line="240" w:lineRule="auto"/>
        <w:rPr>
          <w:rFonts w:cstheme="minorHAnsi"/>
          <w:sz w:val="28"/>
          <w:szCs w:val="28"/>
        </w:rPr>
      </w:pPr>
      <w:r w:rsidRPr="00CD3DBD">
        <w:rPr>
          <w:rFonts w:cstheme="minorHAnsi"/>
          <w:b/>
          <w:sz w:val="28"/>
          <w:szCs w:val="28"/>
        </w:rPr>
        <w:t xml:space="preserve">Reporting Schedule: </w:t>
      </w:r>
      <w:r w:rsidRPr="00CD3DBD">
        <w:rPr>
          <w:rFonts w:cstheme="minorHAnsi"/>
          <w:sz w:val="28"/>
          <w:szCs w:val="28"/>
        </w:rPr>
        <w:t>Progress is to be reported annually.  This form is to be submitted on:</w:t>
      </w:r>
    </w:p>
    <w:p w14:paraId="04050392" w14:textId="77777777" w:rsidR="00CD3DBD" w:rsidRPr="001D7E5C" w:rsidRDefault="00CD3DBD" w:rsidP="00CD3DBD">
      <w:pPr>
        <w:numPr>
          <w:ilvl w:val="0"/>
          <w:numId w:val="1"/>
        </w:numPr>
        <w:spacing w:after="0" w:line="240" w:lineRule="auto"/>
        <w:ind w:left="284" w:hanging="284"/>
        <w:rPr>
          <w:rFonts w:cstheme="minorHAnsi"/>
          <w:sz w:val="28"/>
          <w:szCs w:val="28"/>
        </w:rPr>
      </w:pPr>
      <w:r w:rsidRPr="001D7E5C">
        <w:rPr>
          <w:rFonts w:cstheme="minorHAnsi"/>
          <w:sz w:val="28"/>
          <w:szCs w:val="28"/>
        </w:rPr>
        <w:t>1</w:t>
      </w:r>
      <w:r w:rsidR="008E07E9" w:rsidRPr="001D7E5C">
        <w:rPr>
          <w:rFonts w:cstheme="minorHAnsi"/>
          <w:sz w:val="28"/>
          <w:szCs w:val="28"/>
        </w:rPr>
        <w:t>5</w:t>
      </w:r>
      <w:r w:rsidRPr="001D7E5C">
        <w:rPr>
          <w:rFonts w:cstheme="minorHAnsi"/>
          <w:sz w:val="28"/>
          <w:szCs w:val="28"/>
        </w:rPr>
        <w:t xml:space="preserve"> April 2024 (covering the period 1 </w:t>
      </w:r>
      <w:r w:rsidR="00586A05">
        <w:rPr>
          <w:rFonts w:cstheme="minorHAnsi"/>
          <w:sz w:val="28"/>
          <w:szCs w:val="28"/>
        </w:rPr>
        <w:t>April</w:t>
      </w:r>
      <w:r w:rsidRPr="001D7E5C">
        <w:rPr>
          <w:rFonts w:cstheme="minorHAnsi"/>
          <w:sz w:val="28"/>
          <w:szCs w:val="28"/>
        </w:rPr>
        <w:t xml:space="preserve"> 2023 to </w:t>
      </w:r>
      <w:r w:rsidR="008E07E9" w:rsidRPr="001D7E5C">
        <w:rPr>
          <w:rFonts w:cstheme="minorHAnsi"/>
          <w:sz w:val="28"/>
          <w:szCs w:val="28"/>
        </w:rPr>
        <w:t>31</w:t>
      </w:r>
      <w:r w:rsidRPr="001D7E5C">
        <w:rPr>
          <w:rFonts w:cstheme="minorHAnsi"/>
          <w:sz w:val="28"/>
          <w:szCs w:val="28"/>
        </w:rPr>
        <w:t xml:space="preserve"> March 2024)</w:t>
      </w:r>
    </w:p>
    <w:p w14:paraId="4F6697BC" w14:textId="77777777" w:rsidR="00CD3DBD" w:rsidRPr="00CD3DBD" w:rsidRDefault="00CD3DBD" w:rsidP="00CD3DBD">
      <w:pPr>
        <w:spacing w:after="0" w:line="240" w:lineRule="auto"/>
        <w:rPr>
          <w:rFonts w:cstheme="minorHAnsi"/>
          <w:sz w:val="10"/>
          <w:szCs w:val="10"/>
          <w:highlight w:val="yellow"/>
        </w:rPr>
      </w:pPr>
    </w:p>
    <w:p w14:paraId="2DD7DAC5" w14:textId="77777777" w:rsidR="00CD3DBD" w:rsidRPr="00CD3DBD" w:rsidRDefault="00CD3DBD" w:rsidP="00CD3DBD">
      <w:pPr>
        <w:spacing w:after="120" w:line="240" w:lineRule="auto"/>
        <w:rPr>
          <w:rFonts w:cstheme="minorHAnsi"/>
          <w:sz w:val="28"/>
          <w:szCs w:val="28"/>
        </w:rPr>
      </w:pPr>
      <w:r w:rsidRPr="00CD3DBD">
        <w:rPr>
          <w:rFonts w:cstheme="minorHAnsi"/>
          <w:b/>
          <w:sz w:val="28"/>
          <w:szCs w:val="28"/>
        </w:rPr>
        <w:t xml:space="preserve">Completed form to be returned to: </w:t>
      </w:r>
      <w:hyperlink r:id="rId9" w:history="1">
        <w:r w:rsidRPr="00CD3DBD">
          <w:rPr>
            <w:rFonts w:cstheme="minorHAnsi"/>
            <w:b/>
            <w:sz w:val="28"/>
            <w:szCs w:val="28"/>
            <w:u w:val="single"/>
          </w:rPr>
          <w:t>hss.performance@gov.wales</w:t>
        </w:r>
      </w:hyperlink>
    </w:p>
    <w:p w14:paraId="4CF07861" w14:textId="77777777" w:rsidR="00CD3DBD" w:rsidRPr="00D4768C" w:rsidRDefault="00CD3DBD" w:rsidP="00CD3DBD">
      <w:pPr>
        <w:spacing w:after="0" w:line="240" w:lineRule="auto"/>
        <w:rPr>
          <w:rFonts w:eastAsia="Times New Roman" w:cstheme="minorHAnsi"/>
          <w:b/>
          <w:sz w:val="28"/>
          <w:szCs w:val="28"/>
          <w:lang w:eastAsia="en-GB"/>
        </w:rPr>
      </w:pPr>
      <w:r w:rsidRPr="00D4768C">
        <w:rPr>
          <w:rFonts w:eastAsia="Times New Roman" w:cstheme="minorHAnsi"/>
          <w:b/>
          <w:sz w:val="28"/>
          <w:szCs w:val="28"/>
          <w:lang w:eastAsia="en-GB"/>
        </w:rPr>
        <w:t xml:space="preserve">Progress with delivery of GMS Access Commitment: Phase 2 Access Standards: </w:t>
      </w:r>
    </w:p>
    <w:p w14:paraId="4046FFA6" w14:textId="77777777" w:rsidR="00CD3DBD" w:rsidRPr="00D4768C" w:rsidRDefault="00CD3DBD" w:rsidP="00CD3DBD">
      <w:pPr>
        <w:spacing w:after="0" w:line="240" w:lineRule="auto"/>
        <w:rPr>
          <w:rFonts w:eastAsia="Times New Roman" w:cstheme="minorHAnsi"/>
          <w:color w:val="0070C0"/>
          <w:sz w:val="10"/>
          <w:szCs w:val="10"/>
          <w:lang w:eastAsia="en-GB"/>
        </w:rPr>
      </w:pPr>
    </w:p>
    <w:tbl>
      <w:tblPr>
        <w:tblStyle w:val="TableGrid2"/>
        <w:tblW w:w="15451"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600" w:firstRow="0" w:lastRow="0" w:firstColumn="0" w:lastColumn="0" w:noHBand="1" w:noVBand="1"/>
      </w:tblPr>
      <w:tblGrid>
        <w:gridCol w:w="567"/>
        <w:gridCol w:w="5529"/>
        <w:gridCol w:w="3969"/>
        <w:gridCol w:w="5386"/>
      </w:tblGrid>
      <w:tr w:rsidR="00CD3DBD" w:rsidRPr="00D4768C" w14:paraId="33A0AEE9" w14:textId="77777777" w:rsidTr="001D7E5C">
        <w:trPr>
          <w:tblHeader/>
        </w:trPr>
        <w:tc>
          <w:tcPr>
            <w:tcW w:w="15451" w:type="dxa"/>
            <w:gridSpan w:val="4"/>
            <w:tcBorders>
              <w:top w:val="single" w:sz="6" w:space="0" w:color="auto"/>
            </w:tcBorders>
            <w:shd w:val="clear" w:color="auto" w:fill="F2F2F2" w:themeFill="background1" w:themeFillShade="F2"/>
          </w:tcPr>
          <w:p w14:paraId="7ECA580C" w14:textId="77777777" w:rsidR="00CD3DBD" w:rsidRPr="00D4768C" w:rsidRDefault="00CD3DBD" w:rsidP="00C20D83">
            <w:pPr>
              <w:spacing w:before="20" w:after="20" w:line="256" w:lineRule="auto"/>
              <w:contextualSpacing/>
              <w:rPr>
                <w:rFonts w:asciiTheme="minorHAnsi" w:hAnsiTheme="minorHAnsi" w:cstheme="minorHAnsi"/>
                <w:b/>
                <w:sz w:val="28"/>
                <w:szCs w:val="28"/>
              </w:rPr>
            </w:pPr>
            <w:r w:rsidRPr="00D4768C">
              <w:rPr>
                <w:rFonts w:asciiTheme="minorHAnsi" w:hAnsiTheme="minorHAnsi" w:cstheme="minorHAnsi"/>
                <w:b/>
                <w:sz w:val="28"/>
                <w:szCs w:val="28"/>
              </w:rPr>
              <w:t>Section 1: achievement of practice requirements</w:t>
            </w:r>
          </w:p>
        </w:tc>
      </w:tr>
      <w:tr w:rsidR="00CD3DBD" w:rsidRPr="00D4768C" w14:paraId="5AB03706" w14:textId="77777777" w:rsidTr="00B80704">
        <w:trPr>
          <w:tblHeader/>
        </w:trPr>
        <w:tc>
          <w:tcPr>
            <w:tcW w:w="6096" w:type="dxa"/>
            <w:gridSpan w:val="2"/>
            <w:shd w:val="clear" w:color="auto" w:fill="F2F2F2" w:themeFill="background1" w:themeFillShade="F2"/>
          </w:tcPr>
          <w:p w14:paraId="3662DF83" w14:textId="77777777" w:rsidR="00CD3DBD" w:rsidRPr="00D4768C" w:rsidRDefault="00CD3DBD" w:rsidP="00C20D83">
            <w:pPr>
              <w:spacing w:before="20" w:after="20" w:line="256" w:lineRule="auto"/>
              <w:rPr>
                <w:rFonts w:asciiTheme="minorHAnsi" w:hAnsiTheme="minorHAnsi" w:cstheme="minorHAnsi"/>
                <w:b/>
                <w:sz w:val="28"/>
                <w:szCs w:val="28"/>
              </w:rPr>
            </w:pPr>
            <w:r w:rsidRPr="00D4768C">
              <w:rPr>
                <w:rFonts w:asciiTheme="minorHAnsi" w:hAnsiTheme="minorHAnsi" w:cstheme="minorHAnsi"/>
                <w:b/>
                <w:sz w:val="28"/>
                <w:szCs w:val="28"/>
              </w:rPr>
              <w:t>Practice Requirement</w:t>
            </w:r>
          </w:p>
        </w:tc>
        <w:tc>
          <w:tcPr>
            <w:tcW w:w="3969" w:type="dxa"/>
            <w:shd w:val="clear" w:color="auto" w:fill="F2F2F2" w:themeFill="background1" w:themeFillShade="F2"/>
            <w:hideMark/>
          </w:tcPr>
          <w:p w14:paraId="0A256748" w14:textId="77777777" w:rsidR="00CD3DBD" w:rsidRPr="00D4768C" w:rsidRDefault="00CD3DBD" w:rsidP="00C20D83">
            <w:pPr>
              <w:spacing w:before="20" w:after="20" w:line="256" w:lineRule="auto"/>
              <w:contextualSpacing/>
              <w:rPr>
                <w:rFonts w:asciiTheme="minorHAnsi" w:hAnsiTheme="minorHAnsi" w:cstheme="minorHAnsi"/>
                <w:b/>
                <w:sz w:val="28"/>
                <w:szCs w:val="28"/>
              </w:rPr>
            </w:pPr>
            <w:r w:rsidRPr="00D4768C">
              <w:rPr>
                <w:rFonts w:asciiTheme="minorHAnsi" w:hAnsiTheme="minorHAnsi" w:cstheme="minorHAnsi"/>
                <w:b/>
                <w:sz w:val="28"/>
                <w:szCs w:val="28"/>
              </w:rPr>
              <w:t>Number of practices within the HB achieving this standard</w:t>
            </w:r>
          </w:p>
        </w:tc>
        <w:tc>
          <w:tcPr>
            <w:tcW w:w="5386" w:type="dxa"/>
            <w:shd w:val="clear" w:color="auto" w:fill="F2F2F2" w:themeFill="background1" w:themeFillShade="F2"/>
          </w:tcPr>
          <w:p w14:paraId="57F7DB98" w14:textId="77777777" w:rsidR="00CD3DBD" w:rsidRPr="00D4768C" w:rsidRDefault="00CD3DBD" w:rsidP="00C20D83">
            <w:pPr>
              <w:spacing w:before="20" w:after="20" w:line="256" w:lineRule="auto"/>
              <w:contextualSpacing/>
              <w:rPr>
                <w:rFonts w:asciiTheme="minorHAnsi" w:hAnsiTheme="minorHAnsi" w:cstheme="minorHAnsi"/>
                <w:b/>
                <w:sz w:val="28"/>
                <w:szCs w:val="28"/>
              </w:rPr>
            </w:pPr>
            <w:r w:rsidRPr="00D4768C">
              <w:rPr>
                <w:rFonts w:asciiTheme="minorHAnsi" w:hAnsiTheme="minorHAnsi" w:cstheme="minorHAnsi"/>
                <w:b/>
                <w:sz w:val="28"/>
                <w:szCs w:val="28"/>
              </w:rPr>
              <w:t xml:space="preserve">Comments/ Further action taken </w:t>
            </w:r>
          </w:p>
        </w:tc>
      </w:tr>
      <w:tr w:rsidR="00CD3DBD" w:rsidRPr="00D4768C" w14:paraId="536AD37B" w14:textId="77777777" w:rsidTr="00C20D83">
        <w:trPr>
          <w:trHeight w:val="401"/>
        </w:trPr>
        <w:tc>
          <w:tcPr>
            <w:tcW w:w="15451" w:type="dxa"/>
            <w:gridSpan w:val="4"/>
            <w:shd w:val="clear" w:color="auto" w:fill="F2F2F2" w:themeFill="background1" w:themeFillShade="F2"/>
          </w:tcPr>
          <w:p w14:paraId="353BD518" w14:textId="77777777" w:rsidR="00CD3DBD" w:rsidRPr="00D4768C" w:rsidRDefault="00CD3DBD" w:rsidP="00C20D83">
            <w:pPr>
              <w:spacing w:before="20" w:after="20" w:line="256" w:lineRule="auto"/>
              <w:jc w:val="both"/>
              <w:rPr>
                <w:rFonts w:asciiTheme="minorHAnsi" w:hAnsiTheme="minorHAnsi" w:cstheme="minorHAnsi"/>
                <w:b/>
                <w:bCs/>
                <w:color w:val="0070C0"/>
                <w:sz w:val="28"/>
                <w:szCs w:val="28"/>
              </w:rPr>
            </w:pPr>
            <w:r w:rsidRPr="00D4768C">
              <w:rPr>
                <w:rFonts w:asciiTheme="minorHAnsi" w:hAnsiTheme="minorHAnsi" w:cstheme="minorHAnsi"/>
                <w:b/>
                <w:bCs/>
                <w:sz w:val="28"/>
                <w:szCs w:val="28"/>
              </w:rPr>
              <w:t>Service Delivery &amp; Communication</w:t>
            </w:r>
          </w:p>
        </w:tc>
      </w:tr>
      <w:tr w:rsidR="00CD3DBD" w:rsidRPr="00D4768C" w14:paraId="7F61E0CB" w14:textId="77777777" w:rsidTr="001D7E5C">
        <w:trPr>
          <w:trHeight w:val="1187"/>
        </w:trPr>
        <w:tc>
          <w:tcPr>
            <w:tcW w:w="567" w:type="dxa"/>
            <w:tcBorders>
              <w:bottom w:val="single" w:sz="6" w:space="0" w:color="auto"/>
            </w:tcBorders>
            <w:shd w:val="clear" w:color="auto" w:fill="FFFFFF" w:themeFill="background1"/>
          </w:tcPr>
          <w:p w14:paraId="444006C0"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1.</w:t>
            </w:r>
          </w:p>
        </w:tc>
        <w:tc>
          <w:tcPr>
            <w:tcW w:w="5529" w:type="dxa"/>
            <w:tcBorders>
              <w:bottom w:val="single" w:sz="6" w:space="0" w:color="auto"/>
            </w:tcBorders>
            <w:shd w:val="clear" w:color="auto" w:fill="FFFFFF" w:themeFill="background1"/>
          </w:tcPr>
          <w:p w14:paraId="674FD142"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 xml:space="preserve">All existing patient facing staff to undertake the national care navigation training package and all new patient facing staff complete the </w:t>
            </w:r>
            <w:r w:rsidRPr="00D4768C">
              <w:rPr>
                <w:rFonts w:asciiTheme="minorHAnsi" w:hAnsiTheme="minorHAnsi" w:cstheme="minorHAnsi"/>
                <w:sz w:val="28"/>
                <w:szCs w:val="28"/>
              </w:rPr>
              <w:lastRenderedPageBreak/>
              <w:t>national care navigation training package within 3 months of start date. Practices will supply names of new starters and date of training undertaken.</w:t>
            </w:r>
          </w:p>
        </w:tc>
        <w:tc>
          <w:tcPr>
            <w:tcW w:w="3969" w:type="dxa"/>
            <w:tcBorders>
              <w:bottom w:val="single" w:sz="6" w:space="0" w:color="auto"/>
            </w:tcBorders>
          </w:tcPr>
          <w:p w14:paraId="7C1BC530" w14:textId="77777777" w:rsidR="00CD3DBD" w:rsidRPr="00D4768C" w:rsidRDefault="00293BBE"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lastRenderedPageBreak/>
              <w:t>43</w:t>
            </w:r>
          </w:p>
        </w:tc>
        <w:tc>
          <w:tcPr>
            <w:tcW w:w="5386" w:type="dxa"/>
            <w:tcBorders>
              <w:bottom w:val="single" w:sz="6" w:space="0" w:color="auto"/>
            </w:tcBorders>
          </w:tcPr>
          <w:p w14:paraId="5068B813" w14:textId="77777777" w:rsidR="00CD3DBD" w:rsidRDefault="00293BBE" w:rsidP="00293BBE">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 xml:space="preserve">Quarter 3 position as at 31/12/2023.  </w:t>
            </w:r>
          </w:p>
          <w:p w14:paraId="5C6A91A2" w14:textId="77777777" w:rsidR="00293BBE" w:rsidRPr="00D4768C" w:rsidRDefault="00293BBE" w:rsidP="00293BBE">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Quarter 4 closing date for practice submissions 30/04/2024.</w:t>
            </w:r>
          </w:p>
        </w:tc>
      </w:tr>
      <w:tr w:rsidR="00CD3DBD" w:rsidRPr="00D4768C" w14:paraId="7E6C5336" w14:textId="77777777" w:rsidTr="001D7E5C">
        <w:trPr>
          <w:trHeight w:val="113"/>
        </w:trPr>
        <w:tc>
          <w:tcPr>
            <w:tcW w:w="567" w:type="dxa"/>
            <w:tcBorders>
              <w:top w:val="single" w:sz="6" w:space="0" w:color="auto"/>
              <w:left w:val="single" w:sz="6" w:space="0" w:color="auto"/>
              <w:bottom w:val="single" w:sz="6" w:space="0" w:color="auto"/>
              <w:right w:val="single" w:sz="6" w:space="0" w:color="auto"/>
            </w:tcBorders>
            <w:shd w:val="clear" w:color="auto" w:fill="FFFFFF" w:themeFill="background1"/>
          </w:tcPr>
          <w:p w14:paraId="68F9CFFE"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2.</w:t>
            </w:r>
          </w:p>
        </w:tc>
        <w:tc>
          <w:tcPr>
            <w:tcW w:w="5529" w:type="dxa"/>
            <w:tcBorders>
              <w:top w:val="single" w:sz="6" w:space="0" w:color="auto"/>
              <w:left w:val="single" w:sz="6" w:space="0" w:color="auto"/>
              <w:bottom w:val="single" w:sz="6" w:space="0" w:color="auto"/>
              <w:right w:val="single" w:sz="6" w:space="0" w:color="auto"/>
            </w:tcBorders>
            <w:shd w:val="clear" w:color="auto" w:fill="FFFFFF" w:themeFill="background1"/>
          </w:tcPr>
          <w:p w14:paraId="52AD340A"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Appointments are available for advanced booking each day with declaration confirming that every patient contact is supported throughout the day. (Patients will be offered an appropriate consultation, whether urgently or through advanced booking consistent with the patient’s assessed clinical need, without the need for the patients to contact the practice again).</w:t>
            </w:r>
          </w:p>
        </w:tc>
        <w:tc>
          <w:tcPr>
            <w:tcW w:w="3969" w:type="dxa"/>
            <w:tcBorders>
              <w:top w:val="single" w:sz="6" w:space="0" w:color="auto"/>
              <w:left w:val="single" w:sz="6" w:space="0" w:color="auto"/>
              <w:bottom w:val="single" w:sz="6" w:space="0" w:color="auto"/>
              <w:right w:val="single" w:sz="6" w:space="0" w:color="auto"/>
            </w:tcBorders>
          </w:tcPr>
          <w:p w14:paraId="59B24BA2" w14:textId="77777777" w:rsidR="00CD3DBD" w:rsidRPr="00D4768C" w:rsidRDefault="002B1746"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42</w:t>
            </w:r>
          </w:p>
        </w:tc>
        <w:tc>
          <w:tcPr>
            <w:tcW w:w="5386" w:type="dxa"/>
            <w:tcBorders>
              <w:top w:val="single" w:sz="6" w:space="0" w:color="auto"/>
              <w:left w:val="single" w:sz="6" w:space="0" w:color="auto"/>
              <w:bottom w:val="single" w:sz="6" w:space="0" w:color="auto"/>
              <w:right w:val="single" w:sz="6" w:space="0" w:color="auto"/>
            </w:tcBorders>
          </w:tcPr>
          <w:p w14:paraId="280C6430" w14:textId="77777777" w:rsidR="00CD3DBD" w:rsidRPr="00D4768C" w:rsidRDefault="00CD3DBD" w:rsidP="00C20D83">
            <w:pPr>
              <w:spacing w:before="20" w:after="20" w:line="256" w:lineRule="auto"/>
              <w:jc w:val="both"/>
              <w:rPr>
                <w:rFonts w:asciiTheme="minorHAnsi" w:hAnsiTheme="minorHAnsi" w:cstheme="minorHAnsi"/>
                <w:color w:val="0070C0"/>
                <w:sz w:val="28"/>
                <w:szCs w:val="28"/>
              </w:rPr>
            </w:pPr>
          </w:p>
        </w:tc>
      </w:tr>
      <w:tr w:rsidR="00CD3DBD" w:rsidRPr="00D4768C" w14:paraId="41E68A00" w14:textId="77777777" w:rsidTr="001D7E5C">
        <w:trPr>
          <w:trHeight w:val="397"/>
        </w:trPr>
        <w:tc>
          <w:tcPr>
            <w:tcW w:w="567" w:type="dxa"/>
            <w:tcBorders>
              <w:top w:val="single" w:sz="6" w:space="0" w:color="auto"/>
            </w:tcBorders>
            <w:shd w:val="clear" w:color="auto" w:fill="FFFFFF" w:themeFill="background1"/>
          </w:tcPr>
          <w:p w14:paraId="1CC12D4A"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3.</w:t>
            </w:r>
          </w:p>
        </w:tc>
        <w:tc>
          <w:tcPr>
            <w:tcW w:w="5529" w:type="dxa"/>
            <w:tcBorders>
              <w:top w:val="single" w:sz="6" w:space="0" w:color="auto"/>
            </w:tcBorders>
            <w:shd w:val="clear" w:color="auto" w:fill="FFFFFF" w:themeFill="background1"/>
          </w:tcPr>
          <w:p w14:paraId="39F32E4C" w14:textId="77777777" w:rsidR="00CD3DBD" w:rsidRPr="00D4768C" w:rsidRDefault="00CD3DBD" w:rsidP="00B80704">
            <w:pPr>
              <w:spacing w:before="20" w:after="20" w:line="257" w:lineRule="auto"/>
              <w:rPr>
                <w:rFonts w:asciiTheme="minorHAnsi" w:hAnsiTheme="minorHAnsi" w:cstheme="minorHAnsi"/>
                <w:sz w:val="28"/>
                <w:szCs w:val="28"/>
              </w:rPr>
            </w:pPr>
            <w:r w:rsidRPr="00D4768C">
              <w:rPr>
                <w:rFonts w:asciiTheme="minorHAnsi" w:hAnsiTheme="minorHAnsi" w:cstheme="minorHAnsi"/>
                <w:sz w:val="28"/>
                <w:szCs w:val="28"/>
              </w:rPr>
              <w:t>To maintain a planned and forward-looking approach to consultations, practices to undertake a regular assessment of their scheduling appointment system to ensure a mix of remote, face to face, urgent, on the day and pre-bookable.</w:t>
            </w:r>
          </w:p>
        </w:tc>
        <w:tc>
          <w:tcPr>
            <w:tcW w:w="3969" w:type="dxa"/>
            <w:tcBorders>
              <w:top w:val="single" w:sz="6" w:space="0" w:color="auto"/>
            </w:tcBorders>
          </w:tcPr>
          <w:p w14:paraId="4143FF36" w14:textId="77777777" w:rsidR="00CD3DBD" w:rsidRPr="00D4768C" w:rsidRDefault="002B1746"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43</w:t>
            </w:r>
          </w:p>
        </w:tc>
        <w:tc>
          <w:tcPr>
            <w:tcW w:w="5386" w:type="dxa"/>
            <w:tcBorders>
              <w:top w:val="single" w:sz="6" w:space="0" w:color="auto"/>
            </w:tcBorders>
          </w:tcPr>
          <w:p w14:paraId="68A2A025" w14:textId="77777777" w:rsidR="00CD3DBD" w:rsidRPr="00D4768C" w:rsidRDefault="00CD3DBD" w:rsidP="00C20D83">
            <w:pPr>
              <w:spacing w:before="20" w:after="20" w:line="256" w:lineRule="auto"/>
              <w:jc w:val="both"/>
              <w:rPr>
                <w:rFonts w:asciiTheme="minorHAnsi" w:hAnsiTheme="minorHAnsi" w:cstheme="minorHAnsi"/>
                <w:color w:val="0070C0"/>
                <w:sz w:val="28"/>
                <w:szCs w:val="28"/>
              </w:rPr>
            </w:pPr>
          </w:p>
        </w:tc>
      </w:tr>
      <w:tr w:rsidR="00CD3DBD" w:rsidRPr="00D4768C" w14:paraId="40456984" w14:textId="77777777" w:rsidTr="00C20D83">
        <w:trPr>
          <w:trHeight w:val="397"/>
        </w:trPr>
        <w:tc>
          <w:tcPr>
            <w:tcW w:w="15451" w:type="dxa"/>
            <w:gridSpan w:val="4"/>
            <w:shd w:val="clear" w:color="auto" w:fill="F2F2F2" w:themeFill="background1" w:themeFillShade="F2"/>
          </w:tcPr>
          <w:p w14:paraId="444904AE" w14:textId="77777777" w:rsidR="00CD3DBD" w:rsidRPr="00D4768C" w:rsidRDefault="00CD3DBD" w:rsidP="00C20D83">
            <w:pPr>
              <w:spacing w:before="20" w:after="20" w:line="256" w:lineRule="auto"/>
              <w:jc w:val="both"/>
              <w:rPr>
                <w:rFonts w:asciiTheme="minorHAnsi" w:hAnsiTheme="minorHAnsi" w:cstheme="minorHAnsi"/>
                <w:b/>
                <w:bCs/>
                <w:color w:val="0070C0"/>
                <w:sz w:val="28"/>
                <w:szCs w:val="28"/>
              </w:rPr>
            </w:pPr>
            <w:r w:rsidRPr="00D4768C">
              <w:rPr>
                <w:rFonts w:asciiTheme="minorHAnsi" w:hAnsiTheme="minorHAnsi" w:cstheme="minorHAnsi"/>
                <w:b/>
                <w:bCs/>
                <w:sz w:val="28"/>
                <w:szCs w:val="28"/>
              </w:rPr>
              <w:t>Patient Engagement</w:t>
            </w:r>
          </w:p>
        </w:tc>
      </w:tr>
      <w:tr w:rsidR="00CD3DBD" w:rsidRPr="00D4768C" w14:paraId="6D5DE3F7" w14:textId="77777777" w:rsidTr="00B80704">
        <w:trPr>
          <w:trHeight w:val="397"/>
        </w:trPr>
        <w:tc>
          <w:tcPr>
            <w:tcW w:w="567" w:type="dxa"/>
            <w:shd w:val="clear" w:color="auto" w:fill="FFFFFF" w:themeFill="background1"/>
          </w:tcPr>
          <w:p w14:paraId="41EDD2C8"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4.</w:t>
            </w:r>
          </w:p>
        </w:tc>
        <w:tc>
          <w:tcPr>
            <w:tcW w:w="5529" w:type="dxa"/>
            <w:shd w:val="clear" w:color="auto" w:fill="FFFFFF" w:themeFill="background1"/>
          </w:tcPr>
          <w:p w14:paraId="5BBC16B9" w14:textId="77777777" w:rsidR="00B80704" w:rsidRPr="00B80704" w:rsidRDefault="00B80704" w:rsidP="00B80704">
            <w:pPr>
              <w:spacing w:before="20" w:after="20" w:line="257" w:lineRule="auto"/>
              <w:rPr>
                <w:rFonts w:asciiTheme="minorHAnsi" w:hAnsiTheme="minorHAnsi" w:cstheme="minorHAnsi"/>
                <w:sz w:val="28"/>
                <w:szCs w:val="28"/>
              </w:rPr>
            </w:pPr>
            <w:r w:rsidRPr="00B80704">
              <w:rPr>
                <w:rFonts w:asciiTheme="minorHAnsi" w:hAnsiTheme="minorHAnsi" w:cstheme="minorHAnsi"/>
                <w:sz w:val="28"/>
                <w:szCs w:val="28"/>
              </w:rPr>
              <w:t xml:space="preserve">Practices must regularly maintain an automated and standardised public facing dashboard and make this available via a range of communication methods to meet the needs of their patients. (An Infographic will be made available via the PCIP for practices to </w:t>
            </w:r>
          </w:p>
          <w:p w14:paraId="59C0AFC4" w14:textId="77777777" w:rsidR="00CD3DBD" w:rsidRPr="00D4768C" w:rsidRDefault="00B80704" w:rsidP="00B80704">
            <w:pPr>
              <w:spacing w:before="20" w:after="20" w:line="257" w:lineRule="auto"/>
              <w:rPr>
                <w:rFonts w:asciiTheme="minorHAnsi" w:hAnsiTheme="minorHAnsi" w:cstheme="minorHAnsi"/>
                <w:sz w:val="28"/>
                <w:szCs w:val="28"/>
              </w:rPr>
            </w:pPr>
            <w:r w:rsidRPr="00B80704">
              <w:rPr>
                <w:rFonts w:asciiTheme="minorHAnsi" w:hAnsiTheme="minorHAnsi" w:cstheme="minorHAnsi"/>
                <w:sz w:val="28"/>
                <w:szCs w:val="28"/>
              </w:rPr>
              <w:lastRenderedPageBreak/>
              <w:t>use).</w:t>
            </w:r>
          </w:p>
        </w:tc>
        <w:tc>
          <w:tcPr>
            <w:tcW w:w="3969" w:type="dxa"/>
          </w:tcPr>
          <w:p w14:paraId="5023D602" w14:textId="77777777" w:rsidR="00CD3DBD" w:rsidRPr="00D4768C" w:rsidRDefault="002B1746"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lastRenderedPageBreak/>
              <w:t>43</w:t>
            </w:r>
          </w:p>
        </w:tc>
        <w:tc>
          <w:tcPr>
            <w:tcW w:w="5386" w:type="dxa"/>
          </w:tcPr>
          <w:p w14:paraId="09D5E279" w14:textId="77777777" w:rsidR="00CD3DBD" w:rsidRPr="00D4768C" w:rsidRDefault="00CD3DBD" w:rsidP="00C20D83">
            <w:pPr>
              <w:spacing w:before="20" w:after="20" w:line="256" w:lineRule="auto"/>
              <w:jc w:val="both"/>
              <w:rPr>
                <w:rFonts w:asciiTheme="minorHAnsi" w:hAnsiTheme="minorHAnsi" w:cstheme="minorHAnsi"/>
                <w:color w:val="0070C0"/>
                <w:sz w:val="28"/>
                <w:szCs w:val="28"/>
              </w:rPr>
            </w:pPr>
          </w:p>
        </w:tc>
      </w:tr>
      <w:tr w:rsidR="00CD3DBD" w:rsidRPr="00D4768C" w14:paraId="43C8765C" w14:textId="77777777" w:rsidTr="00B80704">
        <w:trPr>
          <w:trHeight w:val="397"/>
        </w:trPr>
        <w:tc>
          <w:tcPr>
            <w:tcW w:w="567" w:type="dxa"/>
            <w:shd w:val="clear" w:color="auto" w:fill="FFFFFF" w:themeFill="background1"/>
          </w:tcPr>
          <w:p w14:paraId="45FF7AC8"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 xml:space="preserve">5. </w:t>
            </w:r>
          </w:p>
        </w:tc>
        <w:tc>
          <w:tcPr>
            <w:tcW w:w="5529" w:type="dxa"/>
            <w:shd w:val="clear" w:color="auto" w:fill="FFFFFF" w:themeFill="background1"/>
          </w:tcPr>
          <w:p w14:paraId="751634D4"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Practices to undertake the national patient experience survey which should include 25 completed questionnaires per 1000 registered patients from a range of practice population and captured through a range of methods.</w:t>
            </w:r>
          </w:p>
        </w:tc>
        <w:tc>
          <w:tcPr>
            <w:tcW w:w="3969" w:type="dxa"/>
          </w:tcPr>
          <w:p w14:paraId="6FF5919D" w14:textId="77777777" w:rsidR="00CD3DBD" w:rsidRPr="00D4768C" w:rsidRDefault="002B1746" w:rsidP="00C20D83">
            <w:pPr>
              <w:spacing w:before="20" w:after="20" w:line="256" w:lineRule="auto"/>
              <w:jc w:val="both"/>
              <w:rPr>
                <w:rFonts w:cstheme="minorHAnsi"/>
                <w:color w:val="0070C0"/>
                <w:sz w:val="28"/>
                <w:szCs w:val="28"/>
              </w:rPr>
            </w:pPr>
            <w:r>
              <w:rPr>
                <w:rFonts w:cstheme="minorHAnsi"/>
                <w:color w:val="0070C0"/>
                <w:sz w:val="28"/>
                <w:szCs w:val="28"/>
              </w:rPr>
              <w:t>42</w:t>
            </w:r>
          </w:p>
        </w:tc>
        <w:tc>
          <w:tcPr>
            <w:tcW w:w="5386" w:type="dxa"/>
          </w:tcPr>
          <w:p w14:paraId="3AE023C1"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28566613" w14:textId="77777777" w:rsidTr="00C20D83">
        <w:trPr>
          <w:trHeight w:val="397"/>
        </w:trPr>
        <w:tc>
          <w:tcPr>
            <w:tcW w:w="15451" w:type="dxa"/>
            <w:gridSpan w:val="4"/>
            <w:shd w:val="clear" w:color="auto" w:fill="F2F2F2" w:themeFill="background1" w:themeFillShade="F2"/>
          </w:tcPr>
          <w:p w14:paraId="7C7179B1" w14:textId="77777777" w:rsidR="00CD3DBD" w:rsidRPr="00D4768C" w:rsidRDefault="00CD3DBD" w:rsidP="00C20D83">
            <w:pPr>
              <w:spacing w:before="20" w:after="20" w:line="256" w:lineRule="auto"/>
              <w:jc w:val="both"/>
              <w:rPr>
                <w:rFonts w:asciiTheme="minorHAnsi" w:hAnsiTheme="minorHAnsi" w:cstheme="minorHAnsi"/>
                <w:b/>
                <w:bCs/>
                <w:color w:val="0070C0"/>
                <w:sz w:val="28"/>
                <w:szCs w:val="28"/>
              </w:rPr>
            </w:pPr>
            <w:r w:rsidRPr="00D4768C">
              <w:rPr>
                <w:rFonts w:asciiTheme="minorHAnsi" w:hAnsiTheme="minorHAnsi" w:cstheme="minorHAnsi"/>
                <w:b/>
                <w:bCs/>
                <w:sz w:val="28"/>
                <w:szCs w:val="28"/>
              </w:rPr>
              <w:t>Digital</w:t>
            </w:r>
          </w:p>
        </w:tc>
      </w:tr>
      <w:tr w:rsidR="00CD3DBD" w:rsidRPr="00D4768C" w14:paraId="0F2F1F90" w14:textId="77777777" w:rsidTr="00B80704">
        <w:trPr>
          <w:trHeight w:val="397"/>
        </w:trPr>
        <w:tc>
          <w:tcPr>
            <w:tcW w:w="567" w:type="dxa"/>
            <w:shd w:val="clear" w:color="auto" w:fill="FFFFFF" w:themeFill="background1"/>
          </w:tcPr>
          <w:p w14:paraId="1596BA9A"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6.</w:t>
            </w:r>
          </w:p>
        </w:tc>
        <w:tc>
          <w:tcPr>
            <w:tcW w:w="5529" w:type="dxa"/>
            <w:shd w:val="clear" w:color="auto" w:fill="FFFFFF" w:themeFill="background1"/>
          </w:tcPr>
          <w:p w14:paraId="5281554D"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Practices undertake care navigation on digital requests in a similar and equitable fashion to telephone requests.</w:t>
            </w:r>
          </w:p>
        </w:tc>
        <w:tc>
          <w:tcPr>
            <w:tcW w:w="3969" w:type="dxa"/>
          </w:tcPr>
          <w:p w14:paraId="46B23D05" w14:textId="77777777" w:rsidR="00CD3DBD" w:rsidRPr="00D4768C" w:rsidRDefault="002B1746" w:rsidP="00C20D83">
            <w:pPr>
              <w:spacing w:before="20" w:after="20" w:line="256" w:lineRule="auto"/>
              <w:jc w:val="both"/>
              <w:rPr>
                <w:rFonts w:cstheme="minorHAnsi"/>
                <w:color w:val="0070C0"/>
                <w:sz w:val="28"/>
                <w:szCs w:val="28"/>
              </w:rPr>
            </w:pPr>
            <w:r>
              <w:rPr>
                <w:rFonts w:cstheme="minorHAnsi"/>
                <w:color w:val="0070C0"/>
                <w:sz w:val="28"/>
                <w:szCs w:val="28"/>
              </w:rPr>
              <w:t>44</w:t>
            </w:r>
          </w:p>
        </w:tc>
        <w:tc>
          <w:tcPr>
            <w:tcW w:w="5386" w:type="dxa"/>
          </w:tcPr>
          <w:p w14:paraId="3EDBBEAF"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6236AE22" w14:textId="77777777" w:rsidTr="00C20D83">
        <w:trPr>
          <w:trHeight w:val="397"/>
        </w:trPr>
        <w:tc>
          <w:tcPr>
            <w:tcW w:w="15451" w:type="dxa"/>
            <w:gridSpan w:val="4"/>
            <w:shd w:val="clear" w:color="auto" w:fill="F2F2F2" w:themeFill="background1" w:themeFillShade="F2"/>
          </w:tcPr>
          <w:p w14:paraId="1DDA7E94" w14:textId="77777777" w:rsidR="00CD3DBD" w:rsidRPr="00D4768C" w:rsidRDefault="00CD3DBD" w:rsidP="00C20D83">
            <w:pPr>
              <w:spacing w:before="20" w:after="20" w:line="256" w:lineRule="auto"/>
              <w:jc w:val="both"/>
              <w:rPr>
                <w:rFonts w:asciiTheme="minorHAnsi" w:hAnsiTheme="minorHAnsi" w:cstheme="minorHAnsi"/>
                <w:b/>
                <w:bCs/>
                <w:sz w:val="28"/>
                <w:szCs w:val="28"/>
              </w:rPr>
            </w:pPr>
            <w:r w:rsidRPr="00D4768C">
              <w:rPr>
                <w:rFonts w:asciiTheme="minorHAnsi" w:hAnsiTheme="minorHAnsi" w:cstheme="minorHAnsi"/>
                <w:b/>
                <w:bCs/>
                <w:sz w:val="28"/>
                <w:szCs w:val="28"/>
              </w:rPr>
              <w:t>Section 2: Practice Reflective Reports – high-level summary of key findings and common themes under each of following sections:</w:t>
            </w:r>
          </w:p>
        </w:tc>
      </w:tr>
      <w:tr w:rsidR="00CD3DBD" w:rsidRPr="00D4768C" w14:paraId="31B6CB83" w14:textId="77777777" w:rsidTr="001D7E5C">
        <w:trPr>
          <w:trHeight w:val="397"/>
        </w:trPr>
        <w:tc>
          <w:tcPr>
            <w:tcW w:w="567" w:type="dxa"/>
            <w:tcBorders>
              <w:bottom w:val="single" w:sz="6" w:space="0" w:color="auto"/>
            </w:tcBorders>
            <w:shd w:val="clear" w:color="auto" w:fill="FFFFFF" w:themeFill="background1"/>
          </w:tcPr>
          <w:p w14:paraId="66C33B4C"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1.</w:t>
            </w:r>
          </w:p>
        </w:tc>
        <w:tc>
          <w:tcPr>
            <w:tcW w:w="5529" w:type="dxa"/>
            <w:tcBorders>
              <w:bottom w:val="single" w:sz="6" w:space="0" w:color="auto"/>
            </w:tcBorders>
            <w:shd w:val="clear" w:color="auto" w:fill="FFFFFF" w:themeFill="background1"/>
          </w:tcPr>
          <w:p w14:paraId="6AC6B07E"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Equality Impact Assessment</w:t>
            </w:r>
          </w:p>
        </w:tc>
        <w:tc>
          <w:tcPr>
            <w:tcW w:w="9355" w:type="dxa"/>
            <w:gridSpan w:val="2"/>
            <w:tcBorders>
              <w:bottom w:val="single" w:sz="6" w:space="0" w:color="auto"/>
            </w:tcBorders>
          </w:tcPr>
          <w:p w14:paraId="636DC277" w14:textId="77777777" w:rsidR="00CD3DBD" w:rsidRDefault="002B1746"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Practices are currently uploading their Access standards evidence and practice self-declaration.  Deadline for submissions is 29</w:t>
            </w:r>
            <w:r w:rsidRPr="00293BBE">
              <w:rPr>
                <w:rFonts w:asciiTheme="minorHAnsi" w:hAnsiTheme="minorHAnsi" w:cstheme="minorHAnsi"/>
                <w:color w:val="0070C0"/>
                <w:sz w:val="28"/>
                <w:szCs w:val="28"/>
                <w:vertAlign w:val="superscript"/>
              </w:rPr>
              <w:t>th</w:t>
            </w:r>
            <w:r>
              <w:rPr>
                <w:rFonts w:asciiTheme="minorHAnsi" w:hAnsiTheme="minorHAnsi" w:cstheme="minorHAnsi"/>
                <w:color w:val="0070C0"/>
                <w:sz w:val="28"/>
                <w:szCs w:val="28"/>
              </w:rPr>
              <w:t xml:space="preserve"> April 2024.    </w:t>
            </w:r>
          </w:p>
          <w:p w14:paraId="04CA3044" w14:textId="77777777" w:rsidR="002B1746" w:rsidRDefault="002B1746" w:rsidP="00C20D83">
            <w:pPr>
              <w:spacing w:before="20" w:after="20" w:line="256" w:lineRule="auto"/>
              <w:jc w:val="both"/>
              <w:rPr>
                <w:rFonts w:cstheme="minorHAnsi"/>
                <w:color w:val="0070C0"/>
                <w:sz w:val="28"/>
                <w:szCs w:val="28"/>
              </w:rPr>
            </w:pPr>
            <w:r>
              <w:rPr>
                <w:rFonts w:asciiTheme="minorHAnsi" w:hAnsiTheme="minorHAnsi" w:cstheme="minorHAnsi"/>
                <w:color w:val="0070C0"/>
                <w:sz w:val="28"/>
                <w:szCs w:val="28"/>
              </w:rPr>
              <w:t xml:space="preserve">Once received the Primary Care Team will review and undertake an analysis of the reflective reports for key finding and common themes </w:t>
            </w:r>
          </w:p>
          <w:p w14:paraId="5BAA5CCB"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3212F280" w14:textId="77777777" w:rsidTr="001D7E5C">
        <w:trPr>
          <w:trHeight w:val="397"/>
        </w:trPr>
        <w:tc>
          <w:tcPr>
            <w:tcW w:w="567" w:type="dxa"/>
            <w:tcBorders>
              <w:top w:val="single" w:sz="6" w:space="0" w:color="auto"/>
              <w:bottom w:val="single" w:sz="6" w:space="0" w:color="auto"/>
            </w:tcBorders>
            <w:shd w:val="clear" w:color="auto" w:fill="FFFFFF" w:themeFill="background1"/>
          </w:tcPr>
          <w:p w14:paraId="4CAA2C6B"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2.</w:t>
            </w:r>
          </w:p>
        </w:tc>
        <w:tc>
          <w:tcPr>
            <w:tcW w:w="5529" w:type="dxa"/>
            <w:tcBorders>
              <w:top w:val="single" w:sz="6" w:space="0" w:color="auto"/>
              <w:bottom w:val="single" w:sz="6" w:space="0" w:color="auto"/>
            </w:tcBorders>
            <w:shd w:val="clear" w:color="auto" w:fill="FFFFFF" w:themeFill="background1"/>
          </w:tcPr>
          <w:p w14:paraId="3776D7D1"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Patient Engagement</w:t>
            </w:r>
          </w:p>
        </w:tc>
        <w:tc>
          <w:tcPr>
            <w:tcW w:w="9355" w:type="dxa"/>
            <w:gridSpan w:val="2"/>
            <w:tcBorders>
              <w:top w:val="single" w:sz="6" w:space="0" w:color="auto"/>
              <w:bottom w:val="single" w:sz="6" w:space="0" w:color="auto"/>
            </w:tcBorders>
          </w:tcPr>
          <w:p w14:paraId="654249AF" w14:textId="77777777" w:rsidR="00CD3DBD" w:rsidRDefault="00CD3DBD" w:rsidP="00C20D83">
            <w:pPr>
              <w:spacing w:before="20" w:after="20" w:line="256" w:lineRule="auto"/>
              <w:jc w:val="both"/>
              <w:rPr>
                <w:rFonts w:cstheme="minorHAnsi"/>
                <w:color w:val="0070C0"/>
                <w:sz w:val="28"/>
                <w:szCs w:val="28"/>
              </w:rPr>
            </w:pPr>
          </w:p>
          <w:p w14:paraId="3B11B9D5"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5199CF7C" w14:textId="77777777" w:rsidTr="001D7E5C">
        <w:trPr>
          <w:trHeight w:val="397"/>
        </w:trPr>
        <w:tc>
          <w:tcPr>
            <w:tcW w:w="567" w:type="dxa"/>
            <w:tcBorders>
              <w:top w:val="single" w:sz="6" w:space="0" w:color="auto"/>
              <w:bottom w:val="single" w:sz="6" w:space="0" w:color="auto"/>
            </w:tcBorders>
            <w:shd w:val="clear" w:color="auto" w:fill="FFFFFF" w:themeFill="background1"/>
          </w:tcPr>
          <w:p w14:paraId="1BEDF557"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3.</w:t>
            </w:r>
          </w:p>
        </w:tc>
        <w:tc>
          <w:tcPr>
            <w:tcW w:w="5529" w:type="dxa"/>
            <w:tcBorders>
              <w:top w:val="single" w:sz="6" w:space="0" w:color="auto"/>
              <w:bottom w:val="single" w:sz="6" w:space="0" w:color="auto"/>
            </w:tcBorders>
            <w:shd w:val="clear" w:color="auto" w:fill="FFFFFF" w:themeFill="background1"/>
          </w:tcPr>
          <w:p w14:paraId="12E9C01B"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National Patient Experience Survey</w:t>
            </w:r>
          </w:p>
        </w:tc>
        <w:tc>
          <w:tcPr>
            <w:tcW w:w="9355" w:type="dxa"/>
            <w:gridSpan w:val="2"/>
            <w:tcBorders>
              <w:top w:val="single" w:sz="6" w:space="0" w:color="auto"/>
              <w:bottom w:val="single" w:sz="6" w:space="0" w:color="auto"/>
            </w:tcBorders>
          </w:tcPr>
          <w:p w14:paraId="2C7B99CF" w14:textId="77777777" w:rsidR="00CD3DBD" w:rsidRDefault="00CD3DBD" w:rsidP="00C20D83">
            <w:pPr>
              <w:spacing w:before="20" w:after="20" w:line="256" w:lineRule="auto"/>
              <w:jc w:val="both"/>
              <w:rPr>
                <w:rFonts w:cstheme="minorHAnsi"/>
                <w:color w:val="0070C0"/>
                <w:sz w:val="28"/>
                <w:szCs w:val="28"/>
              </w:rPr>
            </w:pPr>
          </w:p>
          <w:p w14:paraId="1CC8776A"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3D86442C" w14:textId="77777777" w:rsidTr="001D7E5C">
        <w:trPr>
          <w:trHeight w:val="397"/>
        </w:trPr>
        <w:tc>
          <w:tcPr>
            <w:tcW w:w="567" w:type="dxa"/>
            <w:tcBorders>
              <w:top w:val="single" w:sz="6" w:space="0" w:color="auto"/>
              <w:bottom w:val="single" w:sz="6" w:space="0" w:color="auto"/>
            </w:tcBorders>
            <w:shd w:val="clear" w:color="auto" w:fill="FFFFFF" w:themeFill="background1"/>
          </w:tcPr>
          <w:p w14:paraId="14B9A7CF"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4.</w:t>
            </w:r>
          </w:p>
        </w:tc>
        <w:tc>
          <w:tcPr>
            <w:tcW w:w="5529" w:type="dxa"/>
            <w:tcBorders>
              <w:top w:val="single" w:sz="6" w:space="0" w:color="auto"/>
              <w:bottom w:val="single" w:sz="6" w:space="0" w:color="auto"/>
            </w:tcBorders>
            <w:shd w:val="clear" w:color="auto" w:fill="FFFFFF" w:themeFill="background1"/>
          </w:tcPr>
          <w:p w14:paraId="316768EC"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Patient Survey Action Plan</w:t>
            </w:r>
          </w:p>
        </w:tc>
        <w:tc>
          <w:tcPr>
            <w:tcW w:w="9355" w:type="dxa"/>
            <w:gridSpan w:val="2"/>
            <w:tcBorders>
              <w:top w:val="single" w:sz="6" w:space="0" w:color="auto"/>
              <w:bottom w:val="single" w:sz="6" w:space="0" w:color="auto"/>
            </w:tcBorders>
          </w:tcPr>
          <w:p w14:paraId="6730EC77" w14:textId="77777777" w:rsidR="00CD3DBD" w:rsidRDefault="00CD3DBD" w:rsidP="00C20D83">
            <w:pPr>
              <w:spacing w:before="20" w:after="20" w:line="256" w:lineRule="auto"/>
              <w:jc w:val="both"/>
              <w:rPr>
                <w:rFonts w:cstheme="minorHAnsi"/>
                <w:color w:val="0070C0"/>
                <w:sz w:val="28"/>
                <w:szCs w:val="28"/>
              </w:rPr>
            </w:pPr>
          </w:p>
          <w:p w14:paraId="5AEC7D0D"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7FB921F1" w14:textId="77777777" w:rsidTr="001D7E5C">
        <w:trPr>
          <w:trHeight w:val="397"/>
        </w:trPr>
        <w:tc>
          <w:tcPr>
            <w:tcW w:w="567" w:type="dxa"/>
            <w:tcBorders>
              <w:top w:val="single" w:sz="6" w:space="0" w:color="auto"/>
              <w:bottom w:val="single" w:sz="6" w:space="0" w:color="auto"/>
            </w:tcBorders>
            <w:shd w:val="clear" w:color="auto" w:fill="FFFFFF" w:themeFill="background1"/>
          </w:tcPr>
          <w:p w14:paraId="62F22DC4"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5.</w:t>
            </w:r>
          </w:p>
        </w:tc>
        <w:tc>
          <w:tcPr>
            <w:tcW w:w="5529" w:type="dxa"/>
            <w:tcBorders>
              <w:top w:val="single" w:sz="6" w:space="0" w:color="auto"/>
              <w:bottom w:val="single" w:sz="6" w:space="0" w:color="auto"/>
            </w:tcBorders>
            <w:shd w:val="clear" w:color="auto" w:fill="FFFFFF" w:themeFill="background1"/>
          </w:tcPr>
          <w:p w14:paraId="7FD2939D"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Digital Requests</w:t>
            </w:r>
          </w:p>
        </w:tc>
        <w:tc>
          <w:tcPr>
            <w:tcW w:w="9355" w:type="dxa"/>
            <w:gridSpan w:val="2"/>
            <w:tcBorders>
              <w:top w:val="single" w:sz="6" w:space="0" w:color="auto"/>
              <w:bottom w:val="single" w:sz="6" w:space="0" w:color="auto"/>
            </w:tcBorders>
          </w:tcPr>
          <w:p w14:paraId="4C75DEF4" w14:textId="77777777" w:rsidR="00CD3DBD" w:rsidRDefault="00CD3DBD" w:rsidP="00C20D83">
            <w:pPr>
              <w:spacing w:before="20" w:after="20" w:line="256" w:lineRule="auto"/>
              <w:jc w:val="both"/>
              <w:rPr>
                <w:rFonts w:cstheme="minorHAnsi"/>
                <w:color w:val="0070C0"/>
                <w:sz w:val="28"/>
                <w:szCs w:val="28"/>
              </w:rPr>
            </w:pPr>
          </w:p>
          <w:p w14:paraId="60F7064A" w14:textId="77777777" w:rsidR="00CD3DBD" w:rsidRPr="00D4768C" w:rsidRDefault="00CD3DBD" w:rsidP="00C20D83">
            <w:pPr>
              <w:spacing w:before="20" w:after="20" w:line="256" w:lineRule="auto"/>
              <w:jc w:val="both"/>
              <w:rPr>
                <w:rFonts w:cstheme="minorHAnsi"/>
                <w:color w:val="0070C0"/>
                <w:sz w:val="28"/>
                <w:szCs w:val="28"/>
              </w:rPr>
            </w:pPr>
          </w:p>
        </w:tc>
      </w:tr>
      <w:tr w:rsidR="00CD3DBD" w:rsidRPr="00D4768C" w14:paraId="03CB395A" w14:textId="77777777" w:rsidTr="001D7E5C">
        <w:trPr>
          <w:trHeight w:val="397"/>
        </w:trPr>
        <w:tc>
          <w:tcPr>
            <w:tcW w:w="567" w:type="dxa"/>
            <w:tcBorders>
              <w:top w:val="single" w:sz="6" w:space="0" w:color="auto"/>
              <w:bottom w:val="single" w:sz="6" w:space="0" w:color="auto"/>
            </w:tcBorders>
            <w:shd w:val="clear" w:color="auto" w:fill="FFFFFF" w:themeFill="background1"/>
          </w:tcPr>
          <w:p w14:paraId="7C580B51"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6.</w:t>
            </w:r>
          </w:p>
        </w:tc>
        <w:tc>
          <w:tcPr>
            <w:tcW w:w="5529" w:type="dxa"/>
            <w:tcBorders>
              <w:top w:val="single" w:sz="6" w:space="0" w:color="auto"/>
              <w:bottom w:val="single" w:sz="6" w:space="0" w:color="auto"/>
            </w:tcBorders>
            <w:shd w:val="clear" w:color="auto" w:fill="FFFFFF" w:themeFill="background1"/>
          </w:tcPr>
          <w:p w14:paraId="58B70A80" w14:textId="77777777" w:rsidR="00CD3DBD" w:rsidRPr="00D4768C" w:rsidRDefault="00CD3DBD" w:rsidP="00C20D83">
            <w:pPr>
              <w:spacing w:before="20" w:after="20" w:line="256" w:lineRule="auto"/>
              <w:rPr>
                <w:rFonts w:asciiTheme="minorHAnsi" w:hAnsiTheme="minorHAnsi" w:cstheme="minorHAnsi"/>
                <w:sz w:val="28"/>
                <w:szCs w:val="28"/>
              </w:rPr>
            </w:pPr>
            <w:r w:rsidRPr="00D4768C">
              <w:rPr>
                <w:rFonts w:asciiTheme="minorHAnsi" w:hAnsiTheme="minorHAnsi" w:cstheme="minorHAnsi"/>
                <w:sz w:val="28"/>
                <w:szCs w:val="28"/>
              </w:rPr>
              <w:t>Telephone System Intelligence</w:t>
            </w:r>
          </w:p>
        </w:tc>
        <w:tc>
          <w:tcPr>
            <w:tcW w:w="9355" w:type="dxa"/>
            <w:gridSpan w:val="2"/>
            <w:tcBorders>
              <w:top w:val="single" w:sz="6" w:space="0" w:color="auto"/>
              <w:bottom w:val="single" w:sz="6" w:space="0" w:color="auto"/>
            </w:tcBorders>
          </w:tcPr>
          <w:p w14:paraId="011AB5E2" w14:textId="77777777" w:rsidR="00CD3DBD" w:rsidRDefault="00CD3DBD" w:rsidP="00C20D83">
            <w:pPr>
              <w:spacing w:before="20" w:after="20" w:line="256" w:lineRule="auto"/>
              <w:jc w:val="both"/>
              <w:rPr>
                <w:rFonts w:cstheme="minorHAnsi"/>
                <w:color w:val="0070C0"/>
                <w:sz w:val="28"/>
                <w:szCs w:val="28"/>
              </w:rPr>
            </w:pPr>
          </w:p>
          <w:p w14:paraId="78C0495C" w14:textId="77777777" w:rsidR="00CD3DBD" w:rsidRPr="00D4768C" w:rsidRDefault="00CD3DBD" w:rsidP="00C20D83">
            <w:pPr>
              <w:spacing w:before="20" w:after="20" w:line="256" w:lineRule="auto"/>
              <w:jc w:val="both"/>
              <w:rPr>
                <w:rFonts w:cstheme="minorHAnsi"/>
                <w:color w:val="0070C0"/>
                <w:sz w:val="28"/>
                <w:szCs w:val="28"/>
              </w:rPr>
            </w:pPr>
          </w:p>
        </w:tc>
      </w:tr>
    </w:tbl>
    <w:p w14:paraId="2663D224" w14:textId="77777777" w:rsidR="00CD3DBD" w:rsidRPr="00D4768C" w:rsidRDefault="00CD3DBD" w:rsidP="00CD3DBD">
      <w:pPr>
        <w:spacing w:line="256" w:lineRule="auto"/>
        <w:rPr>
          <w:rFonts w:cstheme="minorHAnsi"/>
          <w:sz w:val="10"/>
          <w:szCs w:val="10"/>
        </w:rPr>
      </w:pPr>
    </w:p>
    <w:p w14:paraId="5E817B81" w14:textId="77777777" w:rsidR="00CD3DBD" w:rsidRDefault="00CD3DBD" w:rsidP="00CD3DBD">
      <w:pPr>
        <w:spacing w:before="40" w:after="40"/>
        <w:rPr>
          <w:rFonts w:cstheme="minorHAnsi"/>
          <w:b/>
          <w:sz w:val="52"/>
          <w:szCs w:val="52"/>
        </w:rPr>
      </w:pPr>
    </w:p>
    <w:p w14:paraId="286BE832" w14:textId="77777777" w:rsidR="00CD3DBD" w:rsidRDefault="00CD3DBD"/>
    <w:sectPr w:rsidR="00CD3DBD" w:rsidSect="00CD3DBD">
      <w:pgSz w:w="16838" w:h="11906" w:orient="landscape"/>
      <w:pgMar w:top="426" w:right="678" w:bottom="284"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DBD"/>
    <w:rsid w:val="001D7E5C"/>
    <w:rsid w:val="00293BBE"/>
    <w:rsid w:val="002B1746"/>
    <w:rsid w:val="003E27E0"/>
    <w:rsid w:val="00586A05"/>
    <w:rsid w:val="00595FE6"/>
    <w:rsid w:val="006320F0"/>
    <w:rsid w:val="008E07E9"/>
    <w:rsid w:val="00B80704"/>
    <w:rsid w:val="00CD3D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50C80"/>
  <w15:chartTrackingRefBased/>
  <w15:docId w15:val="{CCFE9762-11AE-4443-9489-9A388A367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D3DBD"/>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D3DB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CD3DBD"/>
    <w:pPr>
      <w:spacing w:before="100"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hss.performance@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A44476438</value>
    </field>
    <field name="Objective-Title">
      <value order="0">NHS Performance Framework - 2023-2024 - Policy assurance Assessment - GMS Access - Reporting Template</value>
    </field>
    <field name="Objective-Description">
      <value order="0"/>
    </field>
    <field name="Objective-CreationStamp">
      <value order="0">2023-03-14T10:32:13Z</value>
    </field>
    <field name="Objective-IsApproved">
      <value order="0">false</value>
    </field>
    <field name="Objective-IsPublished">
      <value order="0">true</value>
    </field>
    <field name="Objective-DatePublished">
      <value order="0">2023-06-21T09:48:17Z</value>
    </field>
    <field name="Objective-ModificationStamp">
      <value order="0">2023-07-21T15:47:38Z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GMS Access</value>
    </field>
    <field name="Objective-Parent">
      <value order="0">NHS Performance Framework - Policy Assurance Assessment - GMS Access</value>
    </field>
    <field name="Objective-State">
      <value order="0">Published</value>
    </field>
    <field name="Objective-VersionId">
      <value order="0">vA86743868</value>
    </field>
    <field name="Objective-Version">
      <value order="0">2.0</value>
    </field>
    <field name="Objective-VersionNumber">
      <value order="0">7</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2023-03-14T00:00:00Z</value>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7c6d7bfe4f8213523afed0704c1000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4791860261b2fbdfc5d0c46405e0de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AutoTags" ma:index="18" nillable="true" ma:displayName="Tags" ma:internalName="MediaServiceAutoTags"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7E1CE164-C40A-4499-9399-D9551803DA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573235-50AC-404E-B8CD-A5103014E708}">
  <ds:schemaRefs>
    <ds:schemaRef ds:uri="http://schemas.microsoft.com/sharepoint/v3/contenttype/forms"/>
  </ds:schemaRefs>
</ds:datastoreItem>
</file>

<file path=customXml/itemProps4.xml><?xml version="1.0" encoding="utf-8"?>
<ds:datastoreItem xmlns:ds="http://schemas.openxmlformats.org/officeDocument/2006/customXml" ds:itemID="{42429019-9F63-4D1F-8113-059A99724F95}">
  <ds:schemaRefs>
    <ds:schemaRef ds:uri="http://purl.org/dc/dcmitype/"/>
    <ds:schemaRef ds:uri="http://schemas.microsoft.com/office/2006/documentManagement/types"/>
    <ds:schemaRef ds:uri="http://purl.org/dc/terms/"/>
    <ds:schemaRef ds:uri="http://schemas.microsoft.com/office/infopath/2007/PartnerControls"/>
    <ds:schemaRef ds:uri="http://purl.org/dc/elements/1.1/"/>
    <ds:schemaRef ds:uri="http://www.w3.org/XML/1998/namespace"/>
    <ds:schemaRef ds:uri="http://schemas.openxmlformats.org/package/2006/metadata/core-properties"/>
    <ds:schemaRef ds:uri="7e5078d1-72cf-43d1-b3ae-69933ea7ae29"/>
    <ds:schemaRef ds:uri="7f1e23f3-31d3-499f-875e-2157d9103bac"/>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630</Words>
  <Characters>3593</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4215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Sharon Miller (Swansea Bay UHB - Primary &amp; Community Services Unit)</cp:lastModifiedBy>
  <cp:revision>2</cp:revision>
  <dcterms:created xsi:type="dcterms:W3CDTF">2024-04-11T14:55:00Z</dcterms:created>
  <dcterms:modified xsi:type="dcterms:W3CDTF">2024-04-11T14:55:00Z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A44476438</vt:lpwstr>
  </property>
  <property fmtid="{D5CDD505-2E9C-101B-9397-08002B2CF9AE}" pid="4" name="Objective-Title">
    <vt:lpwstr>NHS Performance Framework - 2023-2024 - Policy assurance Assessment - GMS Access - Reporting Template</vt:lpwstr>
  </property>
  <property fmtid="{D5CDD505-2E9C-101B-9397-08002B2CF9AE}" pid="5" name="Objective-Description">
    <vt:lpwstr/>
  </property>
  <property fmtid="{D5CDD505-2E9C-101B-9397-08002B2CF9AE}" pid="6" name="Objective-CreationStamp">
    <vt:filetime>2023-03-14T10:32:13Z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2023-06-21T09:48:17Z</vt:filetime>
  </property>
  <property fmtid="{D5CDD505-2E9C-101B-9397-08002B2CF9AE}" pid="10" name="Objective-ModificationStamp">
    <vt:filetime>2023-07-21T15:47:38Z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GMS Access</vt:lpwstr>
  </property>
  <property fmtid="{D5CDD505-2E9C-101B-9397-08002B2CF9AE}" pid="14" name="Objective-State">
    <vt:lpwstr>Published</vt:lpwstr>
  </property>
  <property fmtid="{D5CDD505-2E9C-101B-9397-08002B2CF9AE}" pid="15" name="Objective-VersionId">
    <vt:lpwstr>vA86743868</vt:lpwstr>
  </property>
  <property fmtid="{D5CDD505-2E9C-101B-9397-08002B2CF9AE}" pid="16" name="Objective-Version">
    <vt:lpwstr>2.0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2023-03-14T00:00:00Z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0x0101006BB184E6D408124CA45B87FF80A05A6E</vt:lpwstr>
  </property>
</Properties>
</file>