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12B00" w:rsidRDefault="00E16910" w:rsidP="00712B00">
      <w:pPr>
        <w:ind w:right="93"/>
        <w:jc w:val="right"/>
        <w:rPr>
          <w:b/>
          <w:sz w:val="28"/>
          <w:szCs w:val="28"/>
        </w:rPr>
      </w:pPr>
      <w:r>
        <w:rPr>
          <w:b/>
          <w:sz w:val="28"/>
          <w:szCs w:val="28"/>
        </w:rPr>
        <w:t xml:space="preserve"> </w:t>
      </w:r>
    </w:p>
    <w:p w:rsidR="0067134B" w:rsidRDefault="0067134B" w:rsidP="0067134B">
      <w:pPr>
        <w:ind w:right="-757"/>
        <w:jc w:val="right"/>
        <w:rPr>
          <w:b/>
          <w:sz w:val="28"/>
          <w:szCs w:val="28"/>
        </w:rPr>
      </w:pPr>
      <w:r>
        <w:rPr>
          <w:b/>
          <w:sz w:val="28"/>
          <w:szCs w:val="28"/>
        </w:rPr>
        <w:t>Appendix 1</w:t>
      </w:r>
    </w:p>
    <w:p w:rsidR="0067134B" w:rsidRDefault="0067134B" w:rsidP="00FC31AD">
      <w:pPr>
        <w:ind w:right="-757"/>
        <w:jc w:val="center"/>
        <w:rPr>
          <w:b/>
          <w:sz w:val="28"/>
          <w:szCs w:val="28"/>
        </w:rPr>
      </w:pPr>
    </w:p>
    <w:p w:rsidR="007B3C4E" w:rsidRDefault="00D45FE7" w:rsidP="00FC31AD">
      <w:pPr>
        <w:ind w:right="-757"/>
        <w:jc w:val="center"/>
        <w:rPr>
          <w:b/>
          <w:sz w:val="28"/>
          <w:szCs w:val="28"/>
        </w:rPr>
      </w:pPr>
      <w:r w:rsidRPr="009566FB">
        <w:rPr>
          <w:b/>
          <w:sz w:val="28"/>
          <w:szCs w:val="28"/>
        </w:rPr>
        <w:t>Board</w:t>
      </w:r>
      <w:r w:rsidR="006D6854">
        <w:rPr>
          <w:b/>
          <w:sz w:val="28"/>
          <w:szCs w:val="28"/>
        </w:rPr>
        <w:t xml:space="preserve"> Effectiveness Action Plan 20</w:t>
      </w:r>
      <w:r w:rsidR="00AD508E">
        <w:rPr>
          <w:b/>
          <w:sz w:val="28"/>
          <w:szCs w:val="28"/>
        </w:rPr>
        <w:t>24</w:t>
      </w:r>
    </w:p>
    <w:p w:rsidR="00AD508E" w:rsidRDefault="00AD508E" w:rsidP="00FC31AD">
      <w:pPr>
        <w:ind w:right="-757"/>
        <w:jc w:val="center"/>
        <w:rPr>
          <w:b/>
          <w:sz w:val="28"/>
          <w:szCs w:val="28"/>
        </w:rPr>
      </w:pPr>
      <w:r>
        <w:rPr>
          <w:b/>
          <w:sz w:val="28"/>
          <w:szCs w:val="28"/>
        </w:rPr>
        <w:t>Performance &amp; Finance Committee</w:t>
      </w:r>
      <w:r w:rsidR="006D6854">
        <w:rPr>
          <w:b/>
          <w:sz w:val="28"/>
          <w:szCs w:val="28"/>
        </w:rPr>
        <w:t xml:space="preserve"> Extract</w:t>
      </w:r>
    </w:p>
    <w:p w:rsidR="00FC31AD" w:rsidRDefault="00FC31AD" w:rsidP="00FC31AD">
      <w:pPr>
        <w:ind w:right="-757"/>
        <w:jc w:val="center"/>
        <w:rPr>
          <w:b/>
        </w:rPr>
      </w:pPr>
    </w:p>
    <w:tbl>
      <w:tblPr>
        <w:tblStyle w:val="TableGrid"/>
        <w:tblW w:w="0" w:type="auto"/>
        <w:tblLook w:val="04A0" w:firstRow="1" w:lastRow="0" w:firstColumn="1" w:lastColumn="0" w:noHBand="0" w:noVBand="1"/>
      </w:tblPr>
      <w:tblGrid>
        <w:gridCol w:w="676"/>
        <w:gridCol w:w="1483"/>
        <w:gridCol w:w="3677"/>
        <w:gridCol w:w="4668"/>
        <w:gridCol w:w="1982"/>
        <w:gridCol w:w="8435"/>
      </w:tblGrid>
      <w:tr w:rsidR="00D94998" w:rsidRPr="00E62F86" w:rsidTr="003B69B2">
        <w:tc>
          <w:tcPr>
            <w:tcW w:w="20921" w:type="dxa"/>
            <w:gridSpan w:val="6"/>
          </w:tcPr>
          <w:p w:rsidR="00D94998" w:rsidRPr="00C332CD" w:rsidRDefault="009E3B80" w:rsidP="003B69B2">
            <w:pPr>
              <w:spacing w:before="60" w:after="60"/>
              <w:jc w:val="center"/>
              <w:rPr>
                <w:rFonts w:cs="Arial"/>
                <w:b/>
                <w:szCs w:val="24"/>
              </w:rPr>
            </w:pPr>
            <w:r w:rsidRPr="00C332CD">
              <w:rPr>
                <w:rFonts w:cs="Arial"/>
                <w:b/>
                <w:szCs w:val="24"/>
              </w:rPr>
              <w:t>Governance</w:t>
            </w:r>
          </w:p>
        </w:tc>
      </w:tr>
      <w:tr w:rsidR="00D94998" w:rsidRPr="00E62F86" w:rsidTr="00D94998">
        <w:trPr>
          <w:trHeight w:val="1159"/>
        </w:trPr>
        <w:tc>
          <w:tcPr>
            <w:tcW w:w="2159" w:type="dxa"/>
            <w:gridSpan w:val="2"/>
            <w:shd w:val="clear" w:color="auto" w:fill="DEEAF6" w:themeFill="accent1" w:themeFillTint="33"/>
          </w:tcPr>
          <w:p w:rsidR="00D94998" w:rsidRPr="00C332CD" w:rsidRDefault="00D94998" w:rsidP="003B69B2">
            <w:pPr>
              <w:ind w:right="-757"/>
              <w:rPr>
                <w:rFonts w:cs="Arial"/>
                <w:b/>
                <w:szCs w:val="24"/>
              </w:rPr>
            </w:pPr>
            <w:r w:rsidRPr="00C332CD">
              <w:rPr>
                <w:rFonts w:cs="Arial"/>
                <w:b/>
                <w:szCs w:val="24"/>
              </w:rPr>
              <w:t>Progress Level</w:t>
            </w:r>
            <w:r w:rsidR="009E3B80" w:rsidRPr="00C332CD">
              <w:rPr>
                <w:rFonts w:cs="Arial"/>
                <w:b/>
                <w:szCs w:val="24"/>
              </w:rPr>
              <w:t>:</w:t>
            </w:r>
          </w:p>
          <w:p w:rsidR="00D94998" w:rsidRPr="00C332CD" w:rsidRDefault="00D94998" w:rsidP="003B69B2">
            <w:pPr>
              <w:ind w:right="-757"/>
              <w:rPr>
                <w:rFonts w:cs="Arial"/>
                <w:b/>
                <w:szCs w:val="24"/>
              </w:rPr>
            </w:pPr>
            <w:r w:rsidRPr="00C332CD">
              <w:rPr>
                <w:rFonts w:cs="Arial"/>
                <w:b/>
                <w:szCs w:val="24"/>
              </w:rPr>
              <w:t xml:space="preserve">Maturity </w:t>
            </w:r>
          </w:p>
        </w:tc>
        <w:tc>
          <w:tcPr>
            <w:tcW w:w="18762" w:type="dxa"/>
            <w:gridSpan w:val="4"/>
            <w:shd w:val="clear" w:color="auto" w:fill="DEEAF6" w:themeFill="accent1" w:themeFillTint="33"/>
          </w:tcPr>
          <w:p w:rsidR="00D94998" w:rsidRPr="00C332CD" w:rsidRDefault="00D94998" w:rsidP="003B69B2">
            <w:pPr>
              <w:ind w:right="-757"/>
              <w:rPr>
                <w:rFonts w:cs="Arial"/>
                <w:b/>
                <w:szCs w:val="24"/>
              </w:rPr>
            </w:pPr>
            <w:r w:rsidRPr="00C332CD">
              <w:rPr>
                <w:rFonts w:cs="Arial"/>
                <w:b/>
                <w:szCs w:val="24"/>
              </w:rPr>
              <w:t>Criteria to Support this level</w:t>
            </w:r>
          </w:p>
          <w:p w:rsidR="00D94998" w:rsidRPr="00C332CD" w:rsidRDefault="00D94998" w:rsidP="00D94998">
            <w:pPr>
              <w:spacing w:before="40" w:after="40"/>
              <w:rPr>
                <w:rFonts w:cs="Arial"/>
                <w:szCs w:val="24"/>
              </w:rPr>
            </w:pPr>
            <w:r w:rsidRPr="00C332CD">
              <w:rPr>
                <w:rFonts w:cs="Arial"/>
                <w:szCs w:val="24"/>
              </w:rPr>
              <w:t xml:space="preserve">There are clear governance and assurance systems in place with performance (quality, resource, activity/outcomes) issues escalated appropriately through clear structures and processes. These structures and processes are regularly reviewed and improved, with cross directorate/locality organisational learning. </w:t>
            </w:r>
          </w:p>
          <w:p w:rsidR="00D94998" w:rsidRPr="00C332CD" w:rsidRDefault="00D94998" w:rsidP="00D94998">
            <w:pPr>
              <w:spacing w:before="40" w:after="40"/>
              <w:rPr>
                <w:rFonts w:cs="Arial"/>
                <w:szCs w:val="24"/>
              </w:rPr>
            </w:pPr>
            <w:r w:rsidRPr="00C332CD">
              <w:rPr>
                <w:rFonts w:cs="Arial"/>
                <w:szCs w:val="24"/>
              </w:rPr>
              <w:t xml:space="preserve">The health board has clear lines of accountability and responsibility for quality and patient safety from Board to division, groups, </w:t>
            </w:r>
            <w:proofErr w:type="gramStart"/>
            <w:r w:rsidRPr="00C332CD">
              <w:rPr>
                <w:rFonts w:cs="Arial"/>
                <w:szCs w:val="24"/>
              </w:rPr>
              <w:t>directorate</w:t>
            </w:r>
            <w:proofErr w:type="gramEnd"/>
            <w:r w:rsidRPr="00C332CD">
              <w:rPr>
                <w:rFonts w:cs="Arial"/>
                <w:szCs w:val="24"/>
              </w:rPr>
              <w:t>.</w:t>
            </w:r>
            <w:r w:rsidRPr="00C332CD">
              <w:rPr>
                <w:rFonts w:cs="Arial"/>
                <w:i/>
                <w:szCs w:val="24"/>
              </w:rPr>
              <w:t xml:space="preserve"> </w:t>
            </w:r>
            <w:r w:rsidRPr="00C332CD">
              <w:rPr>
                <w:rFonts w:cs="Arial"/>
                <w:szCs w:val="24"/>
              </w:rPr>
              <w:t xml:space="preserve">The form and function of the divisional/group/directorate quality and safety and governance groups are clearly defined and in place. Individual roles and responsibilities are supported by a clear meeting structure. </w:t>
            </w:r>
          </w:p>
          <w:p w:rsidR="00D94998" w:rsidRPr="00C332CD" w:rsidRDefault="00D94998" w:rsidP="003B69B2">
            <w:pPr>
              <w:spacing w:before="40" w:after="40"/>
              <w:rPr>
                <w:rFonts w:cs="Arial"/>
                <w:szCs w:val="24"/>
              </w:rPr>
            </w:pPr>
            <w:r w:rsidRPr="00C332CD">
              <w:rPr>
                <w:rFonts w:cs="Arial"/>
                <w:szCs w:val="24"/>
              </w:rPr>
              <w:t>Complaints and concerns are managed in a timely manner and drive learning and service planning.</w:t>
            </w:r>
          </w:p>
          <w:p w:rsidR="00D94998" w:rsidRPr="00C332CD" w:rsidRDefault="00D94998" w:rsidP="003B69B2">
            <w:pPr>
              <w:spacing w:before="40" w:after="40"/>
              <w:rPr>
                <w:rFonts w:cs="Arial"/>
                <w:szCs w:val="24"/>
              </w:rPr>
            </w:pPr>
            <w:r w:rsidRPr="00C332CD">
              <w:rPr>
                <w:rFonts w:cs="Arial"/>
                <w:szCs w:val="24"/>
              </w:rPr>
              <w:t>All serious incidents are identified, reported and investigated.</w:t>
            </w:r>
            <w:r w:rsidRPr="00C332CD">
              <w:rPr>
                <w:rFonts w:eastAsiaTheme="minorEastAsia" w:cs="Arial"/>
                <w:color w:val="002060"/>
                <w:szCs w:val="24"/>
              </w:rPr>
              <w:t xml:space="preserve"> </w:t>
            </w:r>
            <w:r w:rsidRPr="00C332CD">
              <w:rPr>
                <w:rFonts w:cs="Arial"/>
                <w:szCs w:val="24"/>
              </w:rPr>
              <w:t>A culture of staff reporting patient safety incidents for learning and improvement is embedded across the health board</w:t>
            </w:r>
          </w:p>
        </w:tc>
      </w:tr>
      <w:tr w:rsidR="00D94998" w:rsidRPr="00FB35E5" w:rsidTr="003B69B2">
        <w:tc>
          <w:tcPr>
            <w:tcW w:w="676" w:type="dxa"/>
            <w:shd w:val="clear" w:color="auto" w:fill="E7E6E6" w:themeFill="background2"/>
          </w:tcPr>
          <w:p w:rsidR="00D94998" w:rsidRPr="00C332CD" w:rsidRDefault="00D94998" w:rsidP="003B69B2">
            <w:pPr>
              <w:spacing w:before="60" w:after="60"/>
              <w:ind w:right="42"/>
              <w:jc w:val="center"/>
              <w:rPr>
                <w:rFonts w:cs="Arial"/>
                <w:b/>
                <w:sz w:val="22"/>
              </w:rPr>
            </w:pPr>
            <w:r w:rsidRPr="00C332CD">
              <w:rPr>
                <w:rFonts w:cs="Arial"/>
                <w:b/>
                <w:sz w:val="22"/>
              </w:rPr>
              <w:t>No</w:t>
            </w:r>
          </w:p>
        </w:tc>
        <w:tc>
          <w:tcPr>
            <w:tcW w:w="5160" w:type="dxa"/>
            <w:gridSpan w:val="2"/>
            <w:shd w:val="clear" w:color="auto" w:fill="E7E6E6" w:themeFill="background2"/>
          </w:tcPr>
          <w:p w:rsidR="00D94998" w:rsidRPr="00C332CD" w:rsidRDefault="00D94998" w:rsidP="003B69B2">
            <w:pPr>
              <w:spacing w:before="60" w:after="60"/>
              <w:ind w:right="42"/>
              <w:jc w:val="center"/>
              <w:rPr>
                <w:rFonts w:cs="Arial"/>
                <w:b/>
                <w:sz w:val="22"/>
              </w:rPr>
            </w:pPr>
            <w:r w:rsidRPr="00C332CD">
              <w:rPr>
                <w:rFonts w:cs="Arial"/>
                <w:b/>
                <w:sz w:val="22"/>
              </w:rPr>
              <w:t>Recommendation</w:t>
            </w:r>
          </w:p>
        </w:tc>
        <w:tc>
          <w:tcPr>
            <w:tcW w:w="4668" w:type="dxa"/>
            <w:shd w:val="clear" w:color="auto" w:fill="E7E6E6" w:themeFill="background2"/>
          </w:tcPr>
          <w:p w:rsidR="00D94998" w:rsidRPr="00C332CD" w:rsidRDefault="00D94998" w:rsidP="003B69B2">
            <w:pPr>
              <w:spacing w:before="60" w:after="60"/>
              <w:ind w:right="42"/>
              <w:jc w:val="center"/>
              <w:rPr>
                <w:rFonts w:cs="Arial"/>
                <w:b/>
                <w:sz w:val="22"/>
              </w:rPr>
            </w:pPr>
            <w:r w:rsidRPr="00C332CD">
              <w:rPr>
                <w:rFonts w:cs="Arial"/>
                <w:b/>
                <w:sz w:val="22"/>
              </w:rPr>
              <w:t>Action</w:t>
            </w:r>
          </w:p>
        </w:tc>
        <w:tc>
          <w:tcPr>
            <w:tcW w:w="1982" w:type="dxa"/>
            <w:shd w:val="clear" w:color="auto" w:fill="E7E6E6" w:themeFill="background2"/>
          </w:tcPr>
          <w:p w:rsidR="00D94998" w:rsidRPr="00C332CD" w:rsidRDefault="00D94998" w:rsidP="003B69B2">
            <w:pPr>
              <w:spacing w:before="60" w:after="60"/>
              <w:ind w:right="37"/>
              <w:jc w:val="center"/>
              <w:rPr>
                <w:rFonts w:cs="Arial"/>
                <w:b/>
                <w:sz w:val="22"/>
              </w:rPr>
            </w:pPr>
            <w:r w:rsidRPr="00C332CD">
              <w:rPr>
                <w:rFonts w:cs="Arial"/>
                <w:b/>
                <w:sz w:val="22"/>
              </w:rPr>
              <w:t>Lead Comm.</w:t>
            </w:r>
          </w:p>
          <w:p w:rsidR="00D94998" w:rsidRPr="00C332CD" w:rsidRDefault="00D94998" w:rsidP="003B69B2">
            <w:pPr>
              <w:spacing w:before="60" w:after="60"/>
              <w:ind w:right="37"/>
              <w:jc w:val="center"/>
              <w:rPr>
                <w:rFonts w:cs="Arial"/>
                <w:b/>
                <w:sz w:val="22"/>
              </w:rPr>
            </w:pPr>
            <w:r w:rsidRPr="00C332CD">
              <w:rPr>
                <w:rFonts w:cs="Arial"/>
                <w:b/>
                <w:sz w:val="22"/>
              </w:rPr>
              <w:t xml:space="preserve"> Lead Exec(s)</w:t>
            </w:r>
          </w:p>
          <w:p w:rsidR="00D94998" w:rsidRPr="00C332CD" w:rsidRDefault="00D94998" w:rsidP="003B69B2">
            <w:pPr>
              <w:spacing w:before="60" w:after="60"/>
              <w:ind w:right="37"/>
              <w:jc w:val="center"/>
              <w:rPr>
                <w:rFonts w:cs="Arial"/>
                <w:b/>
                <w:sz w:val="22"/>
              </w:rPr>
            </w:pPr>
            <w:r w:rsidRPr="00C332CD">
              <w:rPr>
                <w:rFonts w:cs="Arial"/>
                <w:b/>
                <w:sz w:val="22"/>
              </w:rPr>
              <w:t>Target Date</w:t>
            </w:r>
          </w:p>
        </w:tc>
        <w:tc>
          <w:tcPr>
            <w:tcW w:w="8435" w:type="dxa"/>
            <w:shd w:val="clear" w:color="auto" w:fill="E7E6E6" w:themeFill="background2"/>
          </w:tcPr>
          <w:p w:rsidR="00D94998" w:rsidRPr="00C332CD" w:rsidRDefault="00D94998" w:rsidP="003B69B2">
            <w:pPr>
              <w:spacing w:before="60" w:after="60"/>
              <w:jc w:val="center"/>
              <w:rPr>
                <w:rFonts w:cs="Arial"/>
                <w:b/>
                <w:sz w:val="22"/>
              </w:rPr>
            </w:pPr>
            <w:r w:rsidRPr="00C332CD">
              <w:rPr>
                <w:rFonts w:cs="Arial"/>
                <w:b/>
                <w:sz w:val="22"/>
              </w:rPr>
              <w:t>Progress/Status</w:t>
            </w:r>
          </w:p>
        </w:tc>
      </w:tr>
      <w:tr w:rsidR="002666AF" w:rsidRPr="00FB35E5" w:rsidTr="008635F1">
        <w:tc>
          <w:tcPr>
            <w:tcW w:w="676" w:type="dxa"/>
            <w:shd w:val="clear" w:color="auto" w:fill="auto"/>
          </w:tcPr>
          <w:p w:rsidR="002666AF" w:rsidRPr="00C332CD" w:rsidRDefault="002666AF" w:rsidP="002666AF">
            <w:pPr>
              <w:spacing w:before="40" w:after="40"/>
              <w:jc w:val="center"/>
              <w:rPr>
                <w:rFonts w:cs="Arial"/>
                <w:b/>
                <w:sz w:val="22"/>
              </w:rPr>
            </w:pPr>
            <w:r w:rsidRPr="00C332CD">
              <w:rPr>
                <w:rFonts w:cs="Arial"/>
                <w:b/>
                <w:sz w:val="22"/>
              </w:rPr>
              <w:t>16</w:t>
            </w:r>
          </w:p>
          <w:p w:rsidR="002666AF" w:rsidRPr="00E40C9B" w:rsidRDefault="002666AF" w:rsidP="002666AF">
            <w:pPr>
              <w:spacing w:before="40" w:after="40"/>
              <w:jc w:val="center"/>
              <w:rPr>
                <w:rFonts w:cs="Arial"/>
                <w:b/>
                <w:sz w:val="22"/>
              </w:rPr>
            </w:pPr>
          </w:p>
        </w:tc>
        <w:tc>
          <w:tcPr>
            <w:tcW w:w="5160" w:type="dxa"/>
            <w:gridSpan w:val="2"/>
            <w:shd w:val="clear" w:color="auto" w:fill="auto"/>
          </w:tcPr>
          <w:p w:rsidR="002666AF" w:rsidRPr="00C332CD" w:rsidRDefault="00A72D59" w:rsidP="002666AF">
            <w:pPr>
              <w:spacing w:before="40" w:after="40"/>
              <w:ind w:left="103"/>
              <w:rPr>
                <w:rFonts w:cs="Arial"/>
                <w:sz w:val="22"/>
              </w:rPr>
            </w:pPr>
            <w:r w:rsidRPr="00A72D59">
              <w:rPr>
                <w:rFonts w:cs="Arial"/>
                <w:sz w:val="22"/>
              </w:rPr>
              <w:t>There are no mechanisms in place to monitor the delivery of the Population Health and Estates Strategies. The Health Board should put mechanisms in place to monitor delivery of these strategies, and report prog</w:t>
            </w:r>
            <w:r w:rsidR="00AD508E">
              <w:rPr>
                <w:rFonts w:cs="Arial"/>
                <w:sz w:val="22"/>
              </w:rPr>
              <w:t xml:space="preserve">ress to the relevant </w:t>
            </w:r>
            <w:r w:rsidR="00AC69B6">
              <w:rPr>
                <w:rFonts w:cs="Arial"/>
                <w:sz w:val="22"/>
              </w:rPr>
              <w:t xml:space="preserve">committee </w:t>
            </w:r>
            <w:proofErr w:type="spellStart"/>
            <w:r w:rsidR="00AC69B6" w:rsidRPr="00AC69B6">
              <w:rPr>
                <w:rFonts w:cs="Arial"/>
                <w:b/>
                <w:color w:val="00B0F0"/>
                <w:sz w:val="22"/>
              </w:rPr>
              <w:t>S8</w:t>
            </w:r>
            <w:proofErr w:type="spellEnd"/>
          </w:p>
        </w:tc>
        <w:tc>
          <w:tcPr>
            <w:tcW w:w="4668" w:type="dxa"/>
            <w:shd w:val="clear" w:color="auto" w:fill="auto"/>
          </w:tcPr>
          <w:p w:rsidR="002666AF" w:rsidRPr="00A72D59" w:rsidRDefault="00A72D59" w:rsidP="00A72D59">
            <w:pPr>
              <w:spacing w:before="40" w:after="40"/>
              <w:ind w:left="103"/>
              <w:rPr>
                <w:rFonts w:cs="Arial"/>
                <w:sz w:val="22"/>
              </w:rPr>
            </w:pPr>
            <w:r w:rsidRPr="00A72D59">
              <w:rPr>
                <w:rFonts w:cs="Arial"/>
                <w:sz w:val="22"/>
                <w:lang w:val="en-US"/>
              </w:rPr>
              <w:t>Board and Committee work programmes to be updated to receive progress against the Estates Strategy quarterly to the Performance &amp; Finance</w:t>
            </w:r>
            <w:r>
              <w:rPr>
                <w:rFonts w:cs="Arial"/>
                <w:sz w:val="22"/>
                <w:lang w:val="en-US"/>
              </w:rPr>
              <w:t xml:space="preserve"> </w:t>
            </w:r>
            <w:r w:rsidRPr="00A72D59">
              <w:rPr>
                <w:rFonts w:cs="Arial"/>
                <w:sz w:val="22"/>
                <w:lang w:val="en-US"/>
              </w:rPr>
              <w:t>Committee. Progress against the Population Health Strategy to be reported quarterly to the Population Health &amp;</w:t>
            </w:r>
            <w:r>
              <w:rPr>
                <w:rFonts w:cs="Arial"/>
                <w:sz w:val="22"/>
                <w:lang w:val="en-US"/>
              </w:rPr>
              <w:t xml:space="preserve"> </w:t>
            </w:r>
            <w:r w:rsidRPr="00A72D59">
              <w:rPr>
                <w:rFonts w:cs="Arial"/>
                <w:sz w:val="22"/>
              </w:rPr>
              <w:t>Partnerships Committee. In addition, six-monthly</w:t>
            </w:r>
            <w:r>
              <w:rPr>
                <w:rFonts w:cs="Arial"/>
                <w:sz w:val="22"/>
              </w:rPr>
              <w:t xml:space="preserve"> </w:t>
            </w:r>
            <w:r w:rsidRPr="00A72D59">
              <w:rPr>
                <w:rFonts w:cs="Arial"/>
                <w:sz w:val="22"/>
              </w:rPr>
              <w:t>progress reports on both strategies will be provided to the Board.</w:t>
            </w:r>
          </w:p>
        </w:tc>
        <w:tc>
          <w:tcPr>
            <w:tcW w:w="1982" w:type="dxa"/>
            <w:shd w:val="clear" w:color="auto" w:fill="auto"/>
            <w:vAlign w:val="center"/>
          </w:tcPr>
          <w:p w:rsidR="002666AF" w:rsidRPr="00C332CD" w:rsidRDefault="002666AF" w:rsidP="002666AF">
            <w:pPr>
              <w:spacing w:before="40" w:after="40"/>
              <w:jc w:val="center"/>
              <w:rPr>
                <w:rFonts w:cs="Arial"/>
                <w:sz w:val="22"/>
              </w:rPr>
            </w:pPr>
            <w:r w:rsidRPr="00C332CD">
              <w:rPr>
                <w:rFonts w:cs="Arial"/>
                <w:sz w:val="22"/>
              </w:rPr>
              <w:t>P&amp;F Comm.</w:t>
            </w:r>
          </w:p>
          <w:p w:rsidR="002666AF" w:rsidRPr="00C332CD" w:rsidRDefault="002666AF" w:rsidP="002666AF">
            <w:pPr>
              <w:spacing w:before="40" w:after="40"/>
              <w:jc w:val="center"/>
              <w:rPr>
                <w:rFonts w:cs="Arial"/>
                <w:sz w:val="22"/>
              </w:rPr>
            </w:pPr>
            <w:r w:rsidRPr="00C332CD">
              <w:rPr>
                <w:rFonts w:cs="Arial"/>
                <w:sz w:val="22"/>
              </w:rPr>
              <w:t>PH&amp;P Comm.</w:t>
            </w:r>
          </w:p>
          <w:p w:rsidR="002666AF" w:rsidRPr="00C332CD" w:rsidRDefault="002666AF" w:rsidP="002666AF">
            <w:pPr>
              <w:spacing w:before="40" w:after="40"/>
              <w:jc w:val="center"/>
              <w:rPr>
                <w:rFonts w:cs="Arial"/>
                <w:sz w:val="22"/>
              </w:rPr>
            </w:pPr>
          </w:p>
          <w:p w:rsidR="002666AF" w:rsidRPr="00C332CD" w:rsidRDefault="002666AF" w:rsidP="002666AF">
            <w:pPr>
              <w:spacing w:before="40" w:after="40"/>
              <w:jc w:val="center"/>
              <w:rPr>
                <w:rFonts w:cs="Arial"/>
                <w:sz w:val="22"/>
              </w:rPr>
            </w:pPr>
            <w:r w:rsidRPr="00C332CD">
              <w:rPr>
                <w:rFonts w:cs="Arial"/>
                <w:sz w:val="22"/>
              </w:rPr>
              <w:t>Dir of Corp Gov.</w:t>
            </w:r>
          </w:p>
          <w:p w:rsidR="002666AF" w:rsidRPr="00C332CD" w:rsidRDefault="002666AF" w:rsidP="002666AF">
            <w:pPr>
              <w:spacing w:before="40" w:after="40"/>
              <w:jc w:val="center"/>
              <w:rPr>
                <w:rFonts w:cs="Arial"/>
                <w:sz w:val="22"/>
              </w:rPr>
            </w:pPr>
          </w:p>
          <w:p w:rsidR="002666AF" w:rsidRPr="00C332CD" w:rsidRDefault="00EB17F2" w:rsidP="002666AF">
            <w:pPr>
              <w:spacing w:before="40" w:after="40"/>
              <w:jc w:val="center"/>
              <w:rPr>
                <w:rFonts w:cs="Arial"/>
                <w:sz w:val="22"/>
              </w:rPr>
            </w:pPr>
            <w:r>
              <w:rPr>
                <w:rFonts w:cs="Arial"/>
                <w:sz w:val="22"/>
              </w:rPr>
              <w:t>March</w:t>
            </w:r>
            <w:r w:rsidR="002666AF" w:rsidRPr="00C332CD">
              <w:rPr>
                <w:rFonts w:cs="Arial"/>
                <w:sz w:val="22"/>
              </w:rPr>
              <w:t xml:space="preserve"> 2024</w:t>
            </w:r>
          </w:p>
        </w:tc>
        <w:tc>
          <w:tcPr>
            <w:tcW w:w="8435" w:type="dxa"/>
            <w:shd w:val="clear" w:color="auto" w:fill="C5E0B3" w:themeFill="accent6" w:themeFillTint="66"/>
            <w:vAlign w:val="center"/>
          </w:tcPr>
          <w:p w:rsidR="002666AF" w:rsidRDefault="00EB17F2" w:rsidP="00EB17F2">
            <w:pPr>
              <w:ind w:right="-14"/>
              <w:jc w:val="both"/>
              <w:rPr>
                <w:rFonts w:cs="Arial"/>
                <w:sz w:val="22"/>
              </w:rPr>
            </w:pPr>
            <w:r>
              <w:rPr>
                <w:rFonts w:cs="Arial"/>
                <w:b/>
                <w:sz w:val="22"/>
              </w:rPr>
              <w:t xml:space="preserve">February 2024: </w:t>
            </w:r>
            <w:r>
              <w:rPr>
                <w:rFonts w:cs="Arial"/>
                <w:sz w:val="22"/>
              </w:rPr>
              <w:t>To be reported to March Board in Director of Corporate Governance report.</w:t>
            </w:r>
          </w:p>
          <w:p w:rsidR="005F1C3E" w:rsidRDefault="005F1C3E" w:rsidP="00EB17F2">
            <w:pPr>
              <w:ind w:right="-14"/>
              <w:jc w:val="both"/>
              <w:rPr>
                <w:rFonts w:cs="Arial"/>
                <w:sz w:val="22"/>
              </w:rPr>
            </w:pPr>
          </w:p>
          <w:p w:rsidR="005F1C3E" w:rsidRPr="005F1C3E" w:rsidRDefault="005F1C3E" w:rsidP="00B42A4C">
            <w:pPr>
              <w:ind w:right="-14"/>
              <w:jc w:val="both"/>
              <w:rPr>
                <w:rFonts w:cs="Arial"/>
                <w:b/>
                <w:sz w:val="22"/>
              </w:rPr>
            </w:pPr>
            <w:r w:rsidRPr="005F1C3E">
              <w:rPr>
                <w:rFonts w:cs="Arial"/>
                <w:b/>
                <w:sz w:val="22"/>
              </w:rPr>
              <w:t>June 2024:</w:t>
            </w:r>
            <w:r w:rsidRPr="00B42A4C">
              <w:rPr>
                <w:rFonts w:cs="Arial"/>
                <w:sz w:val="22"/>
              </w:rPr>
              <w:t xml:space="preserve"> The work programme for the Performance &amp; Finance Committee reflects the fact that a report on the Estates Strategy will be receive</w:t>
            </w:r>
            <w:r w:rsidR="00084224">
              <w:rPr>
                <w:rFonts w:cs="Arial"/>
                <w:sz w:val="22"/>
              </w:rPr>
              <w:t>d</w:t>
            </w:r>
            <w:r w:rsidRPr="00B42A4C">
              <w:rPr>
                <w:rFonts w:cs="Arial"/>
                <w:sz w:val="22"/>
              </w:rPr>
              <w:t xml:space="preserve"> at three meetings during 2024/25. The work programme for the Population Health &amp; Partnerships Committee reflects the fact that a report on the Population Health Strategy will </w:t>
            </w:r>
            <w:r w:rsidR="00B42A4C" w:rsidRPr="00B42A4C">
              <w:rPr>
                <w:rFonts w:cs="Arial"/>
                <w:sz w:val="22"/>
              </w:rPr>
              <w:t>be received at one meeting during 2024/45 (October 2024).</w:t>
            </w:r>
            <w:r w:rsidR="008635F1">
              <w:rPr>
                <w:rFonts w:cs="Arial"/>
                <w:sz w:val="22"/>
              </w:rPr>
              <w:t>A review of both strategies has also been included in the 2024/25 Board Business Cycle.</w:t>
            </w:r>
          </w:p>
        </w:tc>
      </w:tr>
      <w:tr w:rsidR="00CD17ED" w:rsidRPr="00FB35E5" w:rsidTr="00676634">
        <w:tc>
          <w:tcPr>
            <w:tcW w:w="676" w:type="dxa"/>
            <w:shd w:val="clear" w:color="auto" w:fill="auto"/>
          </w:tcPr>
          <w:p w:rsidR="00CD17ED" w:rsidRDefault="00191A7B" w:rsidP="00CD17ED">
            <w:pPr>
              <w:spacing w:before="40" w:after="40"/>
              <w:jc w:val="center"/>
              <w:rPr>
                <w:rFonts w:cs="Arial"/>
                <w:b/>
                <w:sz w:val="22"/>
              </w:rPr>
            </w:pPr>
            <w:r>
              <w:rPr>
                <w:rFonts w:cs="Arial"/>
                <w:b/>
                <w:sz w:val="22"/>
              </w:rPr>
              <w:t>21</w:t>
            </w:r>
          </w:p>
          <w:p w:rsidR="00CD17ED" w:rsidRPr="00C332CD" w:rsidRDefault="00CD17ED" w:rsidP="00CD17ED">
            <w:pPr>
              <w:spacing w:before="40" w:after="40"/>
              <w:jc w:val="center"/>
              <w:rPr>
                <w:rFonts w:cs="Arial"/>
                <w:b/>
                <w:sz w:val="22"/>
              </w:rPr>
            </w:pPr>
          </w:p>
        </w:tc>
        <w:tc>
          <w:tcPr>
            <w:tcW w:w="5160" w:type="dxa"/>
            <w:gridSpan w:val="2"/>
            <w:shd w:val="clear" w:color="auto" w:fill="auto"/>
          </w:tcPr>
          <w:p w:rsidR="00CD17ED" w:rsidRPr="00C332CD" w:rsidRDefault="00CD17ED" w:rsidP="00CD17ED">
            <w:pPr>
              <w:spacing w:before="40" w:after="40"/>
              <w:ind w:left="103"/>
              <w:rPr>
                <w:rFonts w:cs="Arial"/>
                <w:sz w:val="22"/>
              </w:rPr>
            </w:pPr>
            <w:r w:rsidRPr="00CD17ED">
              <w:rPr>
                <w:rFonts w:cs="Arial"/>
                <w:sz w:val="22"/>
              </w:rPr>
              <w:t xml:space="preserve">Despite the financial challenges facing the Health Board, two accountability letters are yet to be signed. The Health Board should ensure that all accountability </w:t>
            </w:r>
            <w:r w:rsidR="00DB3C40">
              <w:rPr>
                <w:rFonts w:cs="Arial"/>
                <w:sz w:val="22"/>
              </w:rPr>
              <w:t xml:space="preserve">letters for 2023-24 are signed </w:t>
            </w:r>
            <w:proofErr w:type="spellStart"/>
            <w:r w:rsidR="00DB3C40" w:rsidRPr="00DB3C40">
              <w:rPr>
                <w:rFonts w:cs="Arial"/>
                <w:b/>
                <w:color w:val="00B0F0"/>
                <w:sz w:val="22"/>
              </w:rPr>
              <w:t>S9</w:t>
            </w:r>
            <w:proofErr w:type="spellEnd"/>
          </w:p>
        </w:tc>
        <w:tc>
          <w:tcPr>
            <w:tcW w:w="4668" w:type="dxa"/>
            <w:shd w:val="clear" w:color="auto" w:fill="auto"/>
          </w:tcPr>
          <w:p w:rsidR="00CD17ED" w:rsidRPr="00C332CD" w:rsidRDefault="00CD17ED" w:rsidP="00CD17ED">
            <w:pPr>
              <w:spacing w:before="40" w:after="40"/>
              <w:ind w:left="103"/>
              <w:rPr>
                <w:rFonts w:cs="Arial"/>
                <w:sz w:val="22"/>
              </w:rPr>
            </w:pPr>
            <w:r w:rsidRPr="00CD17ED">
              <w:rPr>
                <w:rFonts w:cs="Arial"/>
                <w:sz w:val="22"/>
              </w:rPr>
              <w:t>This will be resolved by 30th November 2023 and a more robust system implemented for 2024-25 to take forward the learning from this year.</w:t>
            </w:r>
          </w:p>
        </w:tc>
        <w:tc>
          <w:tcPr>
            <w:tcW w:w="1982" w:type="dxa"/>
            <w:shd w:val="clear" w:color="auto" w:fill="auto"/>
            <w:vAlign w:val="center"/>
          </w:tcPr>
          <w:p w:rsidR="00CD17ED" w:rsidRPr="00C332CD" w:rsidRDefault="00CD17ED" w:rsidP="00CD17ED">
            <w:pPr>
              <w:spacing w:before="40" w:after="40"/>
              <w:jc w:val="center"/>
              <w:rPr>
                <w:rFonts w:cs="Arial"/>
                <w:sz w:val="22"/>
              </w:rPr>
            </w:pPr>
            <w:r w:rsidRPr="00C332CD">
              <w:rPr>
                <w:rFonts w:cs="Arial"/>
                <w:sz w:val="22"/>
              </w:rPr>
              <w:t>P&amp;F Comm.</w:t>
            </w:r>
          </w:p>
          <w:p w:rsidR="00CD17ED" w:rsidRPr="00C332CD" w:rsidRDefault="00CD17ED" w:rsidP="00CD17ED">
            <w:pPr>
              <w:spacing w:before="40" w:after="40"/>
              <w:jc w:val="center"/>
              <w:rPr>
                <w:rFonts w:cs="Arial"/>
                <w:sz w:val="22"/>
              </w:rPr>
            </w:pPr>
          </w:p>
          <w:p w:rsidR="00CD17ED" w:rsidRPr="00C332CD" w:rsidRDefault="00CD17ED" w:rsidP="00CD17ED">
            <w:pPr>
              <w:spacing w:before="40" w:after="40"/>
              <w:jc w:val="center"/>
              <w:rPr>
                <w:rFonts w:cs="Arial"/>
                <w:sz w:val="22"/>
              </w:rPr>
            </w:pPr>
            <w:r w:rsidRPr="00C332CD">
              <w:rPr>
                <w:rFonts w:cs="Arial"/>
                <w:sz w:val="22"/>
              </w:rPr>
              <w:t>Dir of Fin &amp; Perf.</w:t>
            </w:r>
          </w:p>
          <w:p w:rsidR="00CD17ED" w:rsidRPr="00C332CD" w:rsidRDefault="00CD17ED" w:rsidP="00CD17ED">
            <w:pPr>
              <w:spacing w:before="40" w:after="40"/>
              <w:jc w:val="center"/>
              <w:rPr>
                <w:rFonts w:cs="Arial"/>
                <w:sz w:val="22"/>
              </w:rPr>
            </w:pPr>
          </w:p>
          <w:p w:rsidR="00CD17ED" w:rsidRPr="00C332CD" w:rsidRDefault="00CD17ED" w:rsidP="00CD17ED">
            <w:pPr>
              <w:spacing w:before="40" w:after="40"/>
              <w:jc w:val="center"/>
              <w:rPr>
                <w:rFonts w:cs="Arial"/>
                <w:sz w:val="22"/>
              </w:rPr>
            </w:pPr>
            <w:r>
              <w:rPr>
                <w:rFonts w:cs="Arial"/>
                <w:sz w:val="22"/>
              </w:rPr>
              <w:t>December</w:t>
            </w:r>
            <w:r w:rsidRPr="00C332CD">
              <w:rPr>
                <w:rFonts w:cs="Arial"/>
                <w:sz w:val="22"/>
              </w:rPr>
              <w:t xml:space="preserve"> 2023</w:t>
            </w:r>
          </w:p>
        </w:tc>
        <w:tc>
          <w:tcPr>
            <w:tcW w:w="8435" w:type="dxa"/>
            <w:shd w:val="clear" w:color="auto" w:fill="C5E0B3" w:themeFill="accent6" w:themeFillTint="66"/>
            <w:vAlign w:val="center"/>
          </w:tcPr>
          <w:p w:rsidR="00CD17ED" w:rsidRPr="004340E9" w:rsidRDefault="00CD17ED" w:rsidP="00CD17ED">
            <w:pPr>
              <w:ind w:right="-757"/>
              <w:jc w:val="both"/>
              <w:rPr>
                <w:rFonts w:cs="Arial"/>
                <w:sz w:val="22"/>
              </w:rPr>
            </w:pPr>
            <w:r>
              <w:rPr>
                <w:rFonts w:cs="Arial"/>
                <w:b/>
                <w:sz w:val="22"/>
              </w:rPr>
              <w:t xml:space="preserve">February 2024: </w:t>
            </w:r>
            <w:r>
              <w:rPr>
                <w:rFonts w:cs="Arial"/>
                <w:sz w:val="22"/>
              </w:rPr>
              <w:t>Complete.</w:t>
            </w:r>
          </w:p>
        </w:tc>
      </w:tr>
    </w:tbl>
    <w:p w:rsidR="00316C64" w:rsidRDefault="00316C64" w:rsidP="00D45FE7">
      <w:pPr>
        <w:jc w:val="center"/>
      </w:pPr>
    </w:p>
    <w:p w:rsidR="00E1320E" w:rsidRDefault="00E1320E" w:rsidP="00D45FE7">
      <w:pPr>
        <w:jc w:val="center"/>
      </w:pPr>
    </w:p>
    <w:p w:rsidR="00E1320E" w:rsidRDefault="00E1320E" w:rsidP="00D45FE7">
      <w:pPr>
        <w:jc w:val="center"/>
      </w:pPr>
    </w:p>
    <w:p w:rsidR="00696889" w:rsidRDefault="00696889" w:rsidP="00D45FE7">
      <w:pPr>
        <w:jc w:val="center"/>
      </w:pPr>
    </w:p>
    <w:p w:rsidR="00696889" w:rsidRDefault="00696889" w:rsidP="00D45FE7">
      <w:pPr>
        <w:jc w:val="center"/>
      </w:pPr>
    </w:p>
    <w:p w:rsidR="00316C64" w:rsidRDefault="00316C64" w:rsidP="00D45FE7">
      <w:pPr>
        <w:jc w:val="center"/>
      </w:pPr>
    </w:p>
    <w:p w:rsidR="00316C64" w:rsidRDefault="00316C64" w:rsidP="00D45FE7">
      <w:pPr>
        <w:jc w:val="center"/>
      </w:pPr>
    </w:p>
    <w:p w:rsidR="00316C64" w:rsidRDefault="00316C64" w:rsidP="00D45FE7">
      <w:pPr>
        <w:jc w:val="center"/>
      </w:pPr>
    </w:p>
    <w:p w:rsidR="009B2123" w:rsidRDefault="009B2123" w:rsidP="00D45FE7">
      <w:pPr>
        <w:jc w:val="center"/>
      </w:pPr>
    </w:p>
    <w:p w:rsidR="009B2123" w:rsidRDefault="009B2123" w:rsidP="00D45FE7">
      <w:pPr>
        <w:jc w:val="center"/>
      </w:pPr>
    </w:p>
    <w:p w:rsidR="00DB08E1" w:rsidRDefault="00DB08E1" w:rsidP="00D45FE7">
      <w:pPr>
        <w:jc w:val="center"/>
      </w:pPr>
    </w:p>
    <w:p w:rsidR="00DB08E1" w:rsidRDefault="00DB08E1" w:rsidP="00D45FE7">
      <w:pPr>
        <w:jc w:val="center"/>
      </w:pPr>
    </w:p>
    <w:p w:rsidR="00DB08E1" w:rsidRDefault="00DB08E1" w:rsidP="00D45FE7">
      <w:pPr>
        <w:jc w:val="center"/>
      </w:pPr>
    </w:p>
    <w:tbl>
      <w:tblPr>
        <w:tblStyle w:val="TableGrid"/>
        <w:tblW w:w="0" w:type="auto"/>
        <w:tblLook w:val="04A0" w:firstRow="1" w:lastRow="0" w:firstColumn="1" w:lastColumn="0" w:noHBand="0" w:noVBand="1"/>
      </w:tblPr>
      <w:tblGrid>
        <w:gridCol w:w="579"/>
        <w:gridCol w:w="1543"/>
        <w:gridCol w:w="2835"/>
        <w:gridCol w:w="4394"/>
        <w:gridCol w:w="2126"/>
        <w:gridCol w:w="9444"/>
      </w:tblGrid>
      <w:tr w:rsidR="009F7794" w:rsidRPr="00FB35E5" w:rsidTr="003B69B2">
        <w:tc>
          <w:tcPr>
            <w:tcW w:w="20921" w:type="dxa"/>
            <w:gridSpan w:val="6"/>
          </w:tcPr>
          <w:p w:rsidR="009F7794" w:rsidRPr="00095131" w:rsidRDefault="009F7794" w:rsidP="003B69B2">
            <w:pPr>
              <w:spacing w:before="60" w:after="60"/>
              <w:jc w:val="center"/>
              <w:rPr>
                <w:rFonts w:cs="Arial"/>
                <w:b/>
                <w:szCs w:val="24"/>
              </w:rPr>
            </w:pPr>
            <w:r w:rsidRPr="00095131">
              <w:rPr>
                <w:rFonts w:cs="Arial"/>
                <w:b/>
                <w:szCs w:val="24"/>
              </w:rPr>
              <w:lastRenderedPageBreak/>
              <w:t>Money / Value for Money</w:t>
            </w:r>
          </w:p>
        </w:tc>
      </w:tr>
      <w:tr w:rsidR="009F7794" w:rsidRPr="00FB35E5" w:rsidTr="003B69B2">
        <w:trPr>
          <w:trHeight w:val="70"/>
        </w:trPr>
        <w:tc>
          <w:tcPr>
            <w:tcW w:w="2122" w:type="dxa"/>
            <w:gridSpan w:val="2"/>
            <w:shd w:val="clear" w:color="auto" w:fill="DEEAF6" w:themeFill="accent1" w:themeFillTint="33"/>
          </w:tcPr>
          <w:p w:rsidR="009F7794" w:rsidRPr="00095131" w:rsidRDefault="009F7794" w:rsidP="003B69B2">
            <w:pPr>
              <w:ind w:right="-757"/>
              <w:rPr>
                <w:rFonts w:cs="Arial"/>
                <w:b/>
                <w:szCs w:val="24"/>
              </w:rPr>
            </w:pPr>
            <w:r w:rsidRPr="00095131">
              <w:rPr>
                <w:rFonts w:cs="Arial"/>
                <w:b/>
                <w:szCs w:val="24"/>
              </w:rPr>
              <w:t>Progress Level:</w:t>
            </w:r>
          </w:p>
          <w:p w:rsidR="009F7794" w:rsidRPr="00095131" w:rsidRDefault="009F7794" w:rsidP="003B69B2">
            <w:pPr>
              <w:ind w:right="-757"/>
              <w:rPr>
                <w:rFonts w:cs="Arial"/>
                <w:b/>
                <w:szCs w:val="24"/>
              </w:rPr>
            </w:pPr>
            <w:r w:rsidRPr="00095131">
              <w:rPr>
                <w:rFonts w:cs="Arial"/>
                <w:b/>
                <w:szCs w:val="24"/>
              </w:rPr>
              <w:t xml:space="preserve">Maturity </w:t>
            </w:r>
          </w:p>
        </w:tc>
        <w:tc>
          <w:tcPr>
            <w:tcW w:w="18799" w:type="dxa"/>
            <w:gridSpan w:val="4"/>
            <w:shd w:val="clear" w:color="auto" w:fill="DEEAF6" w:themeFill="accent1" w:themeFillTint="33"/>
          </w:tcPr>
          <w:p w:rsidR="009F7794" w:rsidRPr="00095131" w:rsidRDefault="009F7794" w:rsidP="003B69B2">
            <w:pPr>
              <w:spacing w:before="40" w:after="40"/>
              <w:ind w:right="-757"/>
              <w:rPr>
                <w:rFonts w:cs="Arial"/>
                <w:b/>
                <w:szCs w:val="24"/>
              </w:rPr>
            </w:pPr>
            <w:r w:rsidRPr="00095131">
              <w:rPr>
                <w:rFonts w:cs="Arial"/>
                <w:b/>
                <w:szCs w:val="24"/>
              </w:rPr>
              <w:t>Criteria to Support this level</w:t>
            </w:r>
          </w:p>
          <w:p w:rsidR="009F7794" w:rsidRPr="00095131" w:rsidRDefault="009F7794" w:rsidP="003B69B2">
            <w:pPr>
              <w:spacing w:before="40" w:after="40"/>
              <w:contextualSpacing/>
              <w:rPr>
                <w:rFonts w:eastAsia="Times New Roman" w:cs="Arial"/>
                <w:szCs w:val="24"/>
                <w:lang w:eastAsia="en-GB"/>
              </w:rPr>
            </w:pPr>
            <w:r w:rsidRPr="00095131">
              <w:rPr>
                <w:rFonts w:eastAsia="Times New Roman" w:cs="Arial"/>
                <w:szCs w:val="24"/>
                <w:lang w:eastAsia="en-GB"/>
              </w:rPr>
              <w:t xml:space="preserve">Our services consistently run under benchmark cost. Headroom is created for developments/improvements. </w:t>
            </w:r>
          </w:p>
          <w:p w:rsidR="009F7794" w:rsidRPr="00095131" w:rsidRDefault="009F7794" w:rsidP="003B69B2">
            <w:pPr>
              <w:spacing w:before="40" w:after="40"/>
              <w:contextualSpacing/>
              <w:rPr>
                <w:rFonts w:eastAsia="Times New Roman" w:cs="Arial"/>
                <w:sz w:val="4"/>
                <w:szCs w:val="4"/>
                <w:lang w:eastAsia="en-GB"/>
              </w:rPr>
            </w:pPr>
          </w:p>
          <w:p w:rsidR="009F7794" w:rsidRPr="00095131" w:rsidRDefault="009F7794" w:rsidP="009F7794">
            <w:pPr>
              <w:spacing w:before="40" w:after="40"/>
              <w:contextualSpacing/>
              <w:rPr>
                <w:rFonts w:cs="Arial"/>
                <w:szCs w:val="24"/>
              </w:rPr>
            </w:pPr>
            <w:r w:rsidRPr="00095131">
              <w:rPr>
                <w:rFonts w:eastAsia="Times New Roman" w:cs="Arial"/>
                <w:szCs w:val="24"/>
                <w:lang w:eastAsia="en-GB"/>
              </w:rPr>
              <w:t xml:space="preserve">The Board is demonstrably reinvesting whole budget, rather than being limited by ‘affordability’ at margins. </w:t>
            </w:r>
          </w:p>
        </w:tc>
      </w:tr>
      <w:tr w:rsidR="009F7794" w:rsidRPr="00FB35E5" w:rsidTr="003B69B2">
        <w:tc>
          <w:tcPr>
            <w:tcW w:w="579" w:type="dxa"/>
            <w:shd w:val="clear" w:color="auto" w:fill="E7E6E6" w:themeFill="background2"/>
          </w:tcPr>
          <w:p w:rsidR="009F7794" w:rsidRPr="00FB35E5" w:rsidRDefault="009F7794" w:rsidP="003B69B2">
            <w:pPr>
              <w:spacing w:before="60" w:after="60"/>
              <w:ind w:right="42"/>
              <w:jc w:val="center"/>
              <w:rPr>
                <w:rFonts w:cs="Arial"/>
                <w:b/>
                <w:sz w:val="23"/>
                <w:szCs w:val="23"/>
              </w:rPr>
            </w:pPr>
            <w:r w:rsidRPr="00FB35E5">
              <w:rPr>
                <w:rFonts w:cs="Arial"/>
                <w:b/>
                <w:sz w:val="23"/>
                <w:szCs w:val="23"/>
              </w:rPr>
              <w:t>No</w:t>
            </w:r>
          </w:p>
        </w:tc>
        <w:tc>
          <w:tcPr>
            <w:tcW w:w="4378" w:type="dxa"/>
            <w:gridSpan w:val="2"/>
            <w:shd w:val="clear" w:color="auto" w:fill="E7E6E6" w:themeFill="background2"/>
          </w:tcPr>
          <w:p w:rsidR="009F7794" w:rsidRPr="00FB35E5" w:rsidRDefault="009F7794" w:rsidP="003B69B2">
            <w:pPr>
              <w:spacing w:before="60" w:after="60"/>
              <w:ind w:right="42"/>
              <w:jc w:val="center"/>
              <w:rPr>
                <w:rFonts w:cs="Arial"/>
                <w:b/>
                <w:sz w:val="23"/>
                <w:szCs w:val="23"/>
              </w:rPr>
            </w:pPr>
            <w:r>
              <w:rPr>
                <w:rFonts w:cs="Arial"/>
                <w:b/>
                <w:sz w:val="23"/>
                <w:szCs w:val="23"/>
              </w:rPr>
              <w:t>Recommendation</w:t>
            </w:r>
          </w:p>
        </w:tc>
        <w:tc>
          <w:tcPr>
            <w:tcW w:w="4394" w:type="dxa"/>
            <w:shd w:val="clear" w:color="auto" w:fill="E7E6E6" w:themeFill="background2"/>
          </w:tcPr>
          <w:p w:rsidR="009F7794" w:rsidRPr="00FB35E5" w:rsidRDefault="009F7794" w:rsidP="003B69B2">
            <w:pPr>
              <w:spacing w:before="60" w:after="60"/>
              <w:ind w:right="42"/>
              <w:jc w:val="center"/>
              <w:rPr>
                <w:rFonts w:cs="Arial"/>
                <w:b/>
                <w:sz w:val="23"/>
                <w:szCs w:val="23"/>
              </w:rPr>
            </w:pPr>
            <w:r>
              <w:rPr>
                <w:rFonts w:cs="Arial"/>
                <w:b/>
                <w:sz w:val="23"/>
                <w:szCs w:val="23"/>
              </w:rPr>
              <w:t>Action</w:t>
            </w:r>
          </w:p>
        </w:tc>
        <w:tc>
          <w:tcPr>
            <w:tcW w:w="2126" w:type="dxa"/>
            <w:shd w:val="clear" w:color="auto" w:fill="E7E6E6" w:themeFill="background2"/>
          </w:tcPr>
          <w:p w:rsidR="009F7794" w:rsidRDefault="009F7794" w:rsidP="003B69B2">
            <w:pPr>
              <w:spacing w:before="60" w:after="60"/>
              <w:ind w:right="37"/>
              <w:jc w:val="center"/>
              <w:rPr>
                <w:rFonts w:cs="Arial"/>
                <w:b/>
                <w:sz w:val="23"/>
                <w:szCs w:val="23"/>
              </w:rPr>
            </w:pPr>
            <w:r>
              <w:rPr>
                <w:rFonts w:cs="Arial"/>
                <w:b/>
                <w:sz w:val="23"/>
                <w:szCs w:val="23"/>
              </w:rPr>
              <w:t>Lead Comm.</w:t>
            </w:r>
          </w:p>
          <w:p w:rsidR="009F7794" w:rsidRDefault="009F7794" w:rsidP="003B69B2">
            <w:pPr>
              <w:spacing w:before="60" w:after="60"/>
              <w:ind w:right="37"/>
              <w:jc w:val="center"/>
              <w:rPr>
                <w:rFonts w:cs="Arial"/>
                <w:b/>
                <w:sz w:val="23"/>
                <w:szCs w:val="23"/>
              </w:rPr>
            </w:pPr>
            <w:r>
              <w:rPr>
                <w:rFonts w:cs="Arial"/>
                <w:b/>
                <w:sz w:val="23"/>
                <w:szCs w:val="23"/>
              </w:rPr>
              <w:t xml:space="preserve"> Lead Exec(s)</w:t>
            </w:r>
          </w:p>
          <w:p w:rsidR="009F7794" w:rsidRPr="00FB35E5" w:rsidRDefault="009F7794" w:rsidP="003B69B2">
            <w:pPr>
              <w:spacing w:before="60" w:after="60"/>
              <w:ind w:right="37"/>
              <w:jc w:val="center"/>
              <w:rPr>
                <w:rFonts w:cs="Arial"/>
                <w:b/>
                <w:sz w:val="23"/>
                <w:szCs w:val="23"/>
              </w:rPr>
            </w:pPr>
            <w:r>
              <w:rPr>
                <w:rFonts w:cs="Arial"/>
                <w:b/>
                <w:sz w:val="23"/>
                <w:szCs w:val="23"/>
              </w:rPr>
              <w:t>Target Date</w:t>
            </w:r>
          </w:p>
        </w:tc>
        <w:tc>
          <w:tcPr>
            <w:tcW w:w="9444" w:type="dxa"/>
            <w:shd w:val="clear" w:color="auto" w:fill="E7E6E6" w:themeFill="background2"/>
          </w:tcPr>
          <w:p w:rsidR="009F7794" w:rsidRPr="00FB35E5" w:rsidRDefault="009F7794" w:rsidP="003B69B2">
            <w:pPr>
              <w:spacing w:before="60" w:after="60"/>
              <w:jc w:val="center"/>
              <w:rPr>
                <w:rFonts w:cs="Arial"/>
                <w:b/>
                <w:sz w:val="23"/>
                <w:szCs w:val="23"/>
              </w:rPr>
            </w:pPr>
            <w:r w:rsidRPr="00FB35E5">
              <w:rPr>
                <w:rFonts w:cs="Arial"/>
                <w:b/>
                <w:sz w:val="23"/>
                <w:szCs w:val="23"/>
              </w:rPr>
              <w:t>Progress/Status</w:t>
            </w:r>
          </w:p>
        </w:tc>
      </w:tr>
      <w:tr w:rsidR="002C1877" w:rsidRPr="00FB35E5" w:rsidTr="005F7D47">
        <w:tc>
          <w:tcPr>
            <w:tcW w:w="579" w:type="dxa"/>
            <w:shd w:val="clear" w:color="auto" w:fill="auto"/>
          </w:tcPr>
          <w:p w:rsidR="002C1877" w:rsidRPr="00095131" w:rsidRDefault="002C1877" w:rsidP="00191A7B">
            <w:pPr>
              <w:spacing w:before="40" w:after="40"/>
              <w:jc w:val="center"/>
              <w:rPr>
                <w:rFonts w:cs="Arial"/>
                <w:b/>
                <w:sz w:val="22"/>
              </w:rPr>
            </w:pPr>
            <w:r w:rsidRPr="00095131">
              <w:rPr>
                <w:rFonts w:cs="Arial"/>
                <w:b/>
                <w:sz w:val="22"/>
              </w:rPr>
              <w:t>2</w:t>
            </w:r>
            <w:r w:rsidR="00191A7B">
              <w:rPr>
                <w:rFonts w:cs="Arial"/>
                <w:b/>
                <w:sz w:val="22"/>
              </w:rPr>
              <w:t>3</w:t>
            </w:r>
          </w:p>
          <w:p w:rsidR="002C1877" w:rsidRPr="00095131" w:rsidRDefault="002C1877" w:rsidP="002C1877">
            <w:pPr>
              <w:spacing w:before="40" w:after="40"/>
              <w:jc w:val="center"/>
              <w:rPr>
                <w:rFonts w:cs="Arial"/>
                <w:b/>
                <w:sz w:val="22"/>
              </w:rPr>
            </w:pPr>
          </w:p>
        </w:tc>
        <w:tc>
          <w:tcPr>
            <w:tcW w:w="4378" w:type="dxa"/>
            <w:gridSpan w:val="2"/>
            <w:shd w:val="clear" w:color="auto" w:fill="auto"/>
          </w:tcPr>
          <w:p w:rsidR="002C1877" w:rsidRPr="00AD508E" w:rsidRDefault="002C1877" w:rsidP="002C1877">
            <w:pPr>
              <w:spacing w:before="40" w:after="40"/>
              <w:ind w:left="103"/>
              <w:rPr>
                <w:rFonts w:cs="Arial"/>
                <w:sz w:val="22"/>
              </w:rPr>
            </w:pPr>
            <w:r w:rsidRPr="00095131">
              <w:rPr>
                <w:rFonts w:cs="Arial"/>
                <w:sz w:val="22"/>
              </w:rPr>
              <w:t>Service level agreements with Health Boards to be comprehensively reviewed and put in a sound quality, cost and activity footing linked to clear annual plan objectives.</w:t>
            </w:r>
          </w:p>
        </w:tc>
        <w:tc>
          <w:tcPr>
            <w:tcW w:w="4394" w:type="dxa"/>
            <w:shd w:val="clear" w:color="auto" w:fill="auto"/>
          </w:tcPr>
          <w:p w:rsidR="002C1877" w:rsidRPr="002C1877" w:rsidRDefault="00744571" w:rsidP="002C1877">
            <w:pPr>
              <w:spacing w:before="40" w:after="40"/>
              <w:ind w:left="103"/>
              <w:rPr>
                <w:rFonts w:cs="Arial"/>
                <w:sz w:val="22"/>
              </w:rPr>
            </w:pPr>
            <w:r w:rsidRPr="00506AD8">
              <w:rPr>
                <w:rFonts w:cs="Arial"/>
                <w:sz w:val="22"/>
              </w:rPr>
              <w:t xml:space="preserve">Phase 1 will be to review the agreements through 2024/25 as contracts become live for the first time since the pandemic. This will involve local negotiation on an organisation by organisation basis. Full implementation of this will take up to 3+ years give the potentially considerable cost shifts between organisations and the detailed negotiations required. Of note is this will only be effective if this is a Once for Wales approach. There is a requirement set by WG for all SLAs to be signed within a dedicated timeframe each year, which may have to take precedence over quality of the documents if agreement cannot be reached.  </w:t>
            </w:r>
          </w:p>
        </w:tc>
        <w:tc>
          <w:tcPr>
            <w:tcW w:w="2126" w:type="dxa"/>
            <w:shd w:val="clear" w:color="auto" w:fill="auto"/>
            <w:vAlign w:val="center"/>
          </w:tcPr>
          <w:p w:rsidR="002C1877" w:rsidRPr="00095131" w:rsidRDefault="002C1877" w:rsidP="002C1877">
            <w:pPr>
              <w:spacing w:before="40" w:after="40"/>
              <w:jc w:val="center"/>
              <w:rPr>
                <w:rFonts w:cs="Arial"/>
                <w:sz w:val="22"/>
              </w:rPr>
            </w:pPr>
            <w:r w:rsidRPr="00095131">
              <w:rPr>
                <w:rFonts w:cs="Arial"/>
                <w:sz w:val="22"/>
              </w:rPr>
              <w:t>P&amp;F Comm.</w:t>
            </w:r>
          </w:p>
          <w:p w:rsidR="002C1877" w:rsidRPr="00095131" w:rsidRDefault="002C1877" w:rsidP="002C1877">
            <w:pPr>
              <w:spacing w:before="40" w:after="40"/>
              <w:jc w:val="center"/>
              <w:rPr>
                <w:rFonts w:cs="Arial"/>
                <w:sz w:val="22"/>
              </w:rPr>
            </w:pPr>
          </w:p>
          <w:p w:rsidR="002C1877" w:rsidRPr="00095131" w:rsidRDefault="002C1877" w:rsidP="002C1877">
            <w:pPr>
              <w:spacing w:before="40" w:after="40"/>
              <w:jc w:val="center"/>
              <w:rPr>
                <w:rFonts w:cs="Arial"/>
                <w:sz w:val="22"/>
              </w:rPr>
            </w:pPr>
            <w:r w:rsidRPr="00095131">
              <w:rPr>
                <w:rFonts w:cs="Arial"/>
                <w:sz w:val="22"/>
              </w:rPr>
              <w:t>Dir of Fin &amp; Perf.</w:t>
            </w:r>
          </w:p>
          <w:p w:rsidR="002C1877" w:rsidRPr="00095131" w:rsidRDefault="002C1877" w:rsidP="002C1877">
            <w:pPr>
              <w:spacing w:before="40" w:after="40"/>
              <w:jc w:val="center"/>
              <w:rPr>
                <w:rFonts w:cs="Arial"/>
                <w:sz w:val="22"/>
              </w:rPr>
            </w:pPr>
          </w:p>
          <w:p w:rsidR="002C1877" w:rsidRPr="00095131" w:rsidRDefault="006F1F58" w:rsidP="002C1877">
            <w:pPr>
              <w:spacing w:before="40" w:after="40"/>
              <w:jc w:val="center"/>
              <w:rPr>
                <w:rFonts w:cs="Arial"/>
                <w:b/>
                <w:sz w:val="22"/>
              </w:rPr>
            </w:pPr>
            <w:r>
              <w:rPr>
                <w:rFonts w:cs="Arial"/>
                <w:b/>
                <w:sz w:val="22"/>
              </w:rPr>
              <w:t>2025/26</w:t>
            </w:r>
          </w:p>
        </w:tc>
        <w:tc>
          <w:tcPr>
            <w:tcW w:w="9444" w:type="dxa"/>
            <w:shd w:val="clear" w:color="auto" w:fill="auto"/>
            <w:vAlign w:val="center"/>
          </w:tcPr>
          <w:p w:rsidR="00744571" w:rsidRPr="00506AD8" w:rsidRDefault="002C1877" w:rsidP="00744571">
            <w:pPr>
              <w:ind w:right="182"/>
              <w:jc w:val="both"/>
              <w:rPr>
                <w:rFonts w:cs="Arial"/>
                <w:sz w:val="22"/>
              </w:rPr>
            </w:pPr>
            <w:r w:rsidRPr="002C1877">
              <w:rPr>
                <w:rFonts w:cs="Arial"/>
                <w:b/>
                <w:sz w:val="22"/>
              </w:rPr>
              <w:t xml:space="preserve">February 2024: </w:t>
            </w:r>
            <w:r w:rsidR="00744571" w:rsidRPr="00506AD8">
              <w:rPr>
                <w:rFonts w:cs="Arial"/>
                <w:sz w:val="22"/>
              </w:rPr>
              <w:t xml:space="preserve">This has been considered in a number of forums over the last 24 months as contracts move from block arrangements adopted as part of COVID to semi live and for 2045/25 fully live. Any significant change to the documentation focusing on quality, cost and activity footing would need to be adopted on an All Wales basis as SB is commissioned by and commissions from all Health Boards and other bodies including WHSSC/EASC. </w:t>
            </w:r>
          </w:p>
          <w:p w:rsidR="00744571" w:rsidRPr="00506AD8" w:rsidRDefault="00744571" w:rsidP="00744571">
            <w:pPr>
              <w:ind w:right="182"/>
              <w:jc w:val="both"/>
              <w:rPr>
                <w:rFonts w:cs="Arial"/>
                <w:sz w:val="22"/>
              </w:rPr>
            </w:pPr>
          </w:p>
          <w:p w:rsidR="00744571" w:rsidRPr="00506AD8" w:rsidRDefault="00744571" w:rsidP="00744571">
            <w:pPr>
              <w:ind w:right="182"/>
              <w:jc w:val="both"/>
              <w:rPr>
                <w:rFonts w:cs="Arial"/>
                <w:sz w:val="22"/>
              </w:rPr>
            </w:pPr>
            <w:r w:rsidRPr="00506AD8">
              <w:rPr>
                <w:rFonts w:cs="Arial"/>
                <w:sz w:val="22"/>
              </w:rPr>
              <w:t xml:space="preserve">The latest discussions on the funding arrangements for 2024/25 have focused on the establishment of the Live contracts and the agreement of uplifts going forward. </w:t>
            </w:r>
          </w:p>
          <w:p w:rsidR="00744571" w:rsidRPr="00506AD8" w:rsidRDefault="00744571" w:rsidP="00744571">
            <w:pPr>
              <w:ind w:right="1026"/>
              <w:jc w:val="both"/>
              <w:rPr>
                <w:rFonts w:cs="Arial"/>
                <w:sz w:val="22"/>
              </w:rPr>
            </w:pPr>
          </w:p>
          <w:p w:rsidR="00744571" w:rsidRPr="00506AD8" w:rsidRDefault="00744571" w:rsidP="00744571">
            <w:pPr>
              <w:ind w:right="182"/>
              <w:jc w:val="both"/>
              <w:rPr>
                <w:rFonts w:cs="Arial"/>
                <w:sz w:val="22"/>
              </w:rPr>
            </w:pPr>
            <w:r w:rsidRPr="00506AD8">
              <w:rPr>
                <w:rFonts w:cs="Arial"/>
                <w:sz w:val="22"/>
              </w:rPr>
              <w:t>For 2024/25 the HB will contin</w:t>
            </w:r>
            <w:bookmarkStart w:id="0" w:name="_GoBack"/>
            <w:bookmarkEnd w:id="0"/>
            <w:r w:rsidRPr="00506AD8">
              <w:rPr>
                <w:rFonts w:cs="Arial"/>
                <w:sz w:val="22"/>
              </w:rPr>
              <w:t>ue to work at an All Wales level on driving change in LTAs through all opportunities and avenues.</w:t>
            </w:r>
          </w:p>
          <w:p w:rsidR="00744571" w:rsidRPr="00506AD8" w:rsidRDefault="00744571" w:rsidP="00744571">
            <w:pPr>
              <w:ind w:right="182"/>
              <w:jc w:val="both"/>
              <w:rPr>
                <w:rFonts w:cs="Arial"/>
                <w:sz w:val="22"/>
              </w:rPr>
            </w:pPr>
          </w:p>
          <w:p w:rsidR="002C1877" w:rsidRPr="00095131" w:rsidRDefault="00744571" w:rsidP="006F1F58">
            <w:pPr>
              <w:ind w:right="182"/>
              <w:jc w:val="both"/>
              <w:rPr>
                <w:rFonts w:cs="Arial"/>
                <w:b/>
                <w:sz w:val="22"/>
              </w:rPr>
            </w:pPr>
            <w:r w:rsidRPr="00506AD8">
              <w:rPr>
                <w:rFonts w:cs="Arial"/>
                <w:sz w:val="22"/>
              </w:rPr>
              <w:t>The medium term approach is to look at internal commissioning of services which represent +85% of the HB spend and what arrangements need to be developed to provide the oversight on quality and activity linked to the services commissioned internally. This is being considered as part of restructure within th</w:t>
            </w:r>
            <w:r w:rsidR="006F1F58">
              <w:rPr>
                <w:rFonts w:cs="Arial"/>
                <w:sz w:val="22"/>
              </w:rPr>
              <w:t>e Commissioning arm of Finance, which is scheduled for 2025/26.</w:t>
            </w:r>
          </w:p>
        </w:tc>
      </w:tr>
      <w:tr w:rsidR="002C1877" w:rsidRPr="00FB35E5" w:rsidTr="00676634">
        <w:tc>
          <w:tcPr>
            <w:tcW w:w="579" w:type="dxa"/>
            <w:shd w:val="clear" w:color="auto" w:fill="auto"/>
          </w:tcPr>
          <w:p w:rsidR="002C1877" w:rsidRPr="00095131" w:rsidRDefault="00191A7B" w:rsidP="002C1877">
            <w:pPr>
              <w:spacing w:before="40" w:after="40"/>
              <w:jc w:val="center"/>
              <w:rPr>
                <w:rFonts w:cs="Arial"/>
                <w:b/>
                <w:sz w:val="22"/>
              </w:rPr>
            </w:pPr>
            <w:r>
              <w:rPr>
                <w:rFonts w:cs="Arial"/>
                <w:b/>
                <w:sz w:val="22"/>
              </w:rPr>
              <w:t>24</w:t>
            </w:r>
          </w:p>
          <w:p w:rsidR="002C1877" w:rsidRPr="00095131" w:rsidRDefault="002C1877" w:rsidP="002C1877">
            <w:pPr>
              <w:spacing w:before="40" w:after="40"/>
              <w:jc w:val="center"/>
              <w:rPr>
                <w:rFonts w:cs="Arial"/>
                <w:b/>
                <w:sz w:val="22"/>
              </w:rPr>
            </w:pPr>
          </w:p>
        </w:tc>
        <w:tc>
          <w:tcPr>
            <w:tcW w:w="4378" w:type="dxa"/>
            <w:gridSpan w:val="2"/>
            <w:shd w:val="clear" w:color="auto" w:fill="auto"/>
          </w:tcPr>
          <w:p w:rsidR="002C1877" w:rsidRPr="00095131" w:rsidRDefault="002C1877" w:rsidP="002C1877">
            <w:pPr>
              <w:spacing w:before="40" w:after="40"/>
              <w:ind w:left="103"/>
              <w:rPr>
                <w:rFonts w:cs="Arial"/>
                <w:sz w:val="22"/>
              </w:rPr>
            </w:pPr>
            <w:r w:rsidRPr="001F246E">
              <w:rPr>
                <w:rFonts w:cs="Arial"/>
                <w:sz w:val="22"/>
              </w:rPr>
              <w:t>Although the Performance and Finance Committee are sighted of the high-level savings requirements, the committee could benefit from receiving a more detailed report to aid scrutiny. The Health Board should provide a routine report to the committee which sets out the specific savings schemes that the service groups and corporate directorates have put in place, and progress on delivery</w:t>
            </w:r>
            <w:r w:rsidR="00DB3C40">
              <w:rPr>
                <w:rFonts w:cs="Arial"/>
                <w:sz w:val="22"/>
              </w:rPr>
              <w:t xml:space="preserve"> </w:t>
            </w:r>
            <w:proofErr w:type="spellStart"/>
            <w:r w:rsidR="00DB3C40" w:rsidRPr="00DB3C40">
              <w:rPr>
                <w:rFonts w:cs="Arial"/>
                <w:b/>
                <w:color w:val="00B0F0"/>
                <w:sz w:val="22"/>
              </w:rPr>
              <w:t>S10</w:t>
            </w:r>
            <w:proofErr w:type="spellEnd"/>
          </w:p>
        </w:tc>
        <w:tc>
          <w:tcPr>
            <w:tcW w:w="4394" w:type="dxa"/>
            <w:shd w:val="clear" w:color="auto" w:fill="auto"/>
          </w:tcPr>
          <w:p w:rsidR="002C1877" w:rsidRPr="00095131" w:rsidRDefault="002C1877" w:rsidP="002C1877">
            <w:pPr>
              <w:spacing w:before="40" w:after="40"/>
              <w:ind w:left="103"/>
              <w:rPr>
                <w:rFonts w:cs="Arial"/>
                <w:sz w:val="22"/>
              </w:rPr>
            </w:pPr>
            <w:r w:rsidRPr="001F246E">
              <w:rPr>
                <w:rFonts w:cs="Arial"/>
                <w:sz w:val="22"/>
              </w:rPr>
              <w:t>Quarterly savings report to be added to the work programme for the Performance and Finance Committee. As part of the development of the annual plan/financial plan, regular presentations are provided to the committee as to the work to develop it, including the total savings required. The detail to achieve this is worked out during with service groups and corporate functions.</w:t>
            </w:r>
          </w:p>
        </w:tc>
        <w:tc>
          <w:tcPr>
            <w:tcW w:w="2126" w:type="dxa"/>
            <w:shd w:val="clear" w:color="auto" w:fill="auto"/>
            <w:vAlign w:val="center"/>
          </w:tcPr>
          <w:p w:rsidR="002C1877" w:rsidRPr="00095131" w:rsidRDefault="002C1877" w:rsidP="002C1877">
            <w:pPr>
              <w:spacing w:before="40" w:after="40"/>
              <w:jc w:val="center"/>
              <w:rPr>
                <w:rFonts w:cs="Arial"/>
                <w:sz w:val="22"/>
              </w:rPr>
            </w:pPr>
            <w:r w:rsidRPr="00095131">
              <w:rPr>
                <w:rFonts w:cs="Arial"/>
                <w:sz w:val="22"/>
              </w:rPr>
              <w:t>P&amp;F Comm.</w:t>
            </w:r>
          </w:p>
          <w:p w:rsidR="002C1877" w:rsidRPr="00095131" w:rsidRDefault="002C1877" w:rsidP="002C1877">
            <w:pPr>
              <w:spacing w:before="40" w:after="40"/>
              <w:jc w:val="center"/>
              <w:rPr>
                <w:rFonts w:cs="Arial"/>
                <w:sz w:val="22"/>
              </w:rPr>
            </w:pPr>
          </w:p>
          <w:p w:rsidR="002C1877" w:rsidRPr="00095131" w:rsidRDefault="002C1877" w:rsidP="002C1877">
            <w:pPr>
              <w:spacing w:before="40" w:after="40"/>
              <w:jc w:val="center"/>
              <w:rPr>
                <w:rFonts w:cs="Arial"/>
                <w:sz w:val="22"/>
              </w:rPr>
            </w:pPr>
            <w:r w:rsidRPr="00095131">
              <w:rPr>
                <w:rFonts w:cs="Arial"/>
                <w:sz w:val="22"/>
              </w:rPr>
              <w:t>Dir of Fin &amp; Perf.</w:t>
            </w:r>
          </w:p>
          <w:p w:rsidR="002C1877" w:rsidRPr="00095131" w:rsidRDefault="002C1877" w:rsidP="002C1877">
            <w:pPr>
              <w:spacing w:before="40" w:after="40"/>
              <w:jc w:val="center"/>
              <w:rPr>
                <w:rFonts w:cs="Arial"/>
                <w:sz w:val="22"/>
              </w:rPr>
            </w:pPr>
          </w:p>
          <w:p w:rsidR="002C1877" w:rsidRPr="00095131" w:rsidRDefault="002C1877" w:rsidP="002C1877">
            <w:pPr>
              <w:spacing w:before="40" w:after="40"/>
              <w:jc w:val="center"/>
              <w:rPr>
                <w:rFonts w:cs="Arial"/>
                <w:sz w:val="22"/>
              </w:rPr>
            </w:pPr>
            <w:r w:rsidRPr="00095131">
              <w:rPr>
                <w:rFonts w:cs="Arial"/>
                <w:sz w:val="22"/>
              </w:rPr>
              <w:t>December 2023</w:t>
            </w:r>
          </w:p>
        </w:tc>
        <w:tc>
          <w:tcPr>
            <w:tcW w:w="9444" w:type="dxa"/>
            <w:shd w:val="clear" w:color="auto" w:fill="C5E0B3" w:themeFill="accent6" w:themeFillTint="66"/>
            <w:vAlign w:val="center"/>
          </w:tcPr>
          <w:p w:rsidR="002C1877" w:rsidRPr="004340E9" w:rsidRDefault="002C1877" w:rsidP="002C1877">
            <w:pPr>
              <w:ind w:right="-757"/>
              <w:jc w:val="both"/>
              <w:rPr>
                <w:rFonts w:cs="Arial"/>
                <w:sz w:val="22"/>
              </w:rPr>
            </w:pPr>
            <w:r>
              <w:rPr>
                <w:rFonts w:cs="Arial"/>
                <w:b/>
                <w:sz w:val="22"/>
              </w:rPr>
              <w:t xml:space="preserve">February 2024: </w:t>
            </w:r>
            <w:r>
              <w:rPr>
                <w:rFonts w:cs="Arial"/>
                <w:sz w:val="22"/>
              </w:rPr>
              <w:t>Complete.</w:t>
            </w:r>
          </w:p>
        </w:tc>
      </w:tr>
    </w:tbl>
    <w:p w:rsidR="00DB08E1" w:rsidRDefault="00DB08E1" w:rsidP="00D45FE7">
      <w:pPr>
        <w:jc w:val="center"/>
      </w:pPr>
    </w:p>
    <w:p w:rsidR="00F00EB5" w:rsidRDefault="00F00EB5" w:rsidP="00D45FE7">
      <w:pPr>
        <w:jc w:val="center"/>
      </w:pPr>
    </w:p>
    <w:p w:rsidR="00F00EB5" w:rsidRDefault="00F00EB5" w:rsidP="00D45FE7">
      <w:pPr>
        <w:jc w:val="center"/>
      </w:pPr>
    </w:p>
    <w:p w:rsidR="00F00EB5" w:rsidRDefault="00F00EB5" w:rsidP="00D45FE7">
      <w:pPr>
        <w:jc w:val="center"/>
      </w:pPr>
    </w:p>
    <w:p w:rsidR="00F00EB5" w:rsidRDefault="00F00EB5" w:rsidP="00D45FE7">
      <w:pPr>
        <w:jc w:val="center"/>
      </w:pPr>
    </w:p>
    <w:p w:rsidR="00F00EB5" w:rsidRDefault="00F00EB5" w:rsidP="00D45FE7">
      <w:pPr>
        <w:jc w:val="center"/>
      </w:pPr>
    </w:p>
    <w:p w:rsidR="00F00EB5" w:rsidRDefault="00F00EB5" w:rsidP="00D45FE7">
      <w:pPr>
        <w:jc w:val="center"/>
      </w:pPr>
    </w:p>
    <w:p w:rsidR="00F00EB5" w:rsidRDefault="00F00EB5" w:rsidP="00D45FE7">
      <w:pPr>
        <w:jc w:val="center"/>
      </w:pPr>
    </w:p>
    <w:p w:rsidR="00F00EB5" w:rsidRDefault="00F00EB5" w:rsidP="00D45FE7">
      <w:pPr>
        <w:jc w:val="center"/>
      </w:pPr>
    </w:p>
    <w:p w:rsidR="00F00EB5" w:rsidRDefault="00F00EB5" w:rsidP="00D45FE7">
      <w:pPr>
        <w:jc w:val="center"/>
      </w:pPr>
    </w:p>
    <w:p w:rsidR="00F00EB5" w:rsidRDefault="00F00EB5" w:rsidP="00D45FE7">
      <w:pPr>
        <w:jc w:val="center"/>
      </w:pPr>
    </w:p>
    <w:p w:rsidR="00F00EB5" w:rsidRDefault="00F00EB5" w:rsidP="00D45FE7">
      <w:pPr>
        <w:jc w:val="center"/>
      </w:pPr>
    </w:p>
    <w:p w:rsidR="00F00EB5" w:rsidRDefault="00F00EB5" w:rsidP="00D45FE7">
      <w:pPr>
        <w:jc w:val="center"/>
      </w:pPr>
    </w:p>
    <w:p w:rsidR="00F00EB5" w:rsidRDefault="00F00EB5" w:rsidP="00D45FE7">
      <w:pPr>
        <w:jc w:val="center"/>
      </w:pPr>
    </w:p>
    <w:p w:rsidR="00F00EB5" w:rsidRDefault="00F00EB5" w:rsidP="00D45FE7">
      <w:pPr>
        <w:jc w:val="center"/>
      </w:pPr>
    </w:p>
    <w:p w:rsidR="00F00EB5" w:rsidRDefault="00F00EB5" w:rsidP="00D45FE7">
      <w:pPr>
        <w:jc w:val="center"/>
      </w:pPr>
    </w:p>
    <w:tbl>
      <w:tblPr>
        <w:tblStyle w:val="TableGrid"/>
        <w:tblW w:w="20923" w:type="dxa"/>
        <w:tblLook w:val="04A0" w:firstRow="1" w:lastRow="0" w:firstColumn="1" w:lastColumn="0" w:noHBand="0" w:noVBand="1"/>
      </w:tblPr>
      <w:tblGrid>
        <w:gridCol w:w="674"/>
        <w:gridCol w:w="1545"/>
        <w:gridCol w:w="2817"/>
        <w:gridCol w:w="4371"/>
        <w:gridCol w:w="2119"/>
        <w:gridCol w:w="9397"/>
      </w:tblGrid>
      <w:tr w:rsidR="00F00EB5" w:rsidRPr="00FB35E5" w:rsidTr="005E5DCD">
        <w:tc>
          <w:tcPr>
            <w:tcW w:w="20923" w:type="dxa"/>
            <w:gridSpan w:val="6"/>
          </w:tcPr>
          <w:p w:rsidR="00F00EB5" w:rsidRPr="00095131" w:rsidRDefault="00F00EB5" w:rsidP="00D51CFC">
            <w:pPr>
              <w:spacing w:before="60" w:after="60"/>
              <w:jc w:val="center"/>
              <w:rPr>
                <w:rFonts w:cs="Arial"/>
                <w:b/>
                <w:szCs w:val="24"/>
              </w:rPr>
            </w:pPr>
            <w:r w:rsidRPr="00095131">
              <w:rPr>
                <w:rFonts w:cs="Arial"/>
                <w:b/>
                <w:szCs w:val="24"/>
              </w:rPr>
              <w:lastRenderedPageBreak/>
              <w:t>Performance Reporting</w:t>
            </w:r>
          </w:p>
        </w:tc>
      </w:tr>
      <w:tr w:rsidR="00F00EB5" w:rsidRPr="00FB35E5" w:rsidTr="005E5DCD">
        <w:trPr>
          <w:trHeight w:val="70"/>
        </w:trPr>
        <w:tc>
          <w:tcPr>
            <w:tcW w:w="2219" w:type="dxa"/>
            <w:gridSpan w:val="2"/>
            <w:shd w:val="clear" w:color="auto" w:fill="DEEAF6" w:themeFill="accent1" w:themeFillTint="33"/>
          </w:tcPr>
          <w:p w:rsidR="00F00EB5" w:rsidRPr="00095131" w:rsidRDefault="00F00EB5" w:rsidP="00D51CFC">
            <w:pPr>
              <w:ind w:right="-757"/>
              <w:rPr>
                <w:rFonts w:cs="Arial"/>
                <w:b/>
                <w:szCs w:val="24"/>
              </w:rPr>
            </w:pPr>
            <w:r w:rsidRPr="00095131">
              <w:rPr>
                <w:rFonts w:cs="Arial"/>
                <w:b/>
                <w:szCs w:val="24"/>
              </w:rPr>
              <w:t>Progress Level:</w:t>
            </w:r>
          </w:p>
          <w:p w:rsidR="00F00EB5" w:rsidRPr="00095131" w:rsidRDefault="00F00EB5" w:rsidP="00D51CFC">
            <w:pPr>
              <w:ind w:right="-757"/>
              <w:rPr>
                <w:rFonts w:cs="Arial"/>
                <w:b/>
                <w:szCs w:val="24"/>
              </w:rPr>
            </w:pPr>
            <w:r w:rsidRPr="00095131">
              <w:rPr>
                <w:rFonts w:cs="Arial"/>
                <w:b/>
                <w:szCs w:val="24"/>
              </w:rPr>
              <w:t xml:space="preserve">Maturity </w:t>
            </w:r>
          </w:p>
        </w:tc>
        <w:tc>
          <w:tcPr>
            <w:tcW w:w="18704" w:type="dxa"/>
            <w:gridSpan w:val="4"/>
            <w:shd w:val="clear" w:color="auto" w:fill="DEEAF6" w:themeFill="accent1" w:themeFillTint="33"/>
          </w:tcPr>
          <w:p w:rsidR="00F00EB5" w:rsidRPr="00095131" w:rsidRDefault="00F00EB5" w:rsidP="00D51CFC">
            <w:pPr>
              <w:spacing w:before="40" w:after="40"/>
              <w:ind w:right="-757"/>
              <w:rPr>
                <w:rFonts w:cs="Arial"/>
                <w:b/>
                <w:szCs w:val="24"/>
              </w:rPr>
            </w:pPr>
            <w:r w:rsidRPr="00095131">
              <w:rPr>
                <w:rFonts w:cs="Arial"/>
                <w:b/>
                <w:szCs w:val="24"/>
              </w:rPr>
              <w:t>Criteria to Support this level</w:t>
            </w:r>
          </w:p>
          <w:p w:rsidR="00F00EB5" w:rsidRPr="00095131" w:rsidRDefault="00F00EB5" w:rsidP="00D51CFC">
            <w:pPr>
              <w:spacing w:before="40" w:after="40"/>
              <w:rPr>
                <w:rFonts w:cs="Arial"/>
                <w:szCs w:val="24"/>
              </w:rPr>
            </w:pPr>
            <w:r w:rsidRPr="00095131">
              <w:rPr>
                <w:rFonts w:cs="Arial"/>
                <w:szCs w:val="24"/>
              </w:rPr>
              <w:t>The board systematically receives reports from stakeholders providing feedback of impact of plan implementation.</w:t>
            </w:r>
          </w:p>
          <w:p w:rsidR="00F00EB5" w:rsidRPr="00095131" w:rsidRDefault="00F00EB5" w:rsidP="00D51CFC">
            <w:pPr>
              <w:spacing w:before="40" w:after="40"/>
              <w:rPr>
                <w:rFonts w:cs="Arial"/>
                <w:szCs w:val="24"/>
              </w:rPr>
            </w:pPr>
            <w:r w:rsidRPr="00095131">
              <w:rPr>
                <w:rFonts w:cs="Arial"/>
                <w:szCs w:val="24"/>
              </w:rPr>
              <w:t xml:space="preserve">A line of sight links lower level objectives with high level strategic objectives </w:t>
            </w:r>
          </w:p>
          <w:p w:rsidR="00F00EB5" w:rsidRPr="00095131" w:rsidRDefault="00F00EB5" w:rsidP="00D51CFC">
            <w:pPr>
              <w:spacing w:before="40" w:after="40"/>
              <w:rPr>
                <w:rFonts w:cs="Arial"/>
                <w:szCs w:val="24"/>
              </w:rPr>
            </w:pPr>
            <w:r w:rsidRPr="00095131">
              <w:rPr>
                <w:rFonts w:cs="Arial"/>
                <w:szCs w:val="24"/>
              </w:rPr>
              <w:t>Corporate and service group individual performance measures are connected to the corporate performance measurement framework</w:t>
            </w:r>
          </w:p>
          <w:p w:rsidR="00F00EB5" w:rsidRPr="00095131" w:rsidRDefault="00F00EB5" w:rsidP="00D51CFC">
            <w:pPr>
              <w:spacing w:before="40" w:after="40"/>
              <w:rPr>
                <w:rFonts w:cs="Arial"/>
                <w:szCs w:val="24"/>
              </w:rPr>
            </w:pPr>
            <w:r w:rsidRPr="00095131">
              <w:rPr>
                <w:rFonts w:cs="Arial"/>
                <w:szCs w:val="24"/>
              </w:rPr>
              <w:t xml:space="preserve">The organisation reports integrated performance and cost information </w:t>
            </w:r>
          </w:p>
          <w:p w:rsidR="00F00EB5" w:rsidRPr="00095131" w:rsidRDefault="00F00EB5" w:rsidP="00D51CFC">
            <w:pPr>
              <w:spacing w:before="40" w:after="40"/>
              <w:contextualSpacing/>
              <w:rPr>
                <w:rFonts w:cs="Arial"/>
                <w:szCs w:val="24"/>
              </w:rPr>
            </w:pPr>
            <w:r w:rsidRPr="00095131">
              <w:rPr>
                <w:rFonts w:cs="Arial"/>
                <w:szCs w:val="24"/>
              </w:rPr>
              <w:t>The board uses ‘value for money’ information to make strategic decisions about whether or not to engage in areas of activity</w:t>
            </w:r>
          </w:p>
        </w:tc>
      </w:tr>
      <w:tr w:rsidR="00F00EB5" w:rsidRPr="00FB35E5" w:rsidTr="0067134B">
        <w:tc>
          <w:tcPr>
            <w:tcW w:w="674" w:type="dxa"/>
            <w:shd w:val="clear" w:color="auto" w:fill="E7E6E6" w:themeFill="background2"/>
          </w:tcPr>
          <w:p w:rsidR="00F00EB5" w:rsidRPr="00095131" w:rsidRDefault="00F00EB5" w:rsidP="00D51CFC">
            <w:pPr>
              <w:spacing w:before="60" w:after="60"/>
              <w:ind w:right="42"/>
              <w:jc w:val="center"/>
              <w:rPr>
                <w:rFonts w:cs="Arial"/>
                <w:b/>
                <w:sz w:val="22"/>
              </w:rPr>
            </w:pPr>
            <w:r w:rsidRPr="00095131">
              <w:rPr>
                <w:rFonts w:cs="Arial"/>
                <w:b/>
                <w:sz w:val="22"/>
              </w:rPr>
              <w:t>No</w:t>
            </w:r>
          </w:p>
        </w:tc>
        <w:tc>
          <w:tcPr>
            <w:tcW w:w="4362" w:type="dxa"/>
            <w:gridSpan w:val="2"/>
            <w:shd w:val="clear" w:color="auto" w:fill="E7E6E6" w:themeFill="background2"/>
          </w:tcPr>
          <w:p w:rsidR="00F00EB5" w:rsidRPr="00095131" w:rsidRDefault="00F00EB5" w:rsidP="00D51CFC">
            <w:pPr>
              <w:spacing w:before="60" w:after="60"/>
              <w:ind w:right="42"/>
              <w:jc w:val="center"/>
              <w:rPr>
                <w:rFonts w:cs="Arial"/>
                <w:b/>
                <w:sz w:val="22"/>
              </w:rPr>
            </w:pPr>
            <w:r w:rsidRPr="00095131">
              <w:rPr>
                <w:rFonts w:cs="Arial"/>
                <w:b/>
                <w:sz w:val="22"/>
              </w:rPr>
              <w:t>Recommendation</w:t>
            </w:r>
          </w:p>
        </w:tc>
        <w:tc>
          <w:tcPr>
            <w:tcW w:w="4371" w:type="dxa"/>
            <w:shd w:val="clear" w:color="auto" w:fill="E7E6E6" w:themeFill="background2"/>
          </w:tcPr>
          <w:p w:rsidR="00F00EB5" w:rsidRPr="00095131" w:rsidRDefault="00F00EB5" w:rsidP="00D51CFC">
            <w:pPr>
              <w:spacing w:before="60" w:after="60"/>
              <w:ind w:right="42"/>
              <w:jc w:val="center"/>
              <w:rPr>
                <w:rFonts w:cs="Arial"/>
                <w:b/>
                <w:sz w:val="22"/>
              </w:rPr>
            </w:pPr>
            <w:r w:rsidRPr="00095131">
              <w:rPr>
                <w:rFonts w:cs="Arial"/>
                <w:b/>
                <w:sz w:val="22"/>
              </w:rPr>
              <w:t>Action</w:t>
            </w:r>
          </w:p>
        </w:tc>
        <w:tc>
          <w:tcPr>
            <w:tcW w:w="2119" w:type="dxa"/>
            <w:shd w:val="clear" w:color="auto" w:fill="E7E6E6" w:themeFill="background2"/>
          </w:tcPr>
          <w:p w:rsidR="00F00EB5" w:rsidRPr="00095131" w:rsidRDefault="00F00EB5" w:rsidP="00D51CFC">
            <w:pPr>
              <w:spacing w:before="60" w:after="60"/>
              <w:ind w:right="37"/>
              <w:jc w:val="center"/>
              <w:rPr>
                <w:rFonts w:cs="Arial"/>
                <w:b/>
                <w:sz w:val="22"/>
              </w:rPr>
            </w:pPr>
            <w:r w:rsidRPr="00095131">
              <w:rPr>
                <w:rFonts w:cs="Arial"/>
                <w:b/>
                <w:sz w:val="22"/>
              </w:rPr>
              <w:t>Lead Comm.</w:t>
            </w:r>
          </w:p>
          <w:p w:rsidR="00F00EB5" w:rsidRPr="00095131" w:rsidRDefault="00F00EB5" w:rsidP="00D51CFC">
            <w:pPr>
              <w:spacing w:before="60" w:after="60"/>
              <w:ind w:right="37"/>
              <w:jc w:val="center"/>
              <w:rPr>
                <w:rFonts w:cs="Arial"/>
                <w:b/>
                <w:sz w:val="22"/>
              </w:rPr>
            </w:pPr>
            <w:r w:rsidRPr="00095131">
              <w:rPr>
                <w:rFonts w:cs="Arial"/>
                <w:b/>
                <w:sz w:val="22"/>
              </w:rPr>
              <w:t xml:space="preserve"> Lead Exec(s)</w:t>
            </w:r>
          </w:p>
          <w:p w:rsidR="00F00EB5" w:rsidRPr="00095131" w:rsidRDefault="00F00EB5" w:rsidP="00D51CFC">
            <w:pPr>
              <w:spacing w:before="60" w:after="60"/>
              <w:ind w:right="37"/>
              <w:jc w:val="center"/>
              <w:rPr>
                <w:rFonts w:cs="Arial"/>
                <w:b/>
                <w:sz w:val="22"/>
              </w:rPr>
            </w:pPr>
            <w:r w:rsidRPr="00095131">
              <w:rPr>
                <w:rFonts w:cs="Arial"/>
                <w:b/>
                <w:sz w:val="22"/>
              </w:rPr>
              <w:t>Target Date</w:t>
            </w:r>
          </w:p>
        </w:tc>
        <w:tc>
          <w:tcPr>
            <w:tcW w:w="9397" w:type="dxa"/>
            <w:shd w:val="clear" w:color="auto" w:fill="E7E6E6" w:themeFill="background2"/>
          </w:tcPr>
          <w:p w:rsidR="00F00EB5" w:rsidRPr="00095131" w:rsidRDefault="00F00EB5" w:rsidP="00D51CFC">
            <w:pPr>
              <w:spacing w:before="60" w:after="60"/>
              <w:jc w:val="center"/>
              <w:rPr>
                <w:rFonts w:cs="Arial"/>
                <w:b/>
                <w:sz w:val="22"/>
              </w:rPr>
            </w:pPr>
            <w:r w:rsidRPr="00095131">
              <w:rPr>
                <w:rFonts w:cs="Arial"/>
                <w:b/>
                <w:sz w:val="22"/>
              </w:rPr>
              <w:t>Progress/Status</w:t>
            </w:r>
          </w:p>
        </w:tc>
      </w:tr>
      <w:tr w:rsidR="00DB3C40" w:rsidRPr="00FB35E5" w:rsidTr="00676634">
        <w:tc>
          <w:tcPr>
            <w:tcW w:w="674" w:type="dxa"/>
            <w:shd w:val="clear" w:color="auto" w:fill="auto"/>
          </w:tcPr>
          <w:p w:rsidR="00DB3C40" w:rsidRPr="005F7D47" w:rsidRDefault="00DB3C40" w:rsidP="00DB3C40">
            <w:pPr>
              <w:spacing w:before="40" w:after="40"/>
              <w:jc w:val="center"/>
              <w:rPr>
                <w:rFonts w:cs="Arial"/>
                <w:b/>
                <w:sz w:val="22"/>
              </w:rPr>
            </w:pPr>
            <w:r>
              <w:rPr>
                <w:rFonts w:cs="Arial"/>
                <w:b/>
                <w:sz w:val="22"/>
              </w:rPr>
              <w:t>25</w:t>
            </w:r>
          </w:p>
          <w:p w:rsidR="00DB3C40" w:rsidRPr="005F7D47" w:rsidRDefault="00DB3C40" w:rsidP="00DB3C40">
            <w:pPr>
              <w:spacing w:before="40" w:after="40"/>
              <w:jc w:val="center"/>
              <w:rPr>
                <w:rFonts w:cs="Arial"/>
                <w:b/>
                <w:sz w:val="22"/>
              </w:rPr>
            </w:pPr>
          </w:p>
        </w:tc>
        <w:tc>
          <w:tcPr>
            <w:tcW w:w="4362" w:type="dxa"/>
            <w:gridSpan w:val="2"/>
            <w:shd w:val="clear" w:color="auto" w:fill="auto"/>
          </w:tcPr>
          <w:p w:rsidR="00DB3C40" w:rsidRPr="005F7D47" w:rsidRDefault="00DB3C40" w:rsidP="00DB3C40">
            <w:pPr>
              <w:spacing w:before="40" w:after="40"/>
              <w:ind w:left="103"/>
              <w:rPr>
                <w:rFonts w:cs="Arial"/>
                <w:sz w:val="22"/>
              </w:rPr>
            </w:pPr>
            <w:r w:rsidRPr="005F7D47">
              <w:rPr>
                <w:rFonts w:cs="Arial"/>
                <w:sz w:val="22"/>
              </w:rPr>
              <w:t>Create annual business plans for all service groups.</w:t>
            </w:r>
          </w:p>
          <w:p w:rsidR="00DB3C40" w:rsidRPr="005F7D47" w:rsidRDefault="00DB3C40" w:rsidP="00DB3C40">
            <w:pPr>
              <w:spacing w:before="40" w:after="40"/>
              <w:ind w:left="103"/>
              <w:rPr>
                <w:rFonts w:cs="Arial"/>
                <w:b/>
                <w:sz w:val="22"/>
              </w:rPr>
            </w:pPr>
          </w:p>
        </w:tc>
        <w:tc>
          <w:tcPr>
            <w:tcW w:w="4371" w:type="dxa"/>
            <w:shd w:val="clear" w:color="auto" w:fill="auto"/>
          </w:tcPr>
          <w:p w:rsidR="00DB3C40" w:rsidRPr="00095131" w:rsidRDefault="00DB3C40" w:rsidP="00DB3C40">
            <w:pPr>
              <w:spacing w:before="40" w:after="40"/>
              <w:ind w:left="103"/>
              <w:rPr>
                <w:rFonts w:cs="Arial"/>
                <w:sz w:val="22"/>
              </w:rPr>
            </w:pPr>
          </w:p>
        </w:tc>
        <w:tc>
          <w:tcPr>
            <w:tcW w:w="2119" w:type="dxa"/>
            <w:shd w:val="clear" w:color="auto" w:fill="auto"/>
            <w:vAlign w:val="center"/>
          </w:tcPr>
          <w:p w:rsidR="00DB3C40" w:rsidRPr="00095131" w:rsidRDefault="00DB3C40" w:rsidP="00DB3C40">
            <w:pPr>
              <w:spacing w:before="40" w:after="40"/>
              <w:jc w:val="center"/>
              <w:rPr>
                <w:rFonts w:cs="Arial"/>
                <w:sz w:val="22"/>
              </w:rPr>
            </w:pPr>
            <w:r w:rsidRPr="00095131">
              <w:rPr>
                <w:rFonts w:cs="Arial"/>
                <w:sz w:val="22"/>
              </w:rPr>
              <w:t>P&amp;F Comm.</w:t>
            </w:r>
          </w:p>
          <w:p w:rsidR="00DB3C40" w:rsidRPr="00095131" w:rsidRDefault="00DB3C40" w:rsidP="00DB3C40">
            <w:pPr>
              <w:spacing w:before="40" w:after="40"/>
              <w:jc w:val="center"/>
              <w:rPr>
                <w:rFonts w:cs="Arial"/>
                <w:b/>
                <w:sz w:val="22"/>
              </w:rPr>
            </w:pPr>
          </w:p>
          <w:p w:rsidR="00DB3C40" w:rsidRPr="00095131" w:rsidRDefault="00DB3C40" w:rsidP="00DB3C40">
            <w:pPr>
              <w:spacing w:before="40" w:after="40"/>
              <w:jc w:val="center"/>
              <w:rPr>
                <w:rFonts w:cs="Arial"/>
                <w:sz w:val="22"/>
              </w:rPr>
            </w:pPr>
            <w:r w:rsidRPr="00095131">
              <w:rPr>
                <w:rFonts w:cs="Arial"/>
                <w:sz w:val="22"/>
              </w:rPr>
              <w:t>COO</w:t>
            </w:r>
          </w:p>
          <w:p w:rsidR="00DB3C40" w:rsidRPr="00095131" w:rsidRDefault="00DB3C40" w:rsidP="00DB3C40">
            <w:pPr>
              <w:spacing w:before="40" w:after="40"/>
              <w:jc w:val="center"/>
              <w:rPr>
                <w:rFonts w:cs="Arial"/>
                <w:sz w:val="22"/>
              </w:rPr>
            </w:pPr>
          </w:p>
          <w:p w:rsidR="00DB3C40" w:rsidRPr="001F246E" w:rsidRDefault="00DB3C40" w:rsidP="00DB3C40">
            <w:pPr>
              <w:spacing w:before="40" w:after="40"/>
              <w:jc w:val="center"/>
              <w:rPr>
                <w:rFonts w:cs="Arial"/>
                <w:b/>
                <w:sz w:val="22"/>
              </w:rPr>
            </w:pPr>
            <w:r>
              <w:rPr>
                <w:rFonts w:cs="Arial"/>
                <w:b/>
                <w:sz w:val="22"/>
              </w:rPr>
              <w:t>T.B.C.</w:t>
            </w:r>
          </w:p>
        </w:tc>
        <w:tc>
          <w:tcPr>
            <w:tcW w:w="9397" w:type="dxa"/>
            <w:shd w:val="clear" w:color="auto" w:fill="C5E0B3" w:themeFill="accent6" w:themeFillTint="66"/>
            <w:vAlign w:val="center"/>
          </w:tcPr>
          <w:p w:rsidR="00DB3C40" w:rsidRPr="00676634" w:rsidRDefault="00676634" w:rsidP="00676634">
            <w:pPr>
              <w:jc w:val="both"/>
              <w:rPr>
                <w:rFonts w:cs="Arial"/>
                <w:color w:val="FF0000"/>
                <w:sz w:val="22"/>
              </w:rPr>
            </w:pPr>
            <w:r w:rsidRPr="00676634">
              <w:rPr>
                <w:rFonts w:cs="Arial"/>
                <w:b/>
                <w:sz w:val="22"/>
              </w:rPr>
              <w:t>June 2024:</w:t>
            </w:r>
            <w:r>
              <w:rPr>
                <w:rFonts w:cs="Arial"/>
                <w:sz w:val="22"/>
              </w:rPr>
              <w:t xml:space="preserve"> </w:t>
            </w:r>
            <w:r w:rsidR="00DB3C40" w:rsidRPr="001F6CFE">
              <w:rPr>
                <w:rFonts w:cs="Arial"/>
                <w:sz w:val="22"/>
              </w:rPr>
              <w:t>Business plans have been developed which are linked</w:t>
            </w:r>
            <w:r w:rsidR="00DB3C40">
              <w:rPr>
                <w:rFonts w:cs="Arial"/>
                <w:sz w:val="22"/>
              </w:rPr>
              <w:t xml:space="preserve"> and aligned </w:t>
            </w:r>
            <w:r w:rsidR="00DB3C40" w:rsidRPr="001F6CFE">
              <w:rPr>
                <w:rFonts w:cs="Arial"/>
                <w:sz w:val="22"/>
              </w:rPr>
              <w:t>to the GMO processes</w:t>
            </w:r>
            <w:r w:rsidR="00DB3C40">
              <w:rPr>
                <w:rFonts w:cs="Arial"/>
                <w:sz w:val="22"/>
              </w:rPr>
              <w:t>. These are cross referenced via Planned Care/Diagnostics and UEC for performance related developments. These are aligned with identified risks.</w:t>
            </w:r>
            <w:r>
              <w:rPr>
                <w:rFonts w:cs="Arial"/>
                <w:sz w:val="22"/>
              </w:rPr>
              <w:t xml:space="preserve"> </w:t>
            </w:r>
            <w:r w:rsidRPr="00676634">
              <w:rPr>
                <w:rFonts w:cs="Arial"/>
                <w:b/>
                <w:sz w:val="22"/>
              </w:rPr>
              <w:t>This recommendation is now considered addressed.</w:t>
            </w:r>
          </w:p>
        </w:tc>
      </w:tr>
      <w:tr w:rsidR="00DB3C40" w:rsidRPr="00FB35E5" w:rsidTr="0067134B">
        <w:tc>
          <w:tcPr>
            <w:tcW w:w="674" w:type="dxa"/>
            <w:shd w:val="clear" w:color="auto" w:fill="auto"/>
          </w:tcPr>
          <w:p w:rsidR="00DB3C40" w:rsidRPr="00DD085E" w:rsidRDefault="00DB3C40" w:rsidP="00DB3C40">
            <w:pPr>
              <w:spacing w:before="40" w:after="40"/>
              <w:jc w:val="center"/>
              <w:rPr>
                <w:rFonts w:cs="Arial"/>
                <w:b/>
                <w:sz w:val="22"/>
              </w:rPr>
            </w:pPr>
            <w:r>
              <w:rPr>
                <w:rFonts w:cs="Arial"/>
                <w:b/>
                <w:sz w:val="22"/>
              </w:rPr>
              <w:t>26</w:t>
            </w:r>
          </w:p>
          <w:p w:rsidR="00DB3C40" w:rsidRPr="00DD085E" w:rsidRDefault="00DB3C40" w:rsidP="00DB3C40">
            <w:pPr>
              <w:spacing w:before="40" w:after="40"/>
              <w:jc w:val="center"/>
              <w:rPr>
                <w:rFonts w:cs="Arial"/>
                <w:b/>
                <w:sz w:val="22"/>
              </w:rPr>
            </w:pPr>
          </w:p>
        </w:tc>
        <w:tc>
          <w:tcPr>
            <w:tcW w:w="4362" w:type="dxa"/>
            <w:gridSpan w:val="2"/>
            <w:shd w:val="clear" w:color="auto" w:fill="auto"/>
          </w:tcPr>
          <w:p w:rsidR="00DB3C40" w:rsidRPr="00DD085E" w:rsidRDefault="00DB3C40" w:rsidP="00DB3C40">
            <w:pPr>
              <w:spacing w:before="40" w:after="40"/>
              <w:ind w:left="103"/>
              <w:rPr>
                <w:rFonts w:cs="Arial"/>
                <w:sz w:val="22"/>
              </w:rPr>
            </w:pPr>
            <w:r w:rsidRPr="00DD085E">
              <w:rPr>
                <w:rFonts w:cs="Arial"/>
                <w:sz w:val="22"/>
              </w:rPr>
              <w:t>Provide clear individual and team objectives to service group triumvirates, divisional teams and directorate teams to support annul plans and introduce 180 degrees appraisal systems.</w:t>
            </w:r>
          </w:p>
          <w:p w:rsidR="00DB3C40" w:rsidRPr="00DD085E" w:rsidRDefault="00DB3C40" w:rsidP="00DB3C40">
            <w:pPr>
              <w:spacing w:before="40" w:after="40"/>
              <w:ind w:left="103"/>
              <w:rPr>
                <w:rFonts w:cs="Arial"/>
                <w:sz w:val="22"/>
              </w:rPr>
            </w:pPr>
          </w:p>
        </w:tc>
        <w:tc>
          <w:tcPr>
            <w:tcW w:w="4371" w:type="dxa"/>
            <w:shd w:val="clear" w:color="auto" w:fill="auto"/>
          </w:tcPr>
          <w:p w:rsidR="00DB3C40" w:rsidRPr="00095131" w:rsidRDefault="00DB3C40" w:rsidP="00DB3C40">
            <w:pPr>
              <w:spacing w:before="40" w:after="40"/>
              <w:ind w:left="103"/>
              <w:rPr>
                <w:rFonts w:cs="Arial"/>
                <w:sz w:val="22"/>
              </w:rPr>
            </w:pPr>
          </w:p>
        </w:tc>
        <w:tc>
          <w:tcPr>
            <w:tcW w:w="2119" w:type="dxa"/>
            <w:shd w:val="clear" w:color="auto" w:fill="auto"/>
            <w:vAlign w:val="center"/>
          </w:tcPr>
          <w:p w:rsidR="00DB3C40" w:rsidRPr="00095131" w:rsidRDefault="00DB3C40" w:rsidP="00DB3C40">
            <w:pPr>
              <w:spacing w:before="40" w:after="40"/>
              <w:jc w:val="center"/>
              <w:rPr>
                <w:rFonts w:cs="Arial"/>
                <w:sz w:val="22"/>
              </w:rPr>
            </w:pPr>
            <w:r w:rsidRPr="00095131">
              <w:rPr>
                <w:rFonts w:cs="Arial"/>
                <w:sz w:val="22"/>
              </w:rPr>
              <w:t>P&amp;F Comm.</w:t>
            </w:r>
          </w:p>
          <w:p w:rsidR="00DB3C40" w:rsidRPr="00095131" w:rsidRDefault="00DB3C40" w:rsidP="00DB3C40">
            <w:pPr>
              <w:spacing w:before="40" w:after="40"/>
              <w:jc w:val="center"/>
              <w:rPr>
                <w:rFonts w:cs="Arial"/>
                <w:b/>
                <w:sz w:val="22"/>
              </w:rPr>
            </w:pPr>
          </w:p>
          <w:p w:rsidR="00DB3C40" w:rsidRPr="00095131" w:rsidRDefault="00DB3C40" w:rsidP="00DB3C40">
            <w:pPr>
              <w:spacing w:before="40" w:after="40"/>
              <w:jc w:val="center"/>
              <w:rPr>
                <w:rFonts w:cs="Arial"/>
                <w:sz w:val="22"/>
              </w:rPr>
            </w:pPr>
            <w:r w:rsidRPr="00095131">
              <w:rPr>
                <w:rFonts w:cs="Arial"/>
                <w:sz w:val="22"/>
              </w:rPr>
              <w:t>COO</w:t>
            </w:r>
          </w:p>
          <w:p w:rsidR="00DB3C40" w:rsidRPr="00095131" w:rsidRDefault="00DB3C40" w:rsidP="00DB3C40">
            <w:pPr>
              <w:spacing w:before="40" w:after="40"/>
              <w:jc w:val="center"/>
              <w:rPr>
                <w:rFonts w:cs="Arial"/>
                <w:sz w:val="22"/>
              </w:rPr>
            </w:pPr>
          </w:p>
          <w:p w:rsidR="00DB3C40" w:rsidRPr="00095131" w:rsidRDefault="00DB3C40" w:rsidP="00DB3C40">
            <w:pPr>
              <w:spacing w:before="40" w:after="40"/>
              <w:jc w:val="center"/>
              <w:rPr>
                <w:rFonts w:cs="Arial"/>
                <w:sz w:val="22"/>
              </w:rPr>
            </w:pPr>
            <w:r>
              <w:rPr>
                <w:rFonts w:cs="Arial"/>
                <w:b/>
                <w:sz w:val="22"/>
              </w:rPr>
              <w:t>T.B.C.</w:t>
            </w:r>
          </w:p>
        </w:tc>
        <w:tc>
          <w:tcPr>
            <w:tcW w:w="9397" w:type="dxa"/>
            <w:shd w:val="clear" w:color="auto" w:fill="auto"/>
            <w:vAlign w:val="center"/>
          </w:tcPr>
          <w:p w:rsidR="00DB3C40" w:rsidRPr="001C2E8F" w:rsidRDefault="001C2E8F" w:rsidP="00DB3C40">
            <w:pPr>
              <w:jc w:val="both"/>
              <w:rPr>
                <w:rFonts w:cs="Arial"/>
                <w:sz w:val="22"/>
              </w:rPr>
            </w:pPr>
            <w:r w:rsidRPr="001C2E8F">
              <w:rPr>
                <w:rFonts w:cs="Arial"/>
                <w:b/>
                <w:sz w:val="22"/>
              </w:rPr>
              <w:t>June 2024:</w:t>
            </w:r>
            <w:r>
              <w:rPr>
                <w:rFonts w:cs="Arial"/>
                <w:sz w:val="22"/>
              </w:rPr>
              <w:t xml:space="preserve"> </w:t>
            </w:r>
            <w:r w:rsidR="00DB3C40" w:rsidRPr="007864F2">
              <w:rPr>
                <w:rFonts w:cs="Arial"/>
                <w:sz w:val="22"/>
              </w:rPr>
              <w:t xml:space="preserve">Appraisals with objectives have been undertaken. </w:t>
            </w:r>
            <w:r w:rsidR="00DB3C40">
              <w:rPr>
                <w:rFonts w:cs="Arial"/>
                <w:sz w:val="22"/>
              </w:rPr>
              <w:t>Each Service group Director has been aligned with a specific pan Health Board area of responsibility. These align to the above objective No 1 where appropriate. The 180 deg</w:t>
            </w:r>
            <w:r>
              <w:rPr>
                <w:rFonts w:cs="Arial"/>
                <w:sz w:val="22"/>
              </w:rPr>
              <w:t>ree appraisal is in development, and will form par</w:t>
            </w:r>
            <w:r w:rsidR="00084224">
              <w:rPr>
                <w:rFonts w:cs="Arial"/>
                <w:sz w:val="22"/>
              </w:rPr>
              <w:t>t</w:t>
            </w:r>
            <w:r>
              <w:rPr>
                <w:rFonts w:cs="Arial"/>
                <w:sz w:val="22"/>
              </w:rPr>
              <w:t xml:space="preserve"> of this year’s PADR process.</w:t>
            </w:r>
            <w:r w:rsidR="00DB3C40">
              <w:rPr>
                <w:rFonts w:cs="Arial"/>
                <w:sz w:val="22"/>
              </w:rPr>
              <w:t xml:space="preserve">  </w:t>
            </w:r>
          </w:p>
        </w:tc>
      </w:tr>
      <w:tr w:rsidR="002C1877" w:rsidRPr="00FB35E5" w:rsidTr="0067134B">
        <w:tc>
          <w:tcPr>
            <w:tcW w:w="674" w:type="dxa"/>
            <w:shd w:val="clear" w:color="auto" w:fill="auto"/>
          </w:tcPr>
          <w:p w:rsidR="002C1877" w:rsidRDefault="005E5DCD" w:rsidP="002C1877">
            <w:pPr>
              <w:spacing w:before="40" w:after="40"/>
              <w:jc w:val="center"/>
              <w:rPr>
                <w:rFonts w:cs="Arial"/>
                <w:b/>
                <w:sz w:val="22"/>
              </w:rPr>
            </w:pPr>
            <w:r>
              <w:rPr>
                <w:rFonts w:cs="Arial"/>
                <w:b/>
                <w:sz w:val="22"/>
              </w:rPr>
              <w:t>27</w:t>
            </w:r>
          </w:p>
          <w:p w:rsidR="002C1877" w:rsidRPr="00095131" w:rsidRDefault="002C1877" w:rsidP="002C1877">
            <w:pPr>
              <w:spacing w:before="40" w:after="40"/>
              <w:jc w:val="center"/>
              <w:rPr>
                <w:rFonts w:cs="Arial"/>
                <w:b/>
                <w:sz w:val="22"/>
              </w:rPr>
            </w:pPr>
          </w:p>
        </w:tc>
        <w:tc>
          <w:tcPr>
            <w:tcW w:w="4362" w:type="dxa"/>
            <w:gridSpan w:val="2"/>
            <w:shd w:val="clear" w:color="auto" w:fill="auto"/>
          </w:tcPr>
          <w:p w:rsidR="002C1877" w:rsidRPr="00095131" w:rsidRDefault="002C1877" w:rsidP="002C1877">
            <w:pPr>
              <w:spacing w:before="40" w:after="40"/>
              <w:ind w:left="103"/>
              <w:rPr>
                <w:rFonts w:cs="Arial"/>
                <w:sz w:val="22"/>
              </w:rPr>
            </w:pPr>
            <w:r w:rsidRPr="001F246E">
              <w:rPr>
                <w:rFonts w:cs="Arial"/>
                <w:sz w:val="22"/>
              </w:rPr>
              <w:t>The Integrated Performance Report has limited reference to primary care performance. As part of the planned refresh, the Health Board should ensure there is a greater focus on primary care performance</w:t>
            </w:r>
            <w:r w:rsidR="00DB3C40">
              <w:rPr>
                <w:rFonts w:cs="Arial"/>
                <w:bCs/>
                <w:sz w:val="22"/>
              </w:rPr>
              <w:t xml:space="preserve"> </w:t>
            </w:r>
            <w:proofErr w:type="spellStart"/>
            <w:r w:rsidR="00DB3C40" w:rsidRPr="00DB3C40">
              <w:rPr>
                <w:rFonts w:cs="Arial"/>
                <w:b/>
                <w:bCs/>
                <w:color w:val="00B0F0"/>
                <w:sz w:val="22"/>
              </w:rPr>
              <w:t>S6</w:t>
            </w:r>
            <w:proofErr w:type="spellEnd"/>
          </w:p>
        </w:tc>
        <w:tc>
          <w:tcPr>
            <w:tcW w:w="4371" w:type="dxa"/>
            <w:shd w:val="clear" w:color="auto" w:fill="auto"/>
          </w:tcPr>
          <w:p w:rsidR="002C1877" w:rsidRPr="00095131" w:rsidRDefault="002C1877" w:rsidP="002C1877">
            <w:pPr>
              <w:spacing w:before="40" w:after="40"/>
              <w:ind w:left="103"/>
              <w:rPr>
                <w:rFonts w:cs="Arial"/>
                <w:sz w:val="22"/>
              </w:rPr>
            </w:pPr>
            <w:r w:rsidRPr="001F246E">
              <w:rPr>
                <w:rFonts w:cs="Arial"/>
                <w:sz w:val="22"/>
              </w:rPr>
              <w:t>Reporting of primary care data is less frequent than other performance information (little is reported monthly) but the IPR will be developed</w:t>
            </w:r>
          </w:p>
        </w:tc>
        <w:tc>
          <w:tcPr>
            <w:tcW w:w="2119" w:type="dxa"/>
            <w:shd w:val="clear" w:color="auto" w:fill="auto"/>
            <w:vAlign w:val="center"/>
          </w:tcPr>
          <w:p w:rsidR="002C1877" w:rsidRPr="00095131" w:rsidRDefault="002C1877" w:rsidP="002C1877">
            <w:pPr>
              <w:spacing w:before="40" w:after="40"/>
              <w:jc w:val="center"/>
              <w:rPr>
                <w:rFonts w:cs="Arial"/>
                <w:sz w:val="22"/>
              </w:rPr>
            </w:pPr>
            <w:r w:rsidRPr="00095131">
              <w:rPr>
                <w:rFonts w:cs="Arial"/>
                <w:sz w:val="22"/>
              </w:rPr>
              <w:t>P&amp;F Comm.</w:t>
            </w:r>
          </w:p>
          <w:p w:rsidR="002C1877" w:rsidRPr="00095131" w:rsidRDefault="002C1877" w:rsidP="002C1877">
            <w:pPr>
              <w:spacing w:before="40" w:after="40"/>
              <w:jc w:val="center"/>
              <w:rPr>
                <w:rFonts w:cs="Arial"/>
                <w:sz w:val="22"/>
              </w:rPr>
            </w:pPr>
          </w:p>
          <w:p w:rsidR="002C1877" w:rsidRPr="00095131" w:rsidRDefault="002C1877" w:rsidP="002C1877">
            <w:pPr>
              <w:spacing w:before="40" w:after="40"/>
              <w:jc w:val="center"/>
              <w:rPr>
                <w:rFonts w:cs="Arial"/>
                <w:sz w:val="22"/>
              </w:rPr>
            </w:pPr>
            <w:r w:rsidRPr="00095131">
              <w:rPr>
                <w:rFonts w:cs="Arial"/>
                <w:sz w:val="22"/>
              </w:rPr>
              <w:t>Dir of Fin &amp; Perf.</w:t>
            </w:r>
          </w:p>
          <w:p w:rsidR="002C1877" w:rsidRPr="00095131" w:rsidRDefault="002C1877" w:rsidP="002C1877">
            <w:pPr>
              <w:spacing w:before="40" w:after="40"/>
              <w:jc w:val="center"/>
              <w:rPr>
                <w:rFonts w:cs="Arial"/>
                <w:sz w:val="22"/>
              </w:rPr>
            </w:pPr>
          </w:p>
          <w:p w:rsidR="002C1877" w:rsidRPr="00095131" w:rsidRDefault="002C1877" w:rsidP="002C1877">
            <w:pPr>
              <w:spacing w:before="40" w:after="40"/>
              <w:jc w:val="center"/>
              <w:rPr>
                <w:rFonts w:cs="Arial"/>
                <w:sz w:val="22"/>
              </w:rPr>
            </w:pPr>
            <w:r w:rsidRPr="00095131">
              <w:rPr>
                <w:rFonts w:cs="Arial"/>
                <w:sz w:val="22"/>
              </w:rPr>
              <w:t>March 2024</w:t>
            </w:r>
          </w:p>
        </w:tc>
        <w:tc>
          <w:tcPr>
            <w:tcW w:w="9397" w:type="dxa"/>
            <w:shd w:val="clear" w:color="auto" w:fill="auto"/>
            <w:vAlign w:val="center"/>
          </w:tcPr>
          <w:p w:rsidR="002C1877" w:rsidRPr="002C1877" w:rsidRDefault="002C1877" w:rsidP="002C1877">
            <w:pPr>
              <w:ind w:right="-18"/>
              <w:jc w:val="both"/>
              <w:rPr>
                <w:rFonts w:cs="Arial"/>
                <w:sz w:val="22"/>
              </w:rPr>
            </w:pPr>
            <w:r w:rsidRPr="002C1877">
              <w:rPr>
                <w:rFonts w:cs="Arial"/>
                <w:b/>
                <w:sz w:val="22"/>
              </w:rPr>
              <w:t>February 2024:</w:t>
            </w:r>
            <w:r w:rsidRPr="002C1877">
              <w:rPr>
                <w:rFonts w:cs="Arial"/>
                <w:sz w:val="22"/>
              </w:rPr>
              <w:t xml:space="preserve"> Some primary care data is already included within the IPR under the primary and community care overview section. A review will be undertaken in Quarter 1 to determine which measures are to be retained and which are to be removed. Consideration will also be given to the addition of new measures to reflect developments across primary and community care services.</w:t>
            </w:r>
          </w:p>
        </w:tc>
      </w:tr>
    </w:tbl>
    <w:p w:rsidR="00F00EB5" w:rsidRDefault="00F00EB5" w:rsidP="00D45FE7">
      <w:pPr>
        <w:jc w:val="center"/>
      </w:pPr>
    </w:p>
    <w:p w:rsidR="00F00EB5" w:rsidRDefault="00F00EB5" w:rsidP="00D45FE7">
      <w:pPr>
        <w:jc w:val="center"/>
      </w:pPr>
    </w:p>
    <w:p w:rsidR="00F00EB5" w:rsidRDefault="00F00EB5" w:rsidP="00D45FE7">
      <w:pPr>
        <w:jc w:val="center"/>
      </w:pPr>
    </w:p>
    <w:p w:rsidR="00F00EB5" w:rsidRDefault="00F00EB5" w:rsidP="00D45FE7">
      <w:pPr>
        <w:jc w:val="center"/>
      </w:pPr>
    </w:p>
    <w:p w:rsidR="00DB08E1" w:rsidRDefault="00DB08E1" w:rsidP="00AD508E">
      <w:pPr>
        <w:jc w:val="center"/>
      </w:pPr>
    </w:p>
    <w:sectPr w:rsidR="00DB08E1" w:rsidSect="00D45FE7">
      <w:footerReference w:type="default" r:id="rId8"/>
      <w:pgSz w:w="23811" w:h="16838" w:orient="landscape" w:code="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71751" w:rsidRDefault="00F71751" w:rsidP="004B7EA5">
      <w:r>
        <w:separator/>
      </w:r>
    </w:p>
  </w:endnote>
  <w:endnote w:type="continuationSeparator" w:id="0">
    <w:p w:rsidR="00F71751" w:rsidRDefault="00F71751" w:rsidP="004B7E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87784083"/>
      <w:docPartObj>
        <w:docPartGallery w:val="Page Numbers (Bottom of Page)"/>
        <w:docPartUnique/>
      </w:docPartObj>
    </w:sdtPr>
    <w:sdtEndPr>
      <w:rPr>
        <w:noProof/>
      </w:rPr>
    </w:sdtEndPr>
    <w:sdtContent>
      <w:p w:rsidR="00F71751" w:rsidRDefault="00F71751">
        <w:pPr>
          <w:pStyle w:val="Footer"/>
          <w:jc w:val="right"/>
        </w:pPr>
        <w:r>
          <w:fldChar w:fldCharType="begin"/>
        </w:r>
        <w:r>
          <w:instrText xml:space="preserve"> PAGE   \* MERGEFORMAT </w:instrText>
        </w:r>
        <w:r>
          <w:fldChar w:fldCharType="separate"/>
        </w:r>
        <w:r w:rsidR="006F1F58">
          <w:rPr>
            <w:noProof/>
          </w:rPr>
          <w:t>3</w:t>
        </w:r>
        <w:r>
          <w:rPr>
            <w:noProof/>
          </w:rPr>
          <w:fldChar w:fldCharType="end"/>
        </w:r>
      </w:p>
    </w:sdtContent>
  </w:sdt>
  <w:p w:rsidR="00F71751" w:rsidRDefault="00F7175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71751" w:rsidRDefault="00F71751" w:rsidP="004B7EA5">
      <w:r>
        <w:separator/>
      </w:r>
    </w:p>
  </w:footnote>
  <w:footnote w:type="continuationSeparator" w:id="0">
    <w:p w:rsidR="00F71751" w:rsidRDefault="00F71751" w:rsidP="004B7EA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E860F4"/>
    <w:multiLevelType w:val="hybridMultilevel"/>
    <w:tmpl w:val="3F10D47C"/>
    <w:lvl w:ilvl="0" w:tplc="3D08B21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CE447B5"/>
    <w:multiLevelType w:val="hybridMultilevel"/>
    <w:tmpl w:val="7C843CA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 w15:restartNumberingAfterBreak="0">
    <w:nsid w:val="156B51D2"/>
    <w:multiLevelType w:val="hybridMultilevel"/>
    <w:tmpl w:val="3ABC968E"/>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178B5BAC"/>
    <w:multiLevelType w:val="hybridMultilevel"/>
    <w:tmpl w:val="42E84D76"/>
    <w:lvl w:ilvl="0" w:tplc="7C5C4396">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C4C5615"/>
    <w:multiLevelType w:val="hybridMultilevel"/>
    <w:tmpl w:val="612A060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E0D0446"/>
    <w:multiLevelType w:val="hybridMultilevel"/>
    <w:tmpl w:val="02F27228"/>
    <w:lvl w:ilvl="0" w:tplc="8174BFE4">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3D1549F"/>
    <w:multiLevelType w:val="hybridMultilevel"/>
    <w:tmpl w:val="CBFE47C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378350E7"/>
    <w:multiLevelType w:val="hybridMultilevel"/>
    <w:tmpl w:val="405427E2"/>
    <w:lvl w:ilvl="0" w:tplc="08090001">
      <w:start w:val="1"/>
      <w:numFmt w:val="bullet"/>
      <w:lvlText w:val=""/>
      <w:lvlJc w:val="left"/>
      <w:pPr>
        <w:ind w:left="1068" w:hanging="360"/>
      </w:pPr>
      <w:rPr>
        <w:rFonts w:ascii="Symbol" w:hAnsi="Symbol" w:hint="default"/>
      </w:rPr>
    </w:lvl>
    <w:lvl w:ilvl="1" w:tplc="08090003" w:tentative="1">
      <w:start w:val="1"/>
      <w:numFmt w:val="bullet"/>
      <w:lvlText w:val="o"/>
      <w:lvlJc w:val="left"/>
      <w:pPr>
        <w:ind w:left="1477" w:hanging="360"/>
      </w:pPr>
      <w:rPr>
        <w:rFonts w:ascii="Courier New" w:hAnsi="Courier New" w:cs="Courier New" w:hint="default"/>
      </w:rPr>
    </w:lvl>
    <w:lvl w:ilvl="2" w:tplc="08090005" w:tentative="1">
      <w:start w:val="1"/>
      <w:numFmt w:val="bullet"/>
      <w:lvlText w:val=""/>
      <w:lvlJc w:val="left"/>
      <w:pPr>
        <w:ind w:left="2197" w:hanging="360"/>
      </w:pPr>
      <w:rPr>
        <w:rFonts w:ascii="Wingdings" w:hAnsi="Wingdings" w:hint="default"/>
      </w:rPr>
    </w:lvl>
    <w:lvl w:ilvl="3" w:tplc="08090001" w:tentative="1">
      <w:start w:val="1"/>
      <w:numFmt w:val="bullet"/>
      <w:lvlText w:val=""/>
      <w:lvlJc w:val="left"/>
      <w:pPr>
        <w:ind w:left="2917" w:hanging="360"/>
      </w:pPr>
      <w:rPr>
        <w:rFonts w:ascii="Symbol" w:hAnsi="Symbol" w:hint="default"/>
      </w:rPr>
    </w:lvl>
    <w:lvl w:ilvl="4" w:tplc="08090003" w:tentative="1">
      <w:start w:val="1"/>
      <w:numFmt w:val="bullet"/>
      <w:lvlText w:val="o"/>
      <w:lvlJc w:val="left"/>
      <w:pPr>
        <w:ind w:left="3637" w:hanging="360"/>
      </w:pPr>
      <w:rPr>
        <w:rFonts w:ascii="Courier New" w:hAnsi="Courier New" w:cs="Courier New" w:hint="default"/>
      </w:rPr>
    </w:lvl>
    <w:lvl w:ilvl="5" w:tplc="08090005" w:tentative="1">
      <w:start w:val="1"/>
      <w:numFmt w:val="bullet"/>
      <w:lvlText w:val=""/>
      <w:lvlJc w:val="left"/>
      <w:pPr>
        <w:ind w:left="4357" w:hanging="360"/>
      </w:pPr>
      <w:rPr>
        <w:rFonts w:ascii="Wingdings" w:hAnsi="Wingdings" w:hint="default"/>
      </w:rPr>
    </w:lvl>
    <w:lvl w:ilvl="6" w:tplc="08090001" w:tentative="1">
      <w:start w:val="1"/>
      <w:numFmt w:val="bullet"/>
      <w:lvlText w:val=""/>
      <w:lvlJc w:val="left"/>
      <w:pPr>
        <w:ind w:left="5077" w:hanging="360"/>
      </w:pPr>
      <w:rPr>
        <w:rFonts w:ascii="Symbol" w:hAnsi="Symbol" w:hint="default"/>
      </w:rPr>
    </w:lvl>
    <w:lvl w:ilvl="7" w:tplc="08090003" w:tentative="1">
      <w:start w:val="1"/>
      <w:numFmt w:val="bullet"/>
      <w:lvlText w:val="o"/>
      <w:lvlJc w:val="left"/>
      <w:pPr>
        <w:ind w:left="5797" w:hanging="360"/>
      </w:pPr>
      <w:rPr>
        <w:rFonts w:ascii="Courier New" w:hAnsi="Courier New" w:cs="Courier New" w:hint="default"/>
      </w:rPr>
    </w:lvl>
    <w:lvl w:ilvl="8" w:tplc="08090005" w:tentative="1">
      <w:start w:val="1"/>
      <w:numFmt w:val="bullet"/>
      <w:lvlText w:val=""/>
      <w:lvlJc w:val="left"/>
      <w:pPr>
        <w:ind w:left="6517" w:hanging="360"/>
      </w:pPr>
      <w:rPr>
        <w:rFonts w:ascii="Wingdings" w:hAnsi="Wingdings" w:hint="default"/>
      </w:rPr>
    </w:lvl>
  </w:abstractNum>
  <w:abstractNum w:abstractNumId="8" w15:restartNumberingAfterBreak="0">
    <w:nsid w:val="3A1041BA"/>
    <w:multiLevelType w:val="hybridMultilevel"/>
    <w:tmpl w:val="8F005E4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3BFF6FDB"/>
    <w:multiLevelType w:val="hybridMultilevel"/>
    <w:tmpl w:val="971698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016556C"/>
    <w:multiLevelType w:val="hybridMultilevel"/>
    <w:tmpl w:val="C8FC005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EB47529"/>
    <w:multiLevelType w:val="hybridMultilevel"/>
    <w:tmpl w:val="565802B2"/>
    <w:lvl w:ilvl="0" w:tplc="1A28AEEE">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1BE0CF1"/>
    <w:multiLevelType w:val="hybridMultilevel"/>
    <w:tmpl w:val="327E58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53442B0"/>
    <w:multiLevelType w:val="hybridMultilevel"/>
    <w:tmpl w:val="3A26479A"/>
    <w:lvl w:ilvl="0" w:tplc="08090001">
      <w:start w:val="1"/>
      <w:numFmt w:val="bullet"/>
      <w:lvlText w:val=""/>
      <w:lvlJc w:val="left"/>
      <w:pPr>
        <w:ind w:left="720" w:hanging="360"/>
      </w:pPr>
      <w:rPr>
        <w:rFonts w:ascii="Symbol" w:hAnsi="Symbol"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84E1E70"/>
    <w:multiLevelType w:val="hybridMultilevel"/>
    <w:tmpl w:val="B978C7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7"/>
  </w:num>
  <w:num w:numId="2">
    <w:abstractNumId w:val="1"/>
  </w:num>
  <w:num w:numId="3">
    <w:abstractNumId w:val="2"/>
  </w:num>
  <w:num w:numId="4">
    <w:abstractNumId w:val="8"/>
  </w:num>
  <w:num w:numId="5">
    <w:abstractNumId w:val="14"/>
  </w:num>
  <w:num w:numId="6">
    <w:abstractNumId w:val="10"/>
  </w:num>
  <w:num w:numId="7">
    <w:abstractNumId w:val="13"/>
  </w:num>
  <w:num w:numId="8">
    <w:abstractNumId w:val="6"/>
  </w:num>
  <w:num w:numId="9">
    <w:abstractNumId w:val="4"/>
  </w:num>
  <w:num w:numId="10">
    <w:abstractNumId w:val="12"/>
  </w:num>
  <w:num w:numId="11">
    <w:abstractNumId w:val="9"/>
  </w:num>
  <w:num w:numId="12">
    <w:abstractNumId w:val="6"/>
  </w:num>
  <w:num w:numId="13">
    <w:abstractNumId w:val="11"/>
  </w:num>
  <w:num w:numId="14">
    <w:abstractNumId w:val="5"/>
  </w:num>
  <w:num w:numId="15">
    <w:abstractNumId w:val="0"/>
  </w:num>
  <w:num w:numId="16">
    <w:abstractNumId w:val="3"/>
  </w:num>
  <w:num w:numId="1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5FE7"/>
    <w:rsid w:val="000013E2"/>
    <w:rsid w:val="000116A4"/>
    <w:rsid w:val="0001699E"/>
    <w:rsid w:val="00021277"/>
    <w:rsid w:val="00026BE4"/>
    <w:rsid w:val="000276D0"/>
    <w:rsid w:val="00027814"/>
    <w:rsid w:val="00047C32"/>
    <w:rsid w:val="00066380"/>
    <w:rsid w:val="000675CA"/>
    <w:rsid w:val="00070FD7"/>
    <w:rsid w:val="00075E8A"/>
    <w:rsid w:val="00080D25"/>
    <w:rsid w:val="0008309A"/>
    <w:rsid w:val="00084224"/>
    <w:rsid w:val="0009300F"/>
    <w:rsid w:val="00095131"/>
    <w:rsid w:val="000A3BEF"/>
    <w:rsid w:val="000A45D0"/>
    <w:rsid w:val="000A7C4E"/>
    <w:rsid w:val="000B0132"/>
    <w:rsid w:val="000B0510"/>
    <w:rsid w:val="000B4A90"/>
    <w:rsid w:val="000C16FD"/>
    <w:rsid w:val="000C2658"/>
    <w:rsid w:val="000C41DD"/>
    <w:rsid w:val="000D21B5"/>
    <w:rsid w:val="000D2503"/>
    <w:rsid w:val="000D3969"/>
    <w:rsid w:val="000F106C"/>
    <w:rsid w:val="000F2CBD"/>
    <w:rsid w:val="000F5893"/>
    <w:rsid w:val="00103445"/>
    <w:rsid w:val="00110AA0"/>
    <w:rsid w:val="00112A1D"/>
    <w:rsid w:val="001133DE"/>
    <w:rsid w:val="00124349"/>
    <w:rsid w:val="00131952"/>
    <w:rsid w:val="001333D4"/>
    <w:rsid w:val="00135AC4"/>
    <w:rsid w:val="00136765"/>
    <w:rsid w:val="00137EE5"/>
    <w:rsid w:val="0014027F"/>
    <w:rsid w:val="00140CB1"/>
    <w:rsid w:val="00145384"/>
    <w:rsid w:val="00152655"/>
    <w:rsid w:val="00153CDE"/>
    <w:rsid w:val="00154A67"/>
    <w:rsid w:val="001624F1"/>
    <w:rsid w:val="0016281A"/>
    <w:rsid w:val="00163381"/>
    <w:rsid w:val="0017144C"/>
    <w:rsid w:val="00172C3A"/>
    <w:rsid w:val="001735E0"/>
    <w:rsid w:val="00174762"/>
    <w:rsid w:val="001765B0"/>
    <w:rsid w:val="001904DB"/>
    <w:rsid w:val="00191A7B"/>
    <w:rsid w:val="00197D99"/>
    <w:rsid w:val="001A1C90"/>
    <w:rsid w:val="001B040B"/>
    <w:rsid w:val="001B2A78"/>
    <w:rsid w:val="001C2E8F"/>
    <w:rsid w:val="001C7649"/>
    <w:rsid w:val="001D0ADB"/>
    <w:rsid w:val="001D3832"/>
    <w:rsid w:val="001E7FF7"/>
    <w:rsid w:val="001F246E"/>
    <w:rsid w:val="002017CB"/>
    <w:rsid w:val="00202969"/>
    <w:rsid w:val="00212A51"/>
    <w:rsid w:val="00214AE8"/>
    <w:rsid w:val="002226A7"/>
    <w:rsid w:val="00235D43"/>
    <w:rsid w:val="00237203"/>
    <w:rsid w:val="00250626"/>
    <w:rsid w:val="00260FE1"/>
    <w:rsid w:val="002666AF"/>
    <w:rsid w:val="002715E4"/>
    <w:rsid w:val="00273E3D"/>
    <w:rsid w:val="00274121"/>
    <w:rsid w:val="0027757C"/>
    <w:rsid w:val="00291EE1"/>
    <w:rsid w:val="002922C5"/>
    <w:rsid w:val="00292C58"/>
    <w:rsid w:val="002A0FDA"/>
    <w:rsid w:val="002A729F"/>
    <w:rsid w:val="002B6558"/>
    <w:rsid w:val="002C1877"/>
    <w:rsid w:val="002C1C37"/>
    <w:rsid w:val="002C4EA8"/>
    <w:rsid w:val="002D0F4E"/>
    <w:rsid w:val="002D4330"/>
    <w:rsid w:val="002D6B51"/>
    <w:rsid w:val="002F5E6F"/>
    <w:rsid w:val="00302062"/>
    <w:rsid w:val="00306A86"/>
    <w:rsid w:val="00310C2C"/>
    <w:rsid w:val="00311902"/>
    <w:rsid w:val="00316C64"/>
    <w:rsid w:val="003451A7"/>
    <w:rsid w:val="003552BD"/>
    <w:rsid w:val="003570E2"/>
    <w:rsid w:val="00360BBA"/>
    <w:rsid w:val="00362588"/>
    <w:rsid w:val="003726BF"/>
    <w:rsid w:val="00380CCE"/>
    <w:rsid w:val="00384411"/>
    <w:rsid w:val="0038558C"/>
    <w:rsid w:val="00390BDE"/>
    <w:rsid w:val="00390DC8"/>
    <w:rsid w:val="003A01AA"/>
    <w:rsid w:val="003B013B"/>
    <w:rsid w:val="003B2DF8"/>
    <w:rsid w:val="003B6600"/>
    <w:rsid w:val="003B69B2"/>
    <w:rsid w:val="003D0666"/>
    <w:rsid w:val="003D2763"/>
    <w:rsid w:val="003F1FEB"/>
    <w:rsid w:val="0040137A"/>
    <w:rsid w:val="0041053B"/>
    <w:rsid w:val="004107C8"/>
    <w:rsid w:val="00413371"/>
    <w:rsid w:val="00414877"/>
    <w:rsid w:val="00414C35"/>
    <w:rsid w:val="00422077"/>
    <w:rsid w:val="0043265A"/>
    <w:rsid w:val="004340E9"/>
    <w:rsid w:val="0044367A"/>
    <w:rsid w:val="00443B63"/>
    <w:rsid w:val="00443D65"/>
    <w:rsid w:val="004450B8"/>
    <w:rsid w:val="00450CC3"/>
    <w:rsid w:val="004573FC"/>
    <w:rsid w:val="00465668"/>
    <w:rsid w:val="0047581F"/>
    <w:rsid w:val="004773F1"/>
    <w:rsid w:val="0047782F"/>
    <w:rsid w:val="00486BA9"/>
    <w:rsid w:val="00496DF3"/>
    <w:rsid w:val="004A1386"/>
    <w:rsid w:val="004B3F22"/>
    <w:rsid w:val="004B58A6"/>
    <w:rsid w:val="004B7081"/>
    <w:rsid w:val="004B7EA5"/>
    <w:rsid w:val="004C1786"/>
    <w:rsid w:val="004C1F73"/>
    <w:rsid w:val="004C52FB"/>
    <w:rsid w:val="004C7934"/>
    <w:rsid w:val="004D452A"/>
    <w:rsid w:val="004E25B3"/>
    <w:rsid w:val="004E68E5"/>
    <w:rsid w:val="004E7BCF"/>
    <w:rsid w:val="004F1CB7"/>
    <w:rsid w:val="005037A6"/>
    <w:rsid w:val="00532A64"/>
    <w:rsid w:val="0053347C"/>
    <w:rsid w:val="00535C97"/>
    <w:rsid w:val="00545D7C"/>
    <w:rsid w:val="005464A7"/>
    <w:rsid w:val="00546E1D"/>
    <w:rsid w:val="00550E7E"/>
    <w:rsid w:val="00555E7B"/>
    <w:rsid w:val="00561C34"/>
    <w:rsid w:val="00592234"/>
    <w:rsid w:val="00597D2A"/>
    <w:rsid w:val="005A5D5E"/>
    <w:rsid w:val="005A6CBA"/>
    <w:rsid w:val="005B1821"/>
    <w:rsid w:val="005B3908"/>
    <w:rsid w:val="005B4F12"/>
    <w:rsid w:val="005E083C"/>
    <w:rsid w:val="005E55E3"/>
    <w:rsid w:val="005E5DCD"/>
    <w:rsid w:val="005F0392"/>
    <w:rsid w:val="005F162F"/>
    <w:rsid w:val="005F1C3E"/>
    <w:rsid w:val="005F3FFA"/>
    <w:rsid w:val="005F4372"/>
    <w:rsid w:val="005F7D47"/>
    <w:rsid w:val="006176CB"/>
    <w:rsid w:val="00617FFE"/>
    <w:rsid w:val="00621280"/>
    <w:rsid w:val="006227F5"/>
    <w:rsid w:val="00630213"/>
    <w:rsid w:val="006403B4"/>
    <w:rsid w:val="0064664F"/>
    <w:rsid w:val="00660331"/>
    <w:rsid w:val="0067134B"/>
    <w:rsid w:val="006748EE"/>
    <w:rsid w:val="0067623C"/>
    <w:rsid w:val="00676634"/>
    <w:rsid w:val="00693008"/>
    <w:rsid w:val="00696889"/>
    <w:rsid w:val="00697A43"/>
    <w:rsid w:val="006B0CFC"/>
    <w:rsid w:val="006B37EF"/>
    <w:rsid w:val="006D6854"/>
    <w:rsid w:val="006E5AFD"/>
    <w:rsid w:val="006F1F58"/>
    <w:rsid w:val="0070200F"/>
    <w:rsid w:val="00712B00"/>
    <w:rsid w:val="0071511D"/>
    <w:rsid w:val="00722BD2"/>
    <w:rsid w:val="00732728"/>
    <w:rsid w:val="007336C5"/>
    <w:rsid w:val="00734F33"/>
    <w:rsid w:val="0073666A"/>
    <w:rsid w:val="00744571"/>
    <w:rsid w:val="00746FC9"/>
    <w:rsid w:val="0074708E"/>
    <w:rsid w:val="007508B0"/>
    <w:rsid w:val="00752E03"/>
    <w:rsid w:val="00766F9A"/>
    <w:rsid w:val="00767D3D"/>
    <w:rsid w:val="007724F5"/>
    <w:rsid w:val="0077350D"/>
    <w:rsid w:val="007807D0"/>
    <w:rsid w:val="007873B0"/>
    <w:rsid w:val="00792363"/>
    <w:rsid w:val="007A2A7C"/>
    <w:rsid w:val="007A432F"/>
    <w:rsid w:val="007A50BF"/>
    <w:rsid w:val="007A7549"/>
    <w:rsid w:val="007B3C4E"/>
    <w:rsid w:val="007B4B1C"/>
    <w:rsid w:val="007D7E4D"/>
    <w:rsid w:val="007E2DD1"/>
    <w:rsid w:val="00804B05"/>
    <w:rsid w:val="00807DC6"/>
    <w:rsid w:val="00813796"/>
    <w:rsid w:val="00814AA4"/>
    <w:rsid w:val="00817579"/>
    <w:rsid w:val="00820F90"/>
    <w:rsid w:val="00821DC3"/>
    <w:rsid w:val="008232E5"/>
    <w:rsid w:val="00826B74"/>
    <w:rsid w:val="00835DD5"/>
    <w:rsid w:val="008406D2"/>
    <w:rsid w:val="00845802"/>
    <w:rsid w:val="008614EA"/>
    <w:rsid w:val="008635F1"/>
    <w:rsid w:val="00866F03"/>
    <w:rsid w:val="008825B8"/>
    <w:rsid w:val="00882F4F"/>
    <w:rsid w:val="0088314F"/>
    <w:rsid w:val="00885849"/>
    <w:rsid w:val="008925DD"/>
    <w:rsid w:val="008A6D31"/>
    <w:rsid w:val="008B3681"/>
    <w:rsid w:val="008B533F"/>
    <w:rsid w:val="008C169D"/>
    <w:rsid w:val="008C281E"/>
    <w:rsid w:val="008D1426"/>
    <w:rsid w:val="008D4EB9"/>
    <w:rsid w:val="008E4CB4"/>
    <w:rsid w:val="008E5D8C"/>
    <w:rsid w:val="008F5A22"/>
    <w:rsid w:val="00906767"/>
    <w:rsid w:val="00906D72"/>
    <w:rsid w:val="009100A9"/>
    <w:rsid w:val="00910EDA"/>
    <w:rsid w:val="009134C2"/>
    <w:rsid w:val="00920415"/>
    <w:rsid w:val="0092242E"/>
    <w:rsid w:val="0092418D"/>
    <w:rsid w:val="00924F61"/>
    <w:rsid w:val="00925061"/>
    <w:rsid w:val="00927441"/>
    <w:rsid w:val="00933242"/>
    <w:rsid w:val="00942067"/>
    <w:rsid w:val="00946DBE"/>
    <w:rsid w:val="009474C1"/>
    <w:rsid w:val="00953AC3"/>
    <w:rsid w:val="009566FB"/>
    <w:rsid w:val="00961188"/>
    <w:rsid w:val="00972B5C"/>
    <w:rsid w:val="00973BFF"/>
    <w:rsid w:val="00973D72"/>
    <w:rsid w:val="0098582F"/>
    <w:rsid w:val="009916EE"/>
    <w:rsid w:val="009925C6"/>
    <w:rsid w:val="009945AC"/>
    <w:rsid w:val="00995B8D"/>
    <w:rsid w:val="009B0251"/>
    <w:rsid w:val="009B2123"/>
    <w:rsid w:val="009B2C3A"/>
    <w:rsid w:val="009B3A56"/>
    <w:rsid w:val="009C3EF5"/>
    <w:rsid w:val="009C686A"/>
    <w:rsid w:val="009D476F"/>
    <w:rsid w:val="009E2F9F"/>
    <w:rsid w:val="009E3B80"/>
    <w:rsid w:val="009E7755"/>
    <w:rsid w:val="009F7794"/>
    <w:rsid w:val="009F7F9D"/>
    <w:rsid w:val="00A0112E"/>
    <w:rsid w:val="00A04B18"/>
    <w:rsid w:val="00A16ED1"/>
    <w:rsid w:val="00A23E6C"/>
    <w:rsid w:val="00A34E28"/>
    <w:rsid w:val="00A40EC9"/>
    <w:rsid w:val="00A41F79"/>
    <w:rsid w:val="00A50110"/>
    <w:rsid w:val="00A518AA"/>
    <w:rsid w:val="00A55A39"/>
    <w:rsid w:val="00A611A8"/>
    <w:rsid w:val="00A65B99"/>
    <w:rsid w:val="00A70DB1"/>
    <w:rsid w:val="00A72D59"/>
    <w:rsid w:val="00A80EC8"/>
    <w:rsid w:val="00A84EF4"/>
    <w:rsid w:val="00A8720E"/>
    <w:rsid w:val="00A9416A"/>
    <w:rsid w:val="00A977C4"/>
    <w:rsid w:val="00AA3CD9"/>
    <w:rsid w:val="00AA778C"/>
    <w:rsid w:val="00AC2AAE"/>
    <w:rsid w:val="00AC326E"/>
    <w:rsid w:val="00AC4DBB"/>
    <w:rsid w:val="00AC6136"/>
    <w:rsid w:val="00AC69B6"/>
    <w:rsid w:val="00AD460A"/>
    <w:rsid w:val="00AD508E"/>
    <w:rsid w:val="00AE0A8D"/>
    <w:rsid w:val="00AE233B"/>
    <w:rsid w:val="00AE379F"/>
    <w:rsid w:val="00AE7894"/>
    <w:rsid w:val="00AF2ABB"/>
    <w:rsid w:val="00AF5A91"/>
    <w:rsid w:val="00B01BEF"/>
    <w:rsid w:val="00B0773C"/>
    <w:rsid w:val="00B1461A"/>
    <w:rsid w:val="00B24BD0"/>
    <w:rsid w:val="00B26A75"/>
    <w:rsid w:val="00B315E7"/>
    <w:rsid w:val="00B4005D"/>
    <w:rsid w:val="00B42A4C"/>
    <w:rsid w:val="00B43F63"/>
    <w:rsid w:val="00B527FF"/>
    <w:rsid w:val="00B835F9"/>
    <w:rsid w:val="00B856C2"/>
    <w:rsid w:val="00B86DCF"/>
    <w:rsid w:val="00B92177"/>
    <w:rsid w:val="00BB5474"/>
    <w:rsid w:val="00BC1AC4"/>
    <w:rsid w:val="00BC3E70"/>
    <w:rsid w:val="00BC486B"/>
    <w:rsid w:val="00BD0230"/>
    <w:rsid w:val="00BD36D2"/>
    <w:rsid w:val="00BD48B6"/>
    <w:rsid w:val="00BD630E"/>
    <w:rsid w:val="00BD73A4"/>
    <w:rsid w:val="00BF10C1"/>
    <w:rsid w:val="00BF163D"/>
    <w:rsid w:val="00C06CF4"/>
    <w:rsid w:val="00C17068"/>
    <w:rsid w:val="00C213BE"/>
    <w:rsid w:val="00C27470"/>
    <w:rsid w:val="00C332CD"/>
    <w:rsid w:val="00C35ACB"/>
    <w:rsid w:val="00C35BA8"/>
    <w:rsid w:val="00C37D50"/>
    <w:rsid w:val="00C438CA"/>
    <w:rsid w:val="00C43EDD"/>
    <w:rsid w:val="00C45F24"/>
    <w:rsid w:val="00C46149"/>
    <w:rsid w:val="00C47514"/>
    <w:rsid w:val="00C476E0"/>
    <w:rsid w:val="00C53583"/>
    <w:rsid w:val="00C57457"/>
    <w:rsid w:val="00C6147A"/>
    <w:rsid w:val="00C62585"/>
    <w:rsid w:val="00C827C9"/>
    <w:rsid w:val="00C83445"/>
    <w:rsid w:val="00C838EF"/>
    <w:rsid w:val="00C87114"/>
    <w:rsid w:val="00C91CE8"/>
    <w:rsid w:val="00C9351B"/>
    <w:rsid w:val="00C939F6"/>
    <w:rsid w:val="00C9792B"/>
    <w:rsid w:val="00CB20CD"/>
    <w:rsid w:val="00CC01C5"/>
    <w:rsid w:val="00CC35E4"/>
    <w:rsid w:val="00CC4148"/>
    <w:rsid w:val="00CC6E9D"/>
    <w:rsid w:val="00CD17ED"/>
    <w:rsid w:val="00CD1D01"/>
    <w:rsid w:val="00CD5588"/>
    <w:rsid w:val="00D02220"/>
    <w:rsid w:val="00D078D9"/>
    <w:rsid w:val="00D11A9D"/>
    <w:rsid w:val="00D1319D"/>
    <w:rsid w:val="00D13F44"/>
    <w:rsid w:val="00D234C6"/>
    <w:rsid w:val="00D258D2"/>
    <w:rsid w:val="00D347B6"/>
    <w:rsid w:val="00D34903"/>
    <w:rsid w:val="00D36BEF"/>
    <w:rsid w:val="00D41A55"/>
    <w:rsid w:val="00D42F36"/>
    <w:rsid w:val="00D44D3A"/>
    <w:rsid w:val="00D45FE7"/>
    <w:rsid w:val="00D5229D"/>
    <w:rsid w:val="00D53E59"/>
    <w:rsid w:val="00D632E4"/>
    <w:rsid w:val="00D66A4B"/>
    <w:rsid w:val="00D7287B"/>
    <w:rsid w:val="00D76048"/>
    <w:rsid w:val="00D94180"/>
    <w:rsid w:val="00D94998"/>
    <w:rsid w:val="00D94DA2"/>
    <w:rsid w:val="00D97E6E"/>
    <w:rsid w:val="00DA56C6"/>
    <w:rsid w:val="00DB08E1"/>
    <w:rsid w:val="00DB35ED"/>
    <w:rsid w:val="00DB3C40"/>
    <w:rsid w:val="00DC2FE1"/>
    <w:rsid w:val="00DC4F8E"/>
    <w:rsid w:val="00DD085E"/>
    <w:rsid w:val="00DE0E14"/>
    <w:rsid w:val="00E1083B"/>
    <w:rsid w:val="00E1100B"/>
    <w:rsid w:val="00E1320E"/>
    <w:rsid w:val="00E16910"/>
    <w:rsid w:val="00E16F6D"/>
    <w:rsid w:val="00E17027"/>
    <w:rsid w:val="00E2009F"/>
    <w:rsid w:val="00E26E36"/>
    <w:rsid w:val="00E303C1"/>
    <w:rsid w:val="00E3688E"/>
    <w:rsid w:val="00E40C9B"/>
    <w:rsid w:val="00E53F35"/>
    <w:rsid w:val="00E56C2E"/>
    <w:rsid w:val="00E60C4F"/>
    <w:rsid w:val="00E62F86"/>
    <w:rsid w:val="00E65E50"/>
    <w:rsid w:val="00E7333E"/>
    <w:rsid w:val="00E81DC2"/>
    <w:rsid w:val="00E85767"/>
    <w:rsid w:val="00E87C5F"/>
    <w:rsid w:val="00E965B7"/>
    <w:rsid w:val="00EA4372"/>
    <w:rsid w:val="00EA508A"/>
    <w:rsid w:val="00EA5624"/>
    <w:rsid w:val="00EA5719"/>
    <w:rsid w:val="00EB17F2"/>
    <w:rsid w:val="00EB3F90"/>
    <w:rsid w:val="00ED2125"/>
    <w:rsid w:val="00ED4897"/>
    <w:rsid w:val="00ED7DB5"/>
    <w:rsid w:val="00F00EB5"/>
    <w:rsid w:val="00F111EF"/>
    <w:rsid w:val="00F17CFB"/>
    <w:rsid w:val="00F2007D"/>
    <w:rsid w:val="00F238E4"/>
    <w:rsid w:val="00F2547D"/>
    <w:rsid w:val="00F25BAA"/>
    <w:rsid w:val="00F33069"/>
    <w:rsid w:val="00F333F5"/>
    <w:rsid w:val="00F36527"/>
    <w:rsid w:val="00F53097"/>
    <w:rsid w:val="00F577F7"/>
    <w:rsid w:val="00F71232"/>
    <w:rsid w:val="00F71751"/>
    <w:rsid w:val="00F818D1"/>
    <w:rsid w:val="00F81A04"/>
    <w:rsid w:val="00F81FA6"/>
    <w:rsid w:val="00F82F80"/>
    <w:rsid w:val="00F8709F"/>
    <w:rsid w:val="00FB01BE"/>
    <w:rsid w:val="00FB35E5"/>
    <w:rsid w:val="00FC31AD"/>
    <w:rsid w:val="00FC4075"/>
    <w:rsid w:val="00FD1DE8"/>
    <w:rsid w:val="00FE104C"/>
    <w:rsid w:val="00FE1DC0"/>
    <w:rsid w:val="00FF018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207560"/>
  <w15:chartTrackingRefBased/>
  <w15:docId w15:val="{D7FCBCFC-2478-4AB2-86D7-F58CDE6FFC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heme="minorHAnsi" w:hAnsi="Arial" w:cstheme="minorBidi"/>
        <w:sz w:val="24"/>
        <w:szCs w:val="22"/>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Bullet point text,Bullet point tex,Bulleted list,Dot pt,No Spacing1,List Paragraph Char Char Char,Indicator Text,Numbered Para 1,List Paragraph1,Bullet Points,MAIN CONTENT,Bullet 1,List Paragraph11,List Paragraph12,F5 List Paragraph,L"/>
    <w:basedOn w:val="Normal"/>
    <w:link w:val="ListParagraphChar"/>
    <w:uiPriority w:val="34"/>
    <w:qFormat/>
    <w:rsid w:val="00D45FE7"/>
    <w:pPr>
      <w:spacing w:after="160" w:line="259" w:lineRule="auto"/>
      <w:ind w:left="720"/>
      <w:contextualSpacing/>
    </w:pPr>
    <w:rPr>
      <w:rFonts w:asciiTheme="minorHAnsi" w:hAnsiTheme="minorHAnsi"/>
      <w:sz w:val="22"/>
    </w:rPr>
  </w:style>
  <w:style w:type="table" w:customStyle="1" w:styleId="TableGrid1">
    <w:name w:val="Table Grid1"/>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Bullet point text Char,Bullet point tex Char,Bulleted list Char,Dot pt Char,No Spacing1 Char,List Paragraph Char Char Char Char,Indicator Text Char,Numbered Para 1 Char,List Paragraph1 Char,Bullet Points Char,MAIN CONTENT Char,L Char"/>
    <w:link w:val="ListParagraph"/>
    <w:uiPriority w:val="34"/>
    <w:qFormat/>
    <w:locked/>
    <w:rsid w:val="00D45FE7"/>
    <w:rPr>
      <w:rFonts w:asciiTheme="minorHAnsi" w:hAnsiTheme="minorHAnsi"/>
      <w:sz w:val="22"/>
    </w:rPr>
  </w:style>
  <w:style w:type="table" w:styleId="TableGrid">
    <w:name w:val="Table Grid"/>
    <w:basedOn w:val="TableNormal"/>
    <w:uiPriority w:val="39"/>
    <w:rsid w:val="00D45FE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
    <w:name w:val="Body"/>
    <w:rsid w:val="00D45FE7"/>
    <w:pPr>
      <w:pBdr>
        <w:top w:val="nil"/>
        <w:left w:val="nil"/>
        <w:bottom w:val="nil"/>
        <w:right w:val="nil"/>
        <w:between w:val="nil"/>
        <w:bar w:val="nil"/>
      </w:pBdr>
    </w:pPr>
    <w:rPr>
      <w:rFonts w:ascii="Calibri" w:eastAsia="Calibri" w:hAnsi="Calibri" w:cs="Calibri"/>
      <w:color w:val="000000"/>
      <w:sz w:val="22"/>
      <w:u w:color="000000"/>
      <w:bdr w:val="nil"/>
      <w:lang w:val="en-US" w:eastAsia="en-GB"/>
    </w:rPr>
  </w:style>
  <w:style w:type="table" w:customStyle="1" w:styleId="TableGrid2">
    <w:name w:val="Table Grid2"/>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
    <w:name w:val="Table Grid7"/>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
    <w:name w:val="Table Grid9"/>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B7EA5"/>
    <w:pPr>
      <w:tabs>
        <w:tab w:val="center" w:pos="4513"/>
        <w:tab w:val="right" w:pos="9026"/>
      </w:tabs>
    </w:pPr>
  </w:style>
  <w:style w:type="character" w:customStyle="1" w:styleId="HeaderChar">
    <w:name w:val="Header Char"/>
    <w:basedOn w:val="DefaultParagraphFont"/>
    <w:link w:val="Header"/>
    <w:uiPriority w:val="99"/>
    <w:rsid w:val="004B7EA5"/>
  </w:style>
  <w:style w:type="paragraph" w:styleId="Footer">
    <w:name w:val="footer"/>
    <w:basedOn w:val="Normal"/>
    <w:link w:val="FooterChar"/>
    <w:uiPriority w:val="99"/>
    <w:unhideWhenUsed/>
    <w:rsid w:val="004B7EA5"/>
    <w:pPr>
      <w:tabs>
        <w:tab w:val="center" w:pos="4513"/>
        <w:tab w:val="right" w:pos="9026"/>
      </w:tabs>
    </w:pPr>
  </w:style>
  <w:style w:type="character" w:customStyle="1" w:styleId="FooterChar">
    <w:name w:val="Footer Char"/>
    <w:basedOn w:val="DefaultParagraphFont"/>
    <w:link w:val="Footer"/>
    <w:uiPriority w:val="99"/>
    <w:rsid w:val="004B7EA5"/>
  </w:style>
  <w:style w:type="paragraph" w:styleId="BalloonText">
    <w:name w:val="Balloon Text"/>
    <w:basedOn w:val="Normal"/>
    <w:link w:val="BalloonTextChar"/>
    <w:uiPriority w:val="99"/>
    <w:semiHidden/>
    <w:unhideWhenUsed/>
    <w:rsid w:val="002B6558"/>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B6558"/>
    <w:rPr>
      <w:rFonts w:ascii="Segoe UI" w:hAnsi="Segoe UI" w:cs="Segoe UI"/>
      <w:sz w:val="18"/>
      <w:szCs w:val="18"/>
    </w:rPr>
  </w:style>
  <w:style w:type="character" w:styleId="CommentReference">
    <w:name w:val="annotation reference"/>
    <w:basedOn w:val="DefaultParagraphFont"/>
    <w:uiPriority w:val="99"/>
    <w:semiHidden/>
    <w:unhideWhenUsed/>
    <w:rsid w:val="002B6558"/>
    <w:rPr>
      <w:sz w:val="16"/>
      <w:szCs w:val="16"/>
    </w:rPr>
  </w:style>
  <w:style w:type="paragraph" w:styleId="CommentText">
    <w:name w:val="annotation text"/>
    <w:basedOn w:val="Normal"/>
    <w:link w:val="CommentTextChar"/>
    <w:uiPriority w:val="99"/>
    <w:unhideWhenUsed/>
    <w:rsid w:val="002B6558"/>
    <w:rPr>
      <w:sz w:val="20"/>
      <w:szCs w:val="20"/>
    </w:rPr>
  </w:style>
  <w:style w:type="character" w:customStyle="1" w:styleId="CommentTextChar">
    <w:name w:val="Comment Text Char"/>
    <w:basedOn w:val="DefaultParagraphFont"/>
    <w:link w:val="CommentText"/>
    <w:uiPriority w:val="99"/>
    <w:rsid w:val="002B6558"/>
    <w:rPr>
      <w:sz w:val="20"/>
      <w:szCs w:val="20"/>
    </w:rPr>
  </w:style>
  <w:style w:type="paragraph" w:styleId="CommentSubject">
    <w:name w:val="annotation subject"/>
    <w:basedOn w:val="CommentText"/>
    <w:next w:val="CommentText"/>
    <w:link w:val="CommentSubjectChar"/>
    <w:uiPriority w:val="99"/>
    <w:semiHidden/>
    <w:unhideWhenUsed/>
    <w:rsid w:val="002B6558"/>
    <w:rPr>
      <w:b/>
      <w:bCs/>
    </w:rPr>
  </w:style>
  <w:style w:type="character" w:customStyle="1" w:styleId="CommentSubjectChar">
    <w:name w:val="Comment Subject Char"/>
    <w:basedOn w:val="CommentTextChar"/>
    <w:link w:val="CommentSubject"/>
    <w:uiPriority w:val="99"/>
    <w:semiHidden/>
    <w:rsid w:val="002B6558"/>
    <w:rPr>
      <w:b/>
      <w:bCs/>
      <w:sz w:val="20"/>
      <w:szCs w:val="20"/>
    </w:rPr>
  </w:style>
  <w:style w:type="paragraph" w:customStyle="1" w:styleId="xmsonormal">
    <w:name w:val="x_msonormal"/>
    <w:basedOn w:val="Normal"/>
    <w:rsid w:val="0053347C"/>
    <w:rPr>
      <w:rFonts w:ascii="Calibri" w:hAnsi="Calibri" w:cs="Calibri"/>
      <w:sz w:val="22"/>
      <w:lang w:eastAsia="en-GB"/>
    </w:rPr>
  </w:style>
  <w:style w:type="character" w:customStyle="1" w:styleId="font361">
    <w:name w:val="font361"/>
    <w:basedOn w:val="DefaultParagraphFont"/>
    <w:rsid w:val="00FB35E5"/>
    <w:rPr>
      <w:rFonts w:ascii="Calibri" w:hAnsi="Calibri" w:cs="Calibri" w:hint="default"/>
      <w:b w:val="0"/>
      <w:bCs w:val="0"/>
      <w:i w:val="0"/>
      <w:iCs w:val="0"/>
      <w:strike w:val="0"/>
      <w:dstrike w:val="0"/>
      <w:color w:val="FF0000"/>
      <w:sz w:val="20"/>
      <w:szCs w:val="20"/>
      <w:u w:val="none"/>
      <w:effect w:val="none"/>
    </w:rPr>
  </w:style>
  <w:style w:type="paragraph" w:customStyle="1" w:styleId="Default">
    <w:name w:val="Default"/>
    <w:rsid w:val="00F71751"/>
    <w:pPr>
      <w:autoSpaceDE w:val="0"/>
      <w:autoSpaceDN w:val="0"/>
      <w:adjustRightInd w:val="0"/>
    </w:pPr>
    <w:rPr>
      <w:rFonts w:cs="Arial"/>
      <w:color w:val="00000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8736188">
      <w:bodyDiv w:val="1"/>
      <w:marLeft w:val="0"/>
      <w:marRight w:val="0"/>
      <w:marTop w:val="0"/>
      <w:marBottom w:val="0"/>
      <w:divBdr>
        <w:top w:val="none" w:sz="0" w:space="0" w:color="auto"/>
        <w:left w:val="none" w:sz="0" w:space="0" w:color="auto"/>
        <w:bottom w:val="none" w:sz="0" w:space="0" w:color="auto"/>
        <w:right w:val="none" w:sz="0" w:space="0" w:color="auto"/>
      </w:divBdr>
    </w:div>
    <w:div w:id="530651674">
      <w:bodyDiv w:val="1"/>
      <w:marLeft w:val="0"/>
      <w:marRight w:val="0"/>
      <w:marTop w:val="0"/>
      <w:marBottom w:val="0"/>
      <w:divBdr>
        <w:top w:val="none" w:sz="0" w:space="0" w:color="auto"/>
        <w:left w:val="none" w:sz="0" w:space="0" w:color="auto"/>
        <w:bottom w:val="none" w:sz="0" w:space="0" w:color="auto"/>
        <w:right w:val="none" w:sz="0" w:space="0" w:color="auto"/>
      </w:divBdr>
    </w:div>
    <w:div w:id="531453396">
      <w:bodyDiv w:val="1"/>
      <w:marLeft w:val="0"/>
      <w:marRight w:val="0"/>
      <w:marTop w:val="0"/>
      <w:marBottom w:val="0"/>
      <w:divBdr>
        <w:top w:val="none" w:sz="0" w:space="0" w:color="auto"/>
        <w:left w:val="none" w:sz="0" w:space="0" w:color="auto"/>
        <w:bottom w:val="none" w:sz="0" w:space="0" w:color="auto"/>
        <w:right w:val="none" w:sz="0" w:space="0" w:color="auto"/>
      </w:divBdr>
    </w:div>
    <w:div w:id="1463229073">
      <w:bodyDiv w:val="1"/>
      <w:marLeft w:val="0"/>
      <w:marRight w:val="0"/>
      <w:marTop w:val="0"/>
      <w:marBottom w:val="0"/>
      <w:divBdr>
        <w:top w:val="none" w:sz="0" w:space="0" w:color="auto"/>
        <w:left w:val="none" w:sz="0" w:space="0" w:color="auto"/>
        <w:bottom w:val="none" w:sz="0" w:space="0" w:color="auto"/>
        <w:right w:val="none" w:sz="0" w:space="0" w:color="auto"/>
      </w:divBdr>
    </w:div>
    <w:div w:id="1593933437">
      <w:bodyDiv w:val="1"/>
      <w:marLeft w:val="0"/>
      <w:marRight w:val="0"/>
      <w:marTop w:val="0"/>
      <w:marBottom w:val="0"/>
      <w:divBdr>
        <w:top w:val="none" w:sz="0" w:space="0" w:color="auto"/>
        <w:left w:val="none" w:sz="0" w:space="0" w:color="auto"/>
        <w:bottom w:val="none" w:sz="0" w:space="0" w:color="auto"/>
        <w:right w:val="none" w:sz="0" w:space="0" w:color="auto"/>
      </w:divBdr>
    </w:div>
    <w:div w:id="18906794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5CAAEB7-12E1-4C68-ABEC-E079E5FD80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3</Pages>
  <Words>1249</Words>
  <Characters>7123</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8356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Elizabeth Stauber (Swansea Bay UHB - Corporate Services)</dc:creator>
  <cp:keywords/>
  <dc:description/>
  <cp:lastModifiedBy>Len Cozens (Swansea Bay UHB - Governance)</cp:lastModifiedBy>
  <cp:revision>4</cp:revision>
  <cp:lastPrinted>2023-01-05T10:01:00Z</cp:lastPrinted>
  <dcterms:created xsi:type="dcterms:W3CDTF">2024-06-11T16:06:00Z</dcterms:created>
  <dcterms:modified xsi:type="dcterms:W3CDTF">2024-06-13T16:56:00Z</dcterms:modified>
</cp:coreProperties>
</file>