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25BA8B" w14:textId="6FB1745B" w:rsidR="00FC1A27" w:rsidRPr="00D92CBC" w:rsidRDefault="00D92CBC" w:rsidP="00DF70AA">
      <w:pPr>
        <w:rPr>
          <w:rFonts w:ascii="Arial" w:hAnsi="Arial" w:cs="Arial"/>
          <w:b/>
        </w:rPr>
      </w:pPr>
      <w:bookmarkStart w:id="0" w:name="_GoBack"/>
      <w:bookmarkEnd w:id="0"/>
      <w:r w:rsidRPr="00D92CBC">
        <w:rPr>
          <w:rFonts w:ascii="Arial" w:hAnsi="Arial" w:cs="Arial"/>
          <w:b/>
        </w:rPr>
        <w:t>1.0</w:t>
      </w:r>
      <w:r w:rsidRPr="00D92CBC">
        <w:rPr>
          <w:rFonts w:ascii="Arial" w:hAnsi="Arial" w:cs="Arial"/>
          <w:b/>
        </w:rPr>
        <w:tab/>
        <w:t>EXECUTIVE SUMMARY</w:t>
      </w:r>
    </w:p>
    <w:p w14:paraId="18E4AC91" w14:textId="77777777" w:rsidR="000423AB" w:rsidRPr="00D92CBC" w:rsidRDefault="000423AB" w:rsidP="000423AB">
      <w:pPr>
        <w:jc w:val="both"/>
        <w:rPr>
          <w:rFonts w:ascii="Arial" w:hAnsi="Arial" w:cs="Arial"/>
        </w:rPr>
      </w:pPr>
      <w:r w:rsidRPr="00D92CBC">
        <w:rPr>
          <w:rFonts w:ascii="Arial" w:hAnsi="Arial" w:cs="Arial"/>
        </w:rPr>
        <w:t>The Health Board’s Estate Plan (2022-2023) outlines the required reconfiguration and transformation of the estate to facilitate delivery of the required new models of care for the Swansea Bay UHB population, working alongside the infrastructure to support the developments. Execution of the strategy will result in the development and expansion of specialist hospital services</w:t>
      </w:r>
    </w:p>
    <w:p w14:paraId="6EE3FC7D" w14:textId="159A6F81" w:rsidR="000423AB" w:rsidRPr="000423AB" w:rsidRDefault="000423AB" w:rsidP="000423AB">
      <w:pPr>
        <w:jc w:val="both"/>
        <w:rPr>
          <w:rFonts w:ascii="Arial" w:hAnsi="Arial" w:cs="Arial"/>
        </w:rPr>
      </w:pPr>
      <w:r w:rsidRPr="00D92CBC">
        <w:rPr>
          <w:rFonts w:ascii="Arial" w:hAnsi="Arial" w:cs="Arial"/>
        </w:rPr>
        <w:t>A priority for the Plan is to increase estate utilisation and efficiency by decreasing some of the estate and its backlog maintenance costs, whilst still managing to improve the environment.</w:t>
      </w:r>
    </w:p>
    <w:p w14:paraId="2F2C69B9" w14:textId="42828F60" w:rsidR="000423AB" w:rsidRDefault="000423AB" w:rsidP="000423AB">
      <w:pPr>
        <w:spacing w:before="240"/>
        <w:jc w:val="both"/>
        <w:rPr>
          <w:rFonts w:ascii="Arial" w:hAnsi="Arial" w:cs="Arial"/>
          <w:bCs/>
        </w:rPr>
      </w:pPr>
      <w:r w:rsidRPr="00D92CBC">
        <w:rPr>
          <w:rFonts w:ascii="Arial" w:hAnsi="Arial" w:cs="Arial"/>
          <w:bCs/>
        </w:rPr>
        <w:t xml:space="preserve">The provision of </w:t>
      </w:r>
      <w:r w:rsidR="00B75BAE">
        <w:rPr>
          <w:rFonts w:ascii="Arial" w:hAnsi="Arial" w:cs="Arial"/>
          <w:bCs/>
        </w:rPr>
        <w:t>a second permanent CT-Sim</w:t>
      </w:r>
      <w:r w:rsidR="00B56C9F">
        <w:rPr>
          <w:rFonts w:ascii="Arial" w:hAnsi="Arial" w:cs="Arial"/>
          <w:bCs/>
        </w:rPr>
        <w:t>ulation (CT-Sim)</w:t>
      </w:r>
      <w:r w:rsidR="00B75BAE">
        <w:rPr>
          <w:rFonts w:ascii="Arial" w:hAnsi="Arial" w:cs="Arial"/>
          <w:bCs/>
        </w:rPr>
        <w:t xml:space="preserve"> in the SWWCC at </w:t>
      </w:r>
      <w:r>
        <w:rPr>
          <w:rFonts w:ascii="Arial" w:hAnsi="Arial" w:cs="Arial"/>
          <w:bCs/>
        </w:rPr>
        <w:t xml:space="preserve">Singleton Hospital </w:t>
      </w:r>
      <w:r w:rsidRPr="00D92CBC">
        <w:rPr>
          <w:rFonts w:ascii="Arial" w:hAnsi="Arial" w:cs="Arial"/>
          <w:bCs/>
        </w:rPr>
        <w:t xml:space="preserve">aims to provide </w:t>
      </w:r>
      <w:r w:rsidR="00B75BAE">
        <w:rPr>
          <w:rFonts w:ascii="Arial" w:hAnsi="Arial" w:cs="Arial"/>
          <w:bCs/>
        </w:rPr>
        <w:t>more resilient</w:t>
      </w:r>
      <w:r w:rsidR="00B56C9F">
        <w:rPr>
          <w:rFonts w:ascii="Arial" w:hAnsi="Arial" w:cs="Arial"/>
          <w:bCs/>
        </w:rPr>
        <w:t xml:space="preserve"> cancer planning infrastructure.</w:t>
      </w:r>
      <w:r w:rsidR="00B56C9F" w:rsidRPr="00B56C9F">
        <w:t xml:space="preserve"> </w:t>
      </w:r>
      <w:r w:rsidR="00B56C9F" w:rsidRPr="00B56C9F">
        <w:rPr>
          <w:rFonts w:ascii="Arial" w:hAnsi="Arial" w:cs="Arial"/>
          <w:bCs/>
        </w:rPr>
        <w:t>CT</w:t>
      </w:r>
      <w:r w:rsidR="00B56C9F">
        <w:rPr>
          <w:rFonts w:ascii="Arial" w:hAnsi="Arial" w:cs="Arial"/>
          <w:bCs/>
        </w:rPr>
        <w:t xml:space="preserve">-Sim </w:t>
      </w:r>
      <w:r w:rsidR="00B56C9F" w:rsidRPr="00B56C9F">
        <w:rPr>
          <w:rFonts w:ascii="Arial" w:hAnsi="Arial" w:cs="Arial"/>
          <w:bCs/>
        </w:rPr>
        <w:t>is an integral part of R</w:t>
      </w:r>
      <w:r w:rsidR="00B56C9F">
        <w:rPr>
          <w:rFonts w:ascii="Arial" w:hAnsi="Arial" w:cs="Arial"/>
          <w:bCs/>
        </w:rPr>
        <w:t>adiotherapy to Treatment (RT)</w:t>
      </w:r>
      <w:r w:rsidR="00B56C9F" w:rsidRPr="00B56C9F">
        <w:rPr>
          <w:rFonts w:ascii="Arial" w:hAnsi="Arial" w:cs="Arial"/>
          <w:bCs/>
        </w:rPr>
        <w:t xml:space="preserve"> pathway used for treatment planning</w:t>
      </w:r>
      <w:r w:rsidR="00B56C9F">
        <w:rPr>
          <w:rFonts w:ascii="Arial" w:hAnsi="Arial" w:cs="Arial"/>
          <w:bCs/>
        </w:rPr>
        <w:t xml:space="preserve">. It supports </w:t>
      </w:r>
      <w:r>
        <w:rPr>
          <w:rFonts w:ascii="Arial" w:hAnsi="Arial" w:cs="Arial"/>
          <w:bCs/>
        </w:rPr>
        <w:t>the following national drivers:</w:t>
      </w:r>
    </w:p>
    <w:p w14:paraId="55E0BCB1" w14:textId="77777777" w:rsidR="000423AB" w:rsidRPr="00D92CBC" w:rsidRDefault="000423AB" w:rsidP="000423AB">
      <w:pPr>
        <w:spacing w:before="240"/>
        <w:jc w:val="both"/>
        <w:rPr>
          <w:rFonts w:ascii="Arial" w:hAnsi="Arial" w:cs="Arial"/>
        </w:rPr>
      </w:pPr>
      <w:r>
        <w:rPr>
          <w:rFonts w:ascii="Arial" w:hAnsi="Arial" w:cs="Arial"/>
          <w:noProof/>
          <w:lang w:eastAsia="en-GB"/>
        </w:rPr>
        <w:drawing>
          <wp:inline distT="0" distB="0" distL="0" distR="0" wp14:anchorId="7E1E1EC6" wp14:editId="0C02175A">
            <wp:extent cx="6056630" cy="1722967"/>
            <wp:effectExtent l="38100" t="38100" r="20320" b="48895"/>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D278F84" w14:textId="77777777" w:rsidR="000423AB" w:rsidRPr="00D92CBC" w:rsidRDefault="000423AB" w:rsidP="000423AB">
      <w:pPr>
        <w:jc w:val="both"/>
        <w:rPr>
          <w:rFonts w:ascii="Arial" w:hAnsi="Arial" w:cs="Arial"/>
          <w:b/>
          <w:bCs/>
        </w:rPr>
      </w:pPr>
      <w:r>
        <w:rPr>
          <w:rFonts w:ascii="Arial" w:hAnsi="Arial" w:cs="Arial"/>
        </w:rPr>
        <w:t xml:space="preserve">This investment complements </w:t>
      </w:r>
      <w:r w:rsidRPr="00D92CBC">
        <w:rPr>
          <w:rFonts w:ascii="Arial" w:hAnsi="Arial" w:cs="Arial"/>
        </w:rPr>
        <w:t xml:space="preserve">the Health Board’s Clinical Services’ Plan the </w:t>
      </w:r>
      <w:r w:rsidRPr="00D92CBC">
        <w:rPr>
          <w:rFonts w:ascii="Arial" w:hAnsi="Arial" w:cs="Arial"/>
          <w:b/>
          <w:bCs/>
        </w:rPr>
        <w:t>estate priorities</w:t>
      </w:r>
      <w:r w:rsidRPr="00D92CBC">
        <w:rPr>
          <w:rFonts w:ascii="Arial" w:hAnsi="Arial" w:cs="Arial"/>
        </w:rPr>
        <w:t xml:space="preserve"> for Singleton Hospital have been identified as follows:</w:t>
      </w:r>
    </w:p>
    <w:p w14:paraId="21B9A069" w14:textId="77777777" w:rsidR="000423AB" w:rsidRPr="00D92CBC" w:rsidRDefault="000423AB" w:rsidP="000423AB">
      <w:pPr>
        <w:pStyle w:val="bullets1"/>
        <w:numPr>
          <w:ilvl w:val="0"/>
          <w:numId w:val="4"/>
        </w:numPr>
        <w:rPr>
          <w:rFonts w:cs="Arial"/>
        </w:rPr>
      </w:pPr>
      <w:r w:rsidRPr="00D92CBC">
        <w:rPr>
          <w:rFonts w:cs="Arial"/>
        </w:rPr>
        <w:t xml:space="preserve">Three Main Modular theatres </w:t>
      </w:r>
    </w:p>
    <w:p w14:paraId="694B8D85" w14:textId="77777777" w:rsidR="000423AB" w:rsidRPr="00D92CBC" w:rsidRDefault="000423AB" w:rsidP="000423AB">
      <w:pPr>
        <w:pStyle w:val="bullets1"/>
        <w:numPr>
          <w:ilvl w:val="0"/>
          <w:numId w:val="4"/>
        </w:numPr>
        <w:rPr>
          <w:rFonts w:cs="Arial"/>
        </w:rPr>
      </w:pPr>
      <w:r w:rsidRPr="00D92CBC">
        <w:rPr>
          <w:rFonts w:cs="Arial"/>
        </w:rPr>
        <w:t xml:space="preserve">Ward Refurbishment Programme </w:t>
      </w:r>
    </w:p>
    <w:p w14:paraId="6B3C3630" w14:textId="77777777" w:rsidR="00D05845" w:rsidRPr="00D05845" w:rsidRDefault="000423AB" w:rsidP="00006ADB">
      <w:pPr>
        <w:pStyle w:val="bullets1"/>
        <w:numPr>
          <w:ilvl w:val="0"/>
          <w:numId w:val="4"/>
        </w:numPr>
      </w:pPr>
      <w:r w:rsidRPr="00D05845">
        <w:rPr>
          <w:rFonts w:cs="Arial"/>
        </w:rPr>
        <w:t>Development of Outpatients</w:t>
      </w:r>
    </w:p>
    <w:p w14:paraId="642EE8D7" w14:textId="77777777" w:rsidR="00D05845" w:rsidRDefault="00D05845" w:rsidP="00D05845">
      <w:pPr>
        <w:pStyle w:val="bullets1"/>
        <w:numPr>
          <w:ilvl w:val="0"/>
          <w:numId w:val="4"/>
        </w:numPr>
      </w:pPr>
      <w:r>
        <w:t>Development of a 5</w:t>
      </w:r>
      <w:r w:rsidRPr="00D05845">
        <w:rPr>
          <w:vertAlign w:val="superscript"/>
        </w:rPr>
        <w:t>th</w:t>
      </w:r>
      <w:r>
        <w:t xml:space="preserve"> Linear Accelerator (and 6</w:t>
      </w:r>
      <w:r w:rsidRPr="00D05845">
        <w:rPr>
          <w:vertAlign w:val="superscript"/>
        </w:rPr>
        <w:t>th</w:t>
      </w:r>
      <w:r>
        <w:t xml:space="preserve"> Bunker)</w:t>
      </w:r>
    </w:p>
    <w:p w14:paraId="5DC95C39" w14:textId="486BA1E7" w:rsidR="00D05845" w:rsidRPr="00D05845" w:rsidRDefault="00D05845" w:rsidP="00D05845">
      <w:pPr>
        <w:pStyle w:val="bullets1"/>
        <w:numPr>
          <w:ilvl w:val="0"/>
          <w:numId w:val="4"/>
        </w:numPr>
      </w:pPr>
      <w:r>
        <w:t>Development of a static PET-CT facility</w:t>
      </w:r>
    </w:p>
    <w:p w14:paraId="31A10DFD" w14:textId="77777777" w:rsidR="000423AB" w:rsidRDefault="000423AB">
      <w:pPr>
        <w:rPr>
          <w:rFonts w:ascii="Arial" w:hAnsi="Arial" w:cs="Arial"/>
          <w:b/>
        </w:rPr>
      </w:pPr>
      <w:r>
        <w:rPr>
          <w:rFonts w:ascii="Arial" w:hAnsi="Arial" w:cs="Arial"/>
          <w:b/>
        </w:rPr>
        <w:br w:type="page"/>
      </w:r>
    </w:p>
    <w:p w14:paraId="26EBE605" w14:textId="4DBEF3F0" w:rsidR="0037747E" w:rsidRPr="00D92CBC" w:rsidRDefault="00D92CBC" w:rsidP="00DF70AA">
      <w:pPr>
        <w:rPr>
          <w:rFonts w:ascii="Arial" w:hAnsi="Arial" w:cs="Arial"/>
          <w:b/>
        </w:rPr>
      </w:pPr>
      <w:r w:rsidRPr="00D92CBC">
        <w:rPr>
          <w:rFonts w:ascii="Arial" w:hAnsi="Arial" w:cs="Arial"/>
          <w:b/>
        </w:rPr>
        <w:lastRenderedPageBreak/>
        <w:t>2.0</w:t>
      </w:r>
      <w:r w:rsidRPr="00D92CBC">
        <w:rPr>
          <w:rFonts w:ascii="Arial" w:hAnsi="Arial" w:cs="Arial"/>
          <w:b/>
        </w:rPr>
        <w:tab/>
        <w:t>ESTATES SPEND OBJECTIVES</w:t>
      </w:r>
    </w:p>
    <w:p w14:paraId="42E411ED" w14:textId="41B99308" w:rsidR="004B6323" w:rsidRPr="00D92CBC" w:rsidRDefault="000423AB" w:rsidP="00D92CBC">
      <w:pPr>
        <w:jc w:val="both"/>
        <w:rPr>
          <w:rFonts w:ascii="Arial" w:hAnsi="Arial" w:cs="Arial"/>
        </w:rPr>
      </w:pPr>
      <w:r w:rsidRPr="000423AB">
        <w:rPr>
          <w:rFonts w:ascii="Arial" w:hAnsi="Arial" w:cs="Arial"/>
        </w:rPr>
        <w:t>This project supports delivery of the Health Board’s Strategic Estates Plan’s estates objectives as follows:</w:t>
      </w:r>
    </w:p>
    <w:tbl>
      <w:tblPr>
        <w:tblStyle w:val="TableGrid"/>
        <w:tblW w:w="0" w:type="auto"/>
        <w:tblLook w:val="04A0" w:firstRow="1" w:lastRow="0" w:firstColumn="1" w:lastColumn="0" w:noHBand="0" w:noVBand="1"/>
      </w:tblPr>
      <w:tblGrid>
        <w:gridCol w:w="3681"/>
        <w:gridCol w:w="5784"/>
      </w:tblGrid>
      <w:tr w:rsidR="00822769" w:rsidRPr="00D92CBC" w14:paraId="4E8F1E11" w14:textId="77777777" w:rsidTr="000423AB">
        <w:tc>
          <w:tcPr>
            <w:tcW w:w="3681" w:type="dxa"/>
            <w:shd w:val="clear" w:color="auto" w:fill="8EAADB" w:themeFill="accent5" w:themeFillTint="99"/>
          </w:tcPr>
          <w:p w14:paraId="041DA14E" w14:textId="4FC8EEBF" w:rsidR="00822769" w:rsidRPr="00D92CBC" w:rsidRDefault="00822769" w:rsidP="004B6323">
            <w:pPr>
              <w:rPr>
                <w:rFonts w:ascii="Arial" w:hAnsi="Arial" w:cs="Arial"/>
                <w:b/>
              </w:rPr>
            </w:pPr>
            <w:r w:rsidRPr="00D92CBC">
              <w:rPr>
                <w:rFonts w:ascii="Arial" w:hAnsi="Arial" w:cs="Arial"/>
                <w:b/>
              </w:rPr>
              <w:t>Strategic Estates Plan estate objectives</w:t>
            </w:r>
          </w:p>
        </w:tc>
        <w:tc>
          <w:tcPr>
            <w:tcW w:w="5784" w:type="dxa"/>
            <w:shd w:val="clear" w:color="auto" w:fill="8EAADB" w:themeFill="accent5" w:themeFillTint="99"/>
          </w:tcPr>
          <w:p w14:paraId="7FC1F2DE" w14:textId="4967A4E4" w:rsidR="00822769" w:rsidRPr="00D92CBC" w:rsidRDefault="00822769" w:rsidP="004B6323">
            <w:pPr>
              <w:rPr>
                <w:rFonts w:ascii="Arial" w:hAnsi="Arial" w:cs="Arial"/>
                <w:b/>
              </w:rPr>
            </w:pPr>
            <w:r w:rsidRPr="00D92CBC">
              <w:rPr>
                <w:rFonts w:ascii="Arial" w:hAnsi="Arial" w:cs="Arial"/>
                <w:b/>
              </w:rPr>
              <w:t>How this project supports delivery of the Health Board’s Estates Objectives</w:t>
            </w:r>
          </w:p>
        </w:tc>
      </w:tr>
      <w:tr w:rsidR="00822769" w:rsidRPr="00D92CBC" w14:paraId="1CC1B255" w14:textId="77777777" w:rsidTr="000423AB">
        <w:tc>
          <w:tcPr>
            <w:tcW w:w="3681" w:type="dxa"/>
          </w:tcPr>
          <w:p w14:paraId="63814FE9" w14:textId="0319200B" w:rsidR="00822769" w:rsidRPr="00D92CBC" w:rsidRDefault="00822769" w:rsidP="00CE7E18">
            <w:pPr>
              <w:pStyle w:val="NoSpacing"/>
              <w:jc w:val="both"/>
              <w:rPr>
                <w:rFonts w:ascii="Arial" w:hAnsi="Arial" w:cs="Arial"/>
              </w:rPr>
            </w:pPr>
            <w:r w:rsidRPr="00D92CBC">
              <w:rPr>
                <w:rFonts w:ascii="Arial" w:hAnsi="Arial" w:cs="Arial"/>
              </w:rPr>
              <w:t>To support the delivery of the Health Board’s clinical strategy by developing a property portfolio, that meets the needs of the</w:t>
            </w:r>
            <w:r w:rsidR="00CF5A83">
              <w:rPr>
                <w:rFonts w:ascii="Arial" w:hAnsi="Arial" w:cs="Arial"/>
              </w:rPr>
              <w:t xml:space="preserve"> regional SWWCC and the</w:t>
            </w:r>
            <w:r w:rsidRPr="00D92CBC">
              <w:rPr>
                <w:rFonts w:ascii="Arial" w:hAnsi="Arial" w:cs="Arial"/>
              </w:rPr>
              <w:t xml:space="preserve"> Health Board’s service development plans and represents </w:t>
            </w:r>
            <w:r w:rsidRPr="000423AB">
              <w:rPr>
                <w:rFonts w:ascii="Arial" w:hAnsi="Arial" w:cs="Arial"/>
                <w:b/>
              </w:rPr>
              <w:t>efficient use of resources.</w:t>
            </w:r>
            <w:r w:rsidRPr="00D92CBC">
              <w:rPr>
                <w:rFonts w:ascii="Arial" w:hAnsi="Arial" w:cs="Arial"/>
              </w:rPr>
              <w:t xml:space="preserve"> </w:t>
            </w:r>
          </w:p>
        </w:tc>
        <w:tc>
          <w:tcPr>
            <w:tcW w:w="5784" w:type="dxa"/>
          </w:tcPr>
          <w:p w14:paraId="72E38066" w14:textId="1D233833" w:rsidR="00822769" w:rsidRPr="00D92CBC" w:rsidRDefault="00FC1A27" w:rsidP="00CF5A83">
            <w:pPr>
              <w:jc w:val="both"/>
              <w:rPr>
                <w:rFonts w:ascii="Arial" w:hAnsi="Arial" w:cs="Arial"/>
              </w:rPr>
            </w:pPr>
            <w:r w:rsidRPr="00D92CBC">
              <w:rPr>
                <w:rFonts w:ascii="Arial" w:hAnsi="Arial" w:cs="Arial"/>
              </w:rPr>
              <w:t xml:space="preserve">Project aligns with NHS Infrastructure Investment Guidance objectives and criteria. In particular it aligns with the Health Board’s strategic response to access pressures is set out in “Changing for the Future” which references Singleton Hospital’s role as a centre of excellence for planned care, </w:t>
            </w:r>
            <w:r w:rsidRPr="00CF5A83">
              <w:rPr>
                <w:rFonts w:ascii="Arial" w:hAnsi="Arial" w:cs="Arial"/>
                <w:b/>
              </w:rPr>
              <w:t>cancer care</w:t>
            </w:r>
            <w:r w:rsidRPr="00D92CBC">
              <w:rPr>
                <w:rFonts w:ascii="Arial" w:hAnsi="Arial" w:cs="Arial"/>
              </w:rPr>
              <w:t xml:space="preserve">, maternity and diagnostics; </w:t>
            </w:r>
            <w:r w:rsidR="00CF5A83">
              <w:rPr>
                <w:rFonts w:ascii="Arial" w:hAnsi="Arial" w:cs="Arial"/>
              </w:rPr>
              <w:t xml:space="preserve">Improves </w:t>
            </w:r>
            <w:r w:rsidRPr="00D92CBC">
              <w:rPr>
                <w:rFonts w:ascii="Arial" w:hAnsi="Arial" w:cs="Arial"/>
              </w:rPr>
              <w:t xml:space="preserve">access to </w:t>
            </w:r>
            <w:r w:rsidR="00CF5A83">
              <w:rPr>
                <w:rFonts w:ascii="Arial" w:hAnsi="Arial" w:cs="Arial"/>
              </w:rPr>
              <w:t xml:space="preserve">cancer treatment planning services’ </w:t>
            </w:r>
            <w:r w:rsidRPr="00D92CBC">
              <w:rPr>
                <w:rFonts w:ascii="Arial" w:hAnsi="Arial" w:cs="Arial"/>
              </w:rPr>
              <w:t xml:space="preserve">capacity that will meet </w:t>
            </w:r>
            <w:r w:rsidR="00CF5A83">
              <w:rPr>
                <w:rFonts w:ascii="Arial" w:hAnsi="Arial" w:cs="Arial"/>
              </w:rPr>
              <w:t xml:space="preserve">regional </w:t>
            </w:r>
            <w:r w:rsidRPr="00D92CBC">
              <w:rPr>
                <w:rFonts w:ascii="Arial" w:hAnsi="Arial" w:cs="Arial"/>
              </w:rPr>
              <w:t xml:space="preserve">demand in a timely way and </w:t>
            </w:r>
            <w:r w:rsidR="00CF5A83">
              <w:rPr>
                <w:rFonts w:ascii="Arial" w:hAnsi="Arial" w:cs="Arial"/>
              </w:rPr>
              <w:t xml:space="preserve">support </w:t>
            </w:r>
            <w:r w:rsidRPr="00D92CBC">
              <w:rPr>
                <w:rFonts w:ascii="Arial" w:hAnsi="Arial" w:cs="Arial"/>
              </w:rPr>
              <w:t>deliver</w:t>
            </w:r>
            <w:r w:rsidR="00CF5A83">
              <w:rPr>
                <w:rFonts w:ascii="Arial" w:hAnsi="Arial" w:cs="Arial"/>
              </w:rPr>
              <w:t>y of</w:t>
            </w:r>
            <w:r w:rsidRPr="00D92CBC">
              <w:rPr>
                <w:rFonts w:ascii="Arial" w:hAnsi="Arial" w:cs="Arial"/>
              </w:rPr>
              <w:t xml:space="preserve"> care in an appropriate environment</w:t>
            </w:r>
            <w:r w:rsidR="00CF5A83">
              <w:rPr>
                <w:rFonts w:ascii="Arial" w:hAnsi="Arial" w:cs="Arial"/>
              </w:rPr>
              <w:t xml:space="preserve">; </w:t>
            </w:r>
            <w:r w:rsidRPr="00D92CBC">
              <w:rPr>
                <w:rFonts w:ascii="Arial" w:hAnsi="Arial" w:cs="Arial"/>
              </w:rPr>
              <w:t xml:space="preserve">Provides </w:t>
            </w:r>
            <w:r w:rsidR="00CF5A83">
              <w:rPr>
                <w:rFonts w:ascii="Arial" w:hAnsi="Arial" w:cs="Arial"/>
              </w:rPr>
              <w:t xml:space="preserve">essential resilience </w:t>
            </w:r>
            <w:r w:rsidRPr="00D92CBC">
              <w:rPr>
                <w:rFonts w:ascii="Arial" w:hAnsi="Arial" w:cs="Arial"/>
              </w:rPr>
              <w:t xml:space="preserve"> over current levels</w:t>
            </w:r>
            <w:r w:rsidR="00CF5A83">
              <w:rPr>
                <w:rFonts w:ascii="Arial" w:hAnsi="Arial" w:cs="Arial"/>
              </w:rPr>
              <w:t xml:space="preserve"> and improves RT and pathways. </w:t>
            </w:r>
          </w:p>
        </w:tc>
      </w:tr>
      <w:tr w:rsidR="00822769" w:rsidRPr="00D92CBC" w14:paraId="41A645BC" w14:textId="77777777" w:rsidTr="000423AB">
        <w:tc>
          <w:tcPr>
            <w:tcW w:w="3681" w:type="dxa"/>
          </w:tcPr>
          <w:p w14:paraId="4DE3224C" w14:textId="6E14578B" w:rsidR="00822769" w:rsidRPr="00D92CBC" w:rsidRDefault="00822769" w:rsidP="00CE7E18">
            <w:pPr>
              <w:pStyle w:val="NoSpacing"/>
              <w:jc w:val="both"/>
              <w:rPr>
                <w:rFonts w:ascii="Arial" w:hAnsi="Arial" w:cs="Arial"/>
              </w:rPr>
            </w:pPr>
            <w:r w:rsidRPr="00D92CBC">
              <w:rPr>
                <w:rFonts w:ascii="Arial" w:hAnsi="Arial" w:cs="Arial"/>
              </w:rPr>
              <w:t xml:space="preserve">Play a strong supporting role in development of Tertiary, Acute and Primary Care facilities to </w:t>
            </w:r>
            <w:r w:rsidRPr="000423AB">
              <w:rPr>
                <w:rFonts w:ascii="Arial" w:hAnsi="Arial" w:cs="Arial"/>
                <w:b/>
              </w:rPr>
              <w:t>deliver healthcare with healthier outcomes</w:t>
            </w:r>
          </w:p>
        </w:tc>
        <w:tc>
          <w:tcPr>
            <w:tcW w:w="5784" w:type="dxa"/>
          </w:tcPr>
          <w:p w14:paraId="1DA79906" w14:textId="3DECFC66" w:rsidR="00822769" w:rsidRPr="00D92CBC" w:rsidRDefault="00FC1A27" w:rsidP="00551541">
            <w:pPr>
              <w:jc w:val="both"/>
              <w:rPr>
                <w:rFonts w:ascii="Arial" w:hAnsi="Arial" w:cs="Arial"/>
              </w:rPr>
            </w:pPr>
            <w:r w:rsidRPr="00D92CBC">
              <w:rPr>
                <w:rFonts w:ascii="Arial" w:hAnsi="Arial" w:cs="Arial"/>
              </w:rPr>
              <w:t xml:space="preserve">Provides </w:t>
            </w:r>
            <w:r w:rsidR="00CF5A83">
              <w:rPr>
                <w:rFonts w:ascii="Arial" w:hAnsi="Arial" w:cs="Arial"/>
              </w:rPr>
              <w:t xml:space="preserve">a more sustainable CT-Sim service with </w:t>
            </w:r>
            <w:r w:rsidR="00551541">
              <w:rPr>
                <w:rFonts w:ascii="Arial" w:hAnsi="Arial" w:cs="Arial"/>
              </w:rPr>
              <w:t xml:space="preserve">essential </w:t>
            </w:r>
            <w:r w:rsidR="00CF5A83">
              <w:rPr>
                <w:rFonts w:ascii="Arial" w:hAnsi="Arial" w:cs="Arial"/>
              </w:rPr>
              <w:t xml:space="preserve">AI software </w:t>
            </w:r>
            <w:r w:rsidRPr="00D92CBC">
              <w:rPr>
                <w:rFonts w:ascii="Arial" w:hAnsi="Arial" w:cs="Arial"/>
              </w:rPr>
              <w:t>at Singleton Hospital, w</w:t>
            </w:r>
            <w:r w:rsidR="00551541">
              <w:rPr>
                <w:rFonts w:ascii="Arial" w:hAnsi="Arial" w:cs="Arial"/>
              </w:rPr>
              <w:t xml:space="preserve">hich improves </w:t>
            </w:r>
            <w:r w:rsidRPr="00D92CBC">
              <w:rPr>
                <w:rFonts w:ascii="Arial" w:hAnsi="Arial" w:cs="Arial"/>
              </w:rPr>
              <w:t xml:space="preserve">access to high-quality </w:t>
            </w:r>
            <w:r w:rsidR="00CF5A83">
              <w:rPr>
                <w:rFonts w:ascii="Arial" w:hAnsi="Arial" w:cs="Arial"/>
              </w:rPr>
              <w:t xml:space="preserve">cancer </w:t>
            </w:r>
            <w:r w:rsidRPr="00D92CBC">
              <w:rPr>
                <w:rFonts w:ascii="Arial" w:hAnsi="Arial" w:cs="Arial"/>
              </w:rPr>
              <w:t xml:space="preserve">services for our </w:t>
            </w:r>
            <w:r w:rsidR="00CF5A83">
              <w:rPr>
                <w:rFonts w:ascii="Arial" w:hAnsi="Arial" w:cs="Arial"/>
              </w:rPr>
              <w:t xml:space="preserve">regional </w:t>
            </w:r>
            <w:r w:rsidRPr="00D92CBC">
              <w:rPr>
                <w:rFonts w:ascii="Arial" w:hAnsi="Arial" w:cs="Arial"/>
              </w:rPr>
              <w:t>populati</w:t>
            </w:r>
            <w:r w:rsidR="00551541">
              <w:rPr>
                <w:rFonts w:ascii="Arial" w:hAnsi="Arial" w:cs="Arial"/>
              </w:rPr>
              <w:t>on and improves</w:t>
            </w:r>
            <w:r w:rsidR="00CF5A83">
              <w:rPr>
                <w:rFonts w:ascii="Arial" w:hAnsi="Arial" w:cs="Arial"/>
              </w:rPr>
              <w:t xml:space="preserve"> health outcomes;</w:t>
            </w:r>
            <w:r w:rsidRPr="00D92CBC">
              <w:rPr>
                <w:rFonts w:ascii="Arial" w:hAnsi="Arial" w:cs="Arial"/>
              </w:rPr>
              <w:t xml:space="preserve"> Supports improved clinical effectiveness by providing safer and more sustainable services to patients.</w:t>
            </w:r>
          </w:p>
        </w:tc>
      </w:tr>
      <w:tr w:rsidR="00822769" w:rsidRPr="00D92CBC" w14:paraId="3F27E355" w14:textId="77777777" w:rsidTr="000423AB">
        <w:tc>
          <w:tcPr>
            <w:tcW w:w="3681" w:type="dxa"/>
          </w:tcPr>
          <w:p w14:paraId="22CE0CDF" w14:textId="4DAE89EF" w:rsidR="00822769" w:rsidRPr="00D92CBC" w:rsidRDefault="00822769" w:rsidP="00CE7E18">
            <w:pPr>
              <w:pStyle w:val="NoSpacing"/>
              <w:jc w:val="both"/>
              <w:rPr>
                <w:rFonts w:ascii="Arial" w:hAnsi="Arial" w:cs="Arial"/>
              </w:rPr>
            </w:pPr>
            <w:r w:rsidRPr="00D92CBC">
              <w:rPr>
                <w:rFonts w:ascii="Arial" w:hAnsi="Arial" w:cs="Arial"/>
              </w:rPr>
              <w:t xml:space="preserve">Maintain or </w:t>
            </w:r>
            <w:r w:rsidRPr="000423AB">
              <w:rPr>
                <w:rFonts w:ascii="Arial" w:hAnsi="Arial" w:cs="Arial"/>
                <w:b/>
              </w:rPr>
              <w:t>improve compliance levels</w:t>
            </w:r>
            <w:r w:rsidRPr="00D92CBC">
              <w:rPr>
                <w:rFonts w:ascii="Arial" w:hAnsi="Arial" w:cs="Arial"/>
              </w:rPr>
              <w:t xml:space="preserve"> to ensure the Health Board’s physical environment is </w:t>
            </w:r>
            <w:r w:rsidRPr="000423AB">
              <w:rPr>
                <w:rFonts w:ascii="Arial" w:hAnsi="Arial" w:cs="Arial"/>
                <w:b/>
              </w:rPr>
              <w:t>delivered to the highest affordable standards</w:t>
            </w:r>
          </w:p>
        </w:tc>
        <w:tc>
          <w:tcPr>
            <w:tcW w:w="5784" w:type="dxa"/>
          </w:tcPr>
          <w:p w14:paraId="55D09D1A" w14:textId="55DB1C0D" w:rsidR="00822769" w:rsidRPr="00D92CBC" w:rsidRDefault="00551541" w:rsidP="00551541">
            <w:pPr>
              <w:jc w:val="both"/>
              <w:rPr>
                <w:rFonts w:ascii="Arial" w:hAnsi="Arial" w:cs="Arial"/>
              </w:rPr>
            </w:pPr>
            <w:r>
              <w:rPr>
                <w:rFonts w:ascii="Arial" w:hAnsi="Arial" w:cs="Arial"/>
              </w:rPr>
              <w:t>Provides f</w:t>
            </w:r>
            <w:r w:rsidR="00FC1A27" w:rsidRPr="00D92CBC">
              <w:rPr>
                <w:rFonts w:ascii="Arial" w:hAnsi="Arial" w:cs="Arial"/>
              </w:rPr>
              <w:t xml:space="preserve">unctionally </w:t>
            </w:r>
            <w:r>
              <w:rPr>
                <w:rFonts w:ascii="Arial" w:hAnsi="Arial" w:cs="Arial"/>
              </w:rPr>
              <w:t xml:space="preserve">modern and fully compliant </w:t>
            </w:r>
            <w:r w:rsidR="00FC1A27" w:rsidRPr="00D92CBC">
              <w:rPr>
                <w:rFonts w:ascii="Arial" w:hAnsi="Arial" w:cs="Arial"/>
              </w:rPr>
              <w:t xml:space="preserve">facilities with state of the art </w:t>
            </w:r>
            <w:r>
              <w:rPr>
                <w:rFonts w:ascii="Arial" w:hAnsi="Arial" w:cs="Arial"/>
              </w:rPr>
              <w:t>AI capability within the SWWCC at</w:t>
            </w:r>
            <w:r w:rsidR="00FC1A27" w:rsidRPr="00D92CBC">
              <w:rPr>
                <w:rFonts w:ascii="Arial" w:hAnsi="Arial" w:cs="Arial"/>
              </w:rPr>
              <w:t xml:space="preserve"> Singleton Hospital.</w:t>
            </w:r>
          </w:p>
        </w:tc>
      </w:tr>
      <w:tr w:rsidR="00822769" w:rsidRPr="00D92CBC" w14:paraId="4D354660" w14:textId="77777777" w:rsidTr="000423AB">
        <w:tc>
          <w:tcPr>
            <w:tcW w:w="3681" w:type="dxa"/>
          </w:tcPr>
          <w:p w14:paraId="78491B80" w14:textId="3EA6D2BC" w:rsidR="00822769" w:rsidRPr="00D92CBC" w:rsidRDefault="00822769" w:rsidP="000423AB">
            <w:pPr>
              <w:pStyle w:val="NoSpacing"/>
              <w:jc w:val="both"/>
              <w:rPr>
                <w:rFonts w:ascii="Arial" w:hAnsi="Arial" w:cs="Arial"/>
              </w:rPr>
            </w:pPr>
            <w:r w:rsidRPr="00D92CBC">
              <w:rPr>
                <w:rFonts w:ascii="Arial" w:hAnsi="Arial" w:cs="Arial"/>
              </w:rPr>
              <w:t xml:space="preserve">Supports </w:t>
            </w:r>
            <w:r w:rsidRPr="000423AB">
              <w:rPr>
                <w:rFonts w:ascii="Arial" w:hAnsi="Arial" w:cs="Arial"/>
                <w:b/>
              </w:rPr>
              <w:t>operational services and business development</w:t>
            </w:r>
            <w:r w:rsidRPr="00D92CBC">
              <w:rPr>
                <w:rFonts w:ascii="Arial" w:hAnsi="Arial" w:cs="Arial"/>
              </w:rPr>
              <w:t xml:space="preserve"> to capitalise on the Health Board’s estate to bring a greater range of healthcare services</w:t>
            </w:r>
            <w:r w:rsidR="000423AB">
              <w:rPr>
                <w:rFonts w:ascii="Arial" w:hAnsi="Arial" w:cs="Arial"/>
              </w:rPr>
              <w:t>.</w:t>
            </w:r>
          </w:p>
        </w:tc>
        <w:tc>
          <w:tcPr>
            <w:tcW w:w="5784" w:type="dxa"/>
          </w:tcPr>
          <w:p w14:paraId="27B105B9" w14:textId="52F035C5" w:rsidR="00822769" w:rsidRPr="00D92CBC" w:rsidRDefault="00FC1A27" w:rsidP="00CE7E18">
            <w:pPr>
              <w:jc w:val="both"/>
              <w:rPr>
                <w:rFonts w:ascii="Arial" w:hAnsi="Arial" w:cs="Arial"/>
              </w:rPr>
            </w:pPr>
            <w:r w:rsidRPr="00D92CBC">
              <w:rPr>
                <w:rFonts w:ascii="Arial" w:hAnsi="Arial" w:cs="Arial"/>
              </w:rPr>
              <w:t>Provides additional theatre capacity for local surgical specialties to meet demand and reducing waiting times.</w:t>
            </w:r>
          </w:p>
        </w:tc>
      </w:tr>
      <w:tr w:rsidR="00822769" w:rsidRPr="00D92CBC" w14:paraId="7A397F89" w14:textId="77777777" w:rsidTr="000423AB">
        <w:tc>
          <w:tcPr>
            <w:tcW w:w="3681" w:type="dxa"/>
          </w:tcPr>
          <w:p w14:paraId="0FD9A53F" w14:textId="200EE926" w:rsidR="00822769" w:rsidRPr="00D92CBC" w:rsidRDefault="00822769" w:rsidP="00CE7E18">
            <w:pPr>
              <w:pStyle w:val="NoSpacing"/>
              <w:jc w:val="both"/>
              <w:rPr>
                <w:rFonts w:ascii="Arial" w:hAnsi="Arial" w:cs="Arial"/>
              </w:rPr>
            </w:pPr>
            <w:r w:rsidRPr="00D92CBC">
              <w:rPr>
                <w:rFonts w:ascii="Arial" w:hAnsi="Arial" w:cs="Arial"/>
              </w:rPr>
              <w:t xml:space="preserve">Support the development of agile working initiatives, through </w:t>
            </w:r>
            <w:r w:rsidRPr="000423AB">
              <w:rPr>
                <w:rFonts w:ascii="Arial" w:hAnsi="Arial" w:cs="Arial"/>
                <w:b/>
              </w:rPr>
              <w:t>intelligent use of properties and technology</w:t>
            </w:r>
          </w:p>
        </w:tc>
        <w:tc>
          <w:tcPr>
            <w:tcW w:w="5784" w:type="dxa"/>
          </w:tcPr>
          <w:p w14:paraId="2BA52998" w14:textId="2C0E4721" w:rsidR="00822769" w:rsidRPr="00D92CBC" w:rsidRDefault="00E128AD" w:rsidP="00551541">
            <w:pPr>
              <w:jc w:val="both"/>
              <w:rPr>
                <w:rFonts w:ascii="Arial" w:hAnsi="Arial" w:cs="Arial"/>
              </w:rPr>
            </w:pPr>
            <w:r w:rsidRPr="00D92CBC">
              <w:rPr>
                <w:rFonts w:ascii="Arial" w:hAnsi="Arial" w:cs="Arial"/>
              </w:rPr>
              <w:t xml:space="preserve">Supports Health Board wide recruitment to medical and nursing posts across the Health Board’s three Centres of Excellence model by providing </w:t>
            </w:r>
            <w:r w:rsidR="00551541">
              <w:rPr>
                <w:rFonts w:ascii="Arial" w:hAnsi="Arial" w:cs="Arial"/>
              </w:rPr>
              <w:t xml:space="preserve">cancer services </w:t>
            </w:r>
            <w:r w:rsidRPr="00D92CBC">
              <w:rPr>
                <w:rFonts w:ascii="Arial" w:hAnsi="Arial" w:cs="Arial"/>
              </w:rPr>
              <w:t xml:space="preserve">that are equipped with modern and state of the art </w:t>
            </w:r>
            <w:r w:rsidR="00551541">
              <w:rPr>
                <w:rFonts w:ascii="Arial" w:hAnsi="Arial" w:cs="Arial"/>
              </w:rPr>
              <w:t xml:space="preserve">AI software / </w:t>
            </w:r>
            <w:r w:rsidRPr="00D92CBC">
              <w:rPr>
                <w:rFonts w:ascii="Arial" w:hAnsi="Arial" w:cs="Arial"/>
              </w:rPr>
              <w:t xml:space="preserve">technology in support the Health Board’s </w:t>
            </w:r>
            <w:r w:rsidR="00551541">
              <w:rPr>
                <w:rFonts w:ascii="Arial" w:hAnsi="Arial" w:cs="Arial"/>
              </w:rPr>
              <w:t xml:space="preserve">Urgent &amp; Planned Care </w:t>
            </w:r>
            <w:r w:rsidRPr="00D92CBC">
              <w:rPr>
                <w:rFonts w:ascii="Arial" w:hAnsi="Arial" w:cs="Arial"/>
              </w:rPr>
              <w:t>Service Model</w:t>
            </w:r>
            <w:r w:rsidR="00551541">
              <w:rPr>
                <w:rFonts w:ascii="Arial" w:hAnsi="Arial" w:cs="Arial"/>
              </w:rPr>
              <w:t>s</w:t>
            </w:r>
            <w:r w:rsidRPr="00D92CBC">
              <w:rPr>
                <w:rFonts w:ascii="Arial" w:hAnsi="Arial" w:cs="Arial"/>
              </w:rPr>
              <w:t>.</w:t>
            </w:r>
          </w:p>
        </w:tc>
      </w:tr>
      <w:tr w:rsidR="00822769" w:rsidRPr="00D92CBC" w14:paraId="3D793020" w14:textId="77777777" w:rsidTr="000423AB">
        <w:tc>
          <w:tcPr>
            <w:tcW w:w="3681" w:type="dxa"/>
          </w:tcPr>
          <w:p w14:paraId="0ADEAA60" w14:textId="33C877F0" w:rsidR="00822769" w:rsidRPr="00D92CBC" w:rsidRDefault="00822769" w:rsidP="00CE7E18">
            <w:pPr>
              <w:pStyle w:val="NoSpacing"/>
              <w:jc w:val="both"/>
              <w:rPr>
                <w:rFonts w:ascii="Arial" w:hAnsi="Arial" w:cs="Arial"/>
              </w:rPr>
            </w:pPr>
            <w:r w:rsidRPr="00D92CBC">
              <w:rPr>
                <w:rFonts w:ascii="Arial" w:hAnsi="Arial" w:cs="Arial"/>
              </w:rPr>
              <w:t xml:space="preserve">Deliver a </w:t>
            </w:r>
            <w:r w:rsidRPr="000423AB">
              <w:rPr>
                <w:rFonts w:ascii="Arial" w:hAnsi="Arial" w:cs="Arial"/>
                <w:b/>
              </w:rPr>
              <w:t>low carbon, sustainable estate</w:t>
            </w:r>
            <w:r w:rsidRPr="00D92CBC">
              <w:rPr>
                <w:rFonts w:ascii="Arial" w:hAnsi="Arial" w:cs="Arial"/>
              </w:rPr>
              <w:t xml:space="preserve"> that minimises its carbon footprint</w:t>
            </w:r>
          </w:p>
        </w:tc>
        <w:tc>
          <w:tcPr>
            <w:tcW w:w="5784" w:type="dxa"/>
          </w:tcPr>
          <w:p w14:paraId="1B3AE53E" w14:textId="4F7074F4" w:rsidR="00551541" w:rsidRPr="00551541" w:rsidRDefault="00E128AD" w:rsidP="00551541">
            <w:pPr>
              <w:jc w:val="both"/>
              <w:rPr>
                <w:rFonts w:ascii="Arial" w:hAnsi="Arial" w:cs="Arial"/>
                <w:bCs/>
                <w:iCs/>
                <w:szCs w:val="20"/>
              </w:rPr>
            </w:pPr>
            <w:r w:rsidRPr="00D92CBC">
              <w:rPr>
                <w:rFonts w:ascii="Arial" w:hAnsi="Arial" w:cs="Arial"/>
              </w:rPr>
              <w:t xml:space="preserve">The </w:t>
            </w:r>
            <w:r w:rsidR="00551541">
              <w:rPr>
                <w:rFonts w:ascii="Arial" w:hAnsi="Arial" w:cs="Arial"/>
              </w:rPr>
              <w:t xml:space="preserve">facility supports </w:t>
            </w:r>
            <w:r w:rsidR="00551541" w:rsidRPr="00551541">
              <w:rPr>
                <w:rFonts w:ascii="Arial" w:hAnsi="Arial" w:cs="Arial"/>
                <w:bCs/>
                <w:iCs/>
                <w:szCs w:val="20"/>
              </w:rPr>
              <w:t>achievement of NHS Net Zero Carbon targets and SBUHB's Decarbonisation Delivery Plan 2022-24 and aligns with the Princip</w:t>
            </w:r>
            <w:r w:rsidR="00551541">
              <w:rPr>
                <w:rFonts w:ascii="Arial" w:hAnsi="Arial" w:cs="Arial"/>
                <w:bCs/>
                <w:iCs/>
                <w:szCs w:val="20"/>
              </w:rPr>
              <w:t xml:space="preserve">les for Building Health Places by: </w:t>
            </w:r>
            <w:r w:rsidR="00551541" w:rsidRPr="00551541">
              <w:rPr>
                <w:rFonts w:ascii="Arial" w:hAnsi="Arial" w:cs="Arial"/>
                <w:bCs/>
                <w:iCs/>
                <w:szCs w:val="20"/>
              </w:rPr>
              <w:t>Standardising the construction approach to minimise construction waste and transportation of construction materials to site, thereby minimising constr</w:t>
            </w:r>
            <w:r w:rsidR="00551541">
              <w:rPr>
                <w:rFonts w:ascii="Arial" w:hAnsi="Arial" w:cs="Arial"/>
                <w:bCs/>
                <w:iCs/>
                <w:szCs w:val="20"/>
              </w:rPr>
              <w:t xml:space="preserve">uction-related carbon emissions; </w:t>
            </w:r>
            <w:r w:rsidR="00551541" w:rsidRPr="00551541">
              <w:rPr>
                <w:rFonts w:ascii="Arial" w:hAnsi="Arial" w:cs="Arial"/>
                <w:bCs/>
                <w:iCs/>
                <w:szCs w:val="20"/>
              </w:rPr>
              <w:t>Incorporating more efficient low carbon energy solutions – this facility will provide a fully electric ‘green energy’ engineering solution wit</w:t>
            </w:r>
            <w:r w:rsidR="00551541">
              <w:rPr>
                <w:rFonts w:ascii="Arial" w:hAnsi="Arial" w:cs="Arial"/>
                <w:bCs/>
                <w:iCs/>
                <w:szCs w:val="20"/>
              </w:rPr>
              <w:t xml:space="preserve">h no fossil fuel being utilised; </w:t>
            </w:r>
            <w:r w:rsidR="00551541" w:rsidRPr="00551541">
              <w:rPr>
                <w:rFonts w:ascii="Arial" w:hAnsi="Arial" w:cs="Arial"/>
                <w:bCs/>
                <w:iCs/>
                <w:szCs w:val="20"/>
              </w:rPr>
              <w:t>Purchasing items of equipment from a framework supplier that supports carbon reduction</w:t>
            </w:r>
            <w:r w:rsidR="00551541">
              <w:rPr>
                <w:rFonts w:ascii="Arial" w:hAnsi="Arial" w:cs="Arial"/>
                <w:bCs/>
                <w:iCs/>
                <w:szCs w:val="20"/>
              </w:rPr>
              <w:t xml:space="preserve"> and sustainability legislation, and; </w:t>
            </w:r>
            <w:r w:rsidR="00551541" w:rsidRPr="00551541">
              <w:rPr>
                <w:rFonts w:ascii="Arial" w:hAnsi="Arial" w:cs="Arial"/>
                <w:bCs/>
                <w:iCs/>
                <w:szCs w:val="20"/>
              </w:rPr>
              <w:t>Maximising green / embodied carbon reduction – evidencing ‘exit plans’ for disposal and recycling of decommissioned equipment.</w:t>
            </w:r>
          </w:p>
        </w:tc>
      </w:tr>
    </w:tbl>
    <w:p w14:paraId="2801BD39" w14:textId="77777777" w:rsidR="00D92CBC" w:rsidRDefault="00D92CBC" w:rsidP="004B6323">
      <w:pPr>
        <w:rPr>
          <w:rFonts w:ascii="Arial" w:hAnsi="Arial" w:cs="Arial"/>
        </w:rPr>
      </w:pPr>
    </w:p>
    <w:p w14:paraId="2119BADD" w14:textId="2D6E10CF" w:rsidR="0037747E" w:rsidRPr="00D92CBC" w:rsidRDefault="00D92CBC" w:rsidP="00DF70AA">
      <w:pPr>
        <w:rPr>
          <w:rFonts w:ascii="Arial" w:hAnsi="Arial" w:cs="Arial"/>
          <w:b/>
        </w:rPr>
      </w:pPr>
      <w:r w:rsidRPr="00D92CBC">
        <w:rPr>
          <w:rFonts w:ascii="Arial" w:hAnsi="Arial" w:cs="Arial"/>
          <w:b/>
        </w:rPr>
        <w:t>3.0</w:t>
      </w:r>
      <w:r w:rsidRPr="00D92CBC">
        <w:rPr>
          <w:rFonts w:ascii="Arial" w:hAnsi="Arial" w:cs="Arial"/>
          <w:b/>
        </w:rPr>
        <w:tab/>
        <w:t>EXISTING SITE PLAN</w:t>
      </w:r>
    </w:p>
    <w:p w14:paraId="31B6CCAC" w14:textId="5667B170" w:rsidR="00D92CBC" w:rsidRPr="00D92CBC" w:rsidRDefault="00D92CBC" w:rsidP="00D90122">
      <w:pPr>
        <w:jc w:val="both"/>
        <w:rPr>
          <w:rFonts w:ascii="Arial" w:hAnsi="Arial" w:cs="Arial"/>
          <w:b/>
        </w:rPr>
      </w:pPr>
      <w:r w:rsidRPr="00D92CBC">
        <w:rPr>
          <w:rFonts w:ascii="Arial" w:hAnsi="Arial" w:cs="Arial"/>
          <w:b/>
        </w:rPr>
        <w:t>INTRODUCTION</w:t>
      </w:r>
    </w:p>
    <w:p w14:paraId="7322628F" w14:textId="1D6E7623" w:rsidR="004B6323" w:rsidRPr="00D92CBC" w:rsidRDefault="004B6323" w:rsidP="00D90122">
      <w:pPr>
        <w:jc w:val="both"/>
        <w:rPr>
          <w:rFonts w:ascii="Arial" w:hAnsi="Arial" w:cs="Arial"/>
        </w:rPr>
      </w:pPr>
      <w:r w:rsidRPr="00D92CBC">
        <w:rPr>
          <w:rFonts w:ascii="Arial" w:hAnsi="Arial" w:cs="Arial"/>
        </w:rPr>
        <w:t xml:space="preserve">SBUHB covers a population of around 390,000 in the Neath Port Talbot and Swansea areas. It has three major hospitals providing a range of general and specialist services: Morriston and Singleton in Swansea and Neath Port Talbot Hospital in Baglan, Port Talbot. </w:t>
      </w:r>
    </w:p>
    <w:p w14:paraId="789239E0" w14:textId="77777777" w:rsidR="004B6323" w:rsidRPr="00D92CBC" w:rsidRDefault="004B6323" w:rsidP="004B6323">
      <w:pPr>
        <w:rPr>
          <w:rFonts w:ascii="Arial" w:hAnsi="Arial" w:cs="Arial"/>
        </w:rPr>
      </w:pPr>
      <w:r w:rsidRPr="00D92CBC">
        <w:rPr>
          <w:rFonts w:ascii="Arial" w:hAnsi="Arial" w:cs="Arial"/>
          <w:noProof/>
          <w:lang w:eastAsia="en-GB"/>
        </w:rPr>
        <w:drawing>
          <wp:inline distT="0" distB="0" distL="0" distR="0" wp14:anchorId="10CDE42D" wp14:editId="0FAB8208">
            <wp:extent cx="4912242" cy="2714526"/>
            <wp:effectExtent l="0" t="0" r="3175" b="0"/>
            <wp:docPr id="1896152595" name="Picture 1896152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152595" name="Picture 1896152595"/>
                    <pic:cNvPicPr/>
                  </pic:nvPicPr>
                  <pic:blipFill>
                    <a:blip r:embed="rId15" cstate="screen">
                      <a:extLst>
                        <a:ext uri="{28A0092B-C50C-407E-A947-70E740481C1C}">
                          <a14:useLocalDpi xmlns:a14="http://schemas.microsoft.com/office/drawing/2010/main"/>
                        </a:ext>
                      </a:extLst>
                    </a:blip>
                    <a:stretch>
                      <a:fillRect/>
                    </a:stretch>
                  </pic:blipFill>
                  <pic:spPr>
                    <a:xfrm>
                      <a:off x="0" y="0"/>
                      <a:ext cx="4925426" cy="2721811"/>
                    </a:xfrm>
                    <a:prstGeom prst="rect">
                      <a:avLst/>
                    </a:prstGeom>
                  </pic:spPr>
                </pic:pic>
              </a:graphicData>
            </a:graphic>
          </wp:inline>
        </w:drawing>
      </w:r>
    </w:p>
    <w:p w14:paraId="122E47D2" w14:textId="0A6BD279" w:rsidR="00D92CBC" w:rsidRPr="00D92CBC" w:rsidRDefault="00D92CBC" w:rsidP="00D92CBC">
      <w:pPr>
        <w:rPr>
          <w:rFonts w:ascii="Arial" w:hAnsi="Arial" w:cs="Arial"/>
          <w:b/>
        </w:rPr>
      </w:pPr>
      <w:r w:rsidRPr="00D92CBC">
        <w:rPr>
          <w:rFonts w:ascii="Arial" w:hAnsi="Arial" w:cs="Arial"/>
          <w:b/>
        </w:rPr>
        <w:t>SINGLETON HOSPITAL</w:t>
      </w:r>
    </w:p>
    <w:p w14:paraId="184E7EC4" w14:textId="6A7F8A42" w:rsidR="0080339F" w:rsidRPr="00D92CBC" w:rsidRDefault="00D92CBC" w:rsidP="00D92CBC">
      <w:pPr>
        <w:jc w:val="both"/>
        <w:rPr>
          <w:rFonts w:ascii="Arial" w:hAnsi="Arial" w:cs="Arial"/>
        </w:rPr>
      </w:pPr>
      <w:r w:rsidRPr="00D92CBC">
        <w:rPr>
          <w:rFonts w:ascii="Arial" w:hAnsi="Arial" w:cs="Arial"/>
        </w:rPr>
        <w:t xml:space="preserve">Singleton Hospital, overlooking Swansea Bay, will be undergoing significant change over the next few years. The ultimate vision is Singleton playing a key part as an innovative health campus offering 21st century services, care, and values. </w:t>
      </w:r>
    </w:p>
    <w:p w14:paraId="40829A67" w14:textId="3F8089EC" w:rsidR="00D92CBC" w:rsidRPr="00D92CBC" w:rsidRDefault="00D92CBC" w:rsidP="00DF70AA">
      <w:pPr>
        <w:rPr>
          <w:rFonts w:ascii="Arial" w:hAnsi="Arial" w:cs="Arial"/>
        </w:rPr>
      </w:pPr>
      <w:r w:rsidRPr="00D92CBC">
        <w:rPr>
          <w:rFonts w:ascii="Arial" w:hAnsi="Arial" w:cs="Arial"/>
          <w:noProof/>
          <w:lang w:eastAsia="en-GB"/>
        </w:rPr>
        <w:drawing>
          <wp:inline distT="0" distB="0" distL="0" distR="0" wp14:anchorId="4F1611A4" wp14:editId="520FBD0B">
            <wp:extent cx="4274288" cy="2640467"/>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8620" cy="2649320"/>
                    </a:xfrm>
                    <a:prstGeom prst="rect">
                      <a:avLst/>
                    </a:prstGeom>
                    <a:noFill/>
                    <a:ln>
                      <a:noFill/>
                    </a:ln>
                  </pic:spPr>
                </pic:pic>
              </a:graphicData>
            </a:graphic>
          </wp:inline>
        </w:drawing>
      </w:r>
    </w:p>
    <w:p w14:paraId="0F4747C1" w14:textId="29DA1B25" w:rsidR="00D92CBC" w:rsidRPr="00D92CBC" w:rsidRDefault="00D92CBC" w:rsidP="00D92CBC">
      <w:pPr>
        <w:pStyle w:val="Default"/>
        <w:jc w:val="both"/>
        <w:rPr>
          <w:sz w:val="22"/>
          <w:szCs w:val="22"/>
        </w:rPr>
      </w:pPr>
      <w:r w:rsidRPr="00D92CBC">
        <w:rPr>
          <w:sz w:val="22"/>
          <w:szCs w:val="22"/>
        </w:rPr>
        <w:t xml:space="preserve">The strategic objective for Singleton is to replace and refurbish the existing estate and optimise currently underutilised areas. </w:t>
      </w:r>
    </w:p>
    <w:p w14:paraId="48D40CF1" w14:textId="77777777" w:rsidR="00D92CBC" w:rsidRPr="00D92CBC" w:rsidRDefault="00D92CBC" w:rsidP="00D92CBC">
      <w:pPr>
        <w:pStyle w:val="Default"/>
        <w:jc w:val="both"/>
        <w:rPr>
          <w:b/>
          <w:sz w:val="22"/>
          <w:szCs w:val="22"/>
        </w:rPr>
      </w:pPr>
    </w:p>
    <w:p w14:paraId="0D5C58D0" w14:textId="77777777" w:rsidR="00D92CBC" w:rsidRDefault="00D92CBC">
      <w:pPr>
        <w:rPr>
          <w:rFonts w:ascii="Arial" w:hAnsi="Arial" w:cs="Arial"/>
          <w:b/>
        </w:rPr>
      </w:pPr>
      <w:r>
        <w:rPr>
          <w:rFonts w:ascii="Arial" w:hAnsi="Arial" w:cs="Arial"/>
          <w:b/>
        </w:rPr>
        <w:br w:type="page"/>
      </w:r>
    </w:p>
    <w:p w14:paraId="0739B62E" w14:textId="2789CEFF" w:rsidR="0037747E" w:rsidRPr="00D92CBC" w:rsidRDefault="00D92CBC" w:rsidP="00DF70AA">
      <w:pPr>
        <w:rPr>
          <w:rFonts w:ascii="Arial" w:hAnsi="Arial" w:cs="Arial"/>
          <w:b/>
        </w:rPr>
      </w:pPr>
      <w:r w:rsidRPr="00D92CBC">
        <w:rPr>
          <w:rFonts w:ascii="Arial" w:hAnsi="Arial" w:cs="Arial"/>
          <w:b/>
        </w:rPr>
        <w:lastRenderedPageBreak/>
        <w:t>4.0</w:t>
      </w:r>
      <w:r w:rsidRPr="00D92CBC">
        <w:rPr>
          <w:rFonts w:ascii="Arial" w:hAnsi="Arial" w:cs="Arial"/>
          <w:b/>
        </w:rPr>
        <w:tab/>
        <w:t>CURRENT ESTATES PERFORMANCE</w:t>
      </w:r>
    </w:p>
    <w:p w14:paraId="521B35D4" w14:textId="620F2942" w:rsidR="00D92CBC" w:rsidRPr="00D92CBC" w:rsidRDefault="00D92CBC" w:rsidP="00D92CBC">
      <w:pPr>
        <w:rPr>
          <w:rFonts w:ascii="Arial" w:hAnsi="Arial" w:cs="Arial"/>
          <w:b/>
        </w:rPr>
      </w:pPr>
      <w:r w:rsidRPr="00D92CBC">
        <w:rPr>
          <w:rFonts w:ascii="Arial" w:hAnsi="Arial" w:cs="Arial"/>
          <w:b/>
        </w:rPr>
        <w:t>INTRODUCTION</w:t>
      </w:r>
    </w:p>
    <w:p w14:paraId="42236327" w14:textId="6D0B5D73" w:rsidR="00795CCC" w:rsidRPr="00D92CBC" w:rsidRDefault="00795CCC" w:rsidP="00CE7E18">
      <w:pPr>
        <w:jc w:val="both"/>
        <w:rPr>
          <w:rFonts w:ascii="Arial" w:hAnsi="Arial" w:cs="Arial"/>
        </w:rPr>
      </w:pPr>
      <w:r w:rsidRPr="00D92CBC">
        <w:rPr>
          <w:rFonts w:ascii="Arial" w:hAnsi="Arial" w:cs="Arial"/>
        </w:rPr>
        <w:t xml:space="preserve">The Health Board estate has grown in size over many years, responding to service and population requirements, and specialist requirements. The buildings owned are of various size and age, some developed before 1900s, and others after 2015. The buildings and facilities are set within a complex infrastructure of engineering systems for the provision of critical services to wards, theatres, departments, and laboratories, enabling service delivery which is appropriate and timely for patients.   </w:t>
      </w:r>
    </w:p>
    <w:p w14:paraId="3483CC92" w14:textId="41001982" w:rsidR="00795CCC" w:rsidRPr="00D92CBC" w:rsidRDefault="00795CCC" w:rsidP="00CE7E18">
      <w:pPr>
        <w:jc w:val="both"/>
        <w:rPr>
          <w:rFonts w:ascii="Arial" w:hAnsi="Arial" w:cs="Arial"/>
        </w:rPr>
      </w:pPr>
      <w:r w:rsidRPr="00D92CBC">
        <w:rPr>
          <w:rFonts w:ascii="Arial" w:hAnsi="Arial" w:cs="Arial"/>
        </w:rPr>
        <w:t xml:space="preserve">The aged estate is generally more complicated to reconfigure and often changes do not enable the best and efficient delivery of modern-day services. This includes developing layouts in ward environments, which do not allow adequate segregation of patients for infection prevention and control purposes, including isolation and large open wards that cannot be converted easily to meet the required standards for privacy and dignity.  The configuration of a lot of the older facilities of the accommodation is also not suitable for the increasing number of people with dementia or cognitive impairments. </w:t>
      </w:r>
    </w:p>
    <w:p w14:paraId="6CB718B2" w14:textId="77777777" w:rsidR="00D507EF" w:rsidRPr="00D92CBC" w:rsidRDefault="00D507EF" w:rsidP="00D507EF">
      <w:pPr>
        <w:rPr>
          <w:rFonts w:ascii="Arial" w:hAnsi="Arial" w:cs="Arial"/>
        </w:rPr>
      </w:pPr>
      <w:r w:rsidRPr="00D92CBC">
        <w:rPr>
          <w:rFonts w:ascii="Arial" w:hAnsi="Arial" w:cs="Arial"/>
          <w:b/>
        </w:rPr>
        <w:t>FUTURE VISION</w:t>
      </w:r>
      <w:r w:rsidRPr="00D92CBC">
        <w:rPr>
          <w:rFonts w:ascii="Arial" w:hAnsi="Arial" w:cs="Arial"/>
        </w:rPr>
        <w:t xml:space="preserve"> </w:t>
      </w:r>
    </w:p>
    <w:p w14:paraId="473B4E63" w14:textId="77777777" w:rsidR="00D507EF" w:rsidRDefault="00D507EF" w:rsidP="00D507EF">
      <w:pPr>
        <w:jc w:val="both"/>
        <w:rPr>
          <w:rFonts w:ascii="Arial" w:hAnsi="Arial" w:cs="Arial"/>
        </w:rPr>
      </w:pPr>
      <w:r>
        <w:rPr>
          <w:rFonts w:ascii="Arial" w:hAnsi="Arial" w:cs="Arial"/>
        </w:rPr>
        <w:t>The Health Board’s Estate Strategy supports our Strategic Direction by delivering our Clinical Services Plan’s vision for centres of excellence (see below):</w:t>
      </w:r>
    </w:p>
    <w:p w14:paraId="493B1131" w14:textId="77777777" w:rsidR="00D507EF" w:rsidRDefault="00D507EF" w:rsidP="00D507EF">
      <w:pPr>
        <w:jc w:val="both"/>
        <w:rPr>
          <w:rFonts w:ascii="Arial" w:hAnsi="Arial" w:cs="Arial"/>
        </w:rPr>
      </w:pPr>
      <w:r>
        <w:rPr>
          <w:noProof/>
          <w:lang w:eastAsia="en-GB"/>
        </w:rPr>
        <w:drawing>
          <wp:inline distT="0" distB="0" distL="0" distR="0" wp14:anchorId="58AD3EC3" wp14:editId="094DB262">
            <wp:extent cx="6014117" cy="919162"/>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584" t="16624" r="1573" b="61176"/>
                    <a:stretch/>
                  </pic:blipFill>
                  <pic:spPr bwMode="auto">
                    <a:xfrm>
                      <a:off x="0" y="0"/>
                      <a:ext cx="6049619" cy="924588"/>
                    </a:xfrm>
                    <a:prstGeom prst="rect">
                      <a:avLst/>
                    </a:prstGeom>
                    <a:ln>
                      <a:noFill/>
                    </a:ln>
                    <a:extLst>
                      <a:ext uri="{53640926-AAD7-44D8-BBD7-CCE9431645EC}">
                        <a14:shadowObscured xmlns:a14="http://schemas.microsoft.com/office/drawing/2010/main"/>
                      </a:ext>
                    </a:extLst>
                  </pic:spPr>
                </pic:pic>
              </a:graphicData>
            </a:graphic>
          </wp:inline>
        </w:drawing>
      </w:r>
    </w:p>
    <w:p w14:paraId="7A0F6DD9" w14:textId="77777777" w:rsidR="00D507EF" w:rsidRPr="00D92CBC" w:rsidRDefault="00D507EF" w:rsidP="00D507EF">
      <w:pPr>
        <w:jc w:val="both"/>
        <w:rPr>
          <w:rFonts w:ascii="Arial" w:hAnsi="Arial" w:cs="Arial"/>
        </w:rPr>
      </w:pPr>
      <w:r w:rsidRPr="00D92CBC">
        <w:rPr>
          <w:rFonts w:ascii="Arial" w:hAnsi="Arial" w:cs="Arial"/>
        </w:rPr>
        <w:t>Singleton is developing as the centre of excellence for planned care, cancer care, maternity and diagnostics. In the short term the plan is as follows:</w:t>
      </w:r>
    </w:p>
    <w:p w14:paraId="3CF610FF" w14:textId="77777777" w:rsidR="00D507EF" w:rsidRPr="00D92CBC" w:rsidRDefault="00D507EF" w:rsidP="00D507EF">
      <w:pPr>
        <w:rPr>
          <w:rFonts w:ascii="Arial" w:hAnsi="Arial" w:cs="Arial"/>
        </w:rPr>
      </w:pPr>
      <w:r w:rsidRPr="00D92CBC">
        <w:rPr>
          <w:rFonts w:ascii="Arial" w:hAnsi="Arial" w:cs="Arial"/>
          <w:noProof/>
          <w:lang w:eastAsia="en-GB"/>
        </w:rPr>
        <w:drawing>
          <wp:inline distT="0" distB="0" distL="0" distR="0" wp14:anchorId="04C11087" wp14:editId="7DA3C3FC">
            <wp:extent cx="6072822" cy="3047709"/>
            <wp:effectExtent l="114300" t="114300" r="99695" b="1530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l="-949" b="2340"/>
                    <a:stretch/>
                  </pic:blipFill>
                  <pic:spPr bwMode="auto">
                    <a:xfrm>
                      <a:off x="0" y="0"/>
                      <a:ext cx="6073750" cy="304817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6F6E785" w14:textId="77777777" w:rsidR="00D507EF" w:rsidRPr="00D92CBC" w:rsidRDefault="00D507EF" w:rsidP="00D507EF">
      <w:pPr>
        <w:rPr>
          <w:rFonts w:ascii="Arial" w:hAnsi="Arial" w:cs="Arial"/>
        </w:rPr>
      </w:pPr>
      <w:r w:rsidRPr="00D92CBC">
        <w:rPr>
          <w:rFonts w:ascii="Arial" w:hAnsi="Arial" w:cs="Arial"/>
          <w:noProof/>
          <w:lang w:eastAsia="en-GB"/>
        </w:rPr>
        <w:lastRenderedPageBreak/>
        <w:drawing>
          <wp:inline distT="0" distB="0" distL="0" distR="0" wp14:anchorId="0EA29C8D" wp14:editId="0F5C8665">
            <wp:extent cx="5848350" cy="2792393"/>
            <wp:effectExtent l="133350" t="133350" r="152400" b="1606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633" r="1"/>
                    <a:stretch/>
                  </pic:blipFill>
                  <pic:spPr bwMode="auto">
                    <a:xfrm>
                      <a:off x="0" y="0"/>
                      <a:ext cx="5851555" cy="2793923"/>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91CADD7" w14:textId="77777777" w:rsidR="00D507EF" w:rsidRPr="00D92CBC" w:rsidRDefault="00D507EF" w:rsidP="00D507EF">
      <w:pPr>
        <w:jc w:val="both"/>
        <w:rPr>
          <w:rFonts w:ascii="Arial" w:hAnsi="Arial" w:cs="Arial"/>
        </w:rPr>
      </w:pPr>
      <w:r w:rsidRPr="00D92CBC">
        <w:rPr>
          <w:rFonts w:ascii="Arial" w:hAnsi="Arial" w:cs="Arial"/>
        </w:rPr>
        <w:t>This is now enabling the development of the new Singleton Hospital - Regional Centre of Excellence for Planned Care, Diagnostic Testing, Elective Surgery, Woman’s Health, Cancer Care, and a Strategic Hospital Partner to Swansea University Medical School to establish a Healthcare technology Centre.</w:t>
      </w:r>
    </w:p>
    <w:p w14:paraId="2C45C063" w14:textId="77777777" w:rsidR="00D507EF" w:rsidRDefault="00D507EF" w:rsidP="00D507EF">
      <w:pPr>
        <w:jc w:val="both"/>
        <w:rPr>
          <w:rFonts w:ascii="Arial" w:hAnsi="Arial" w:cs="Arial"/>
        </w:rPr>
      </w:pPr>
      <w:r w:rsidRPr="00AE2D39">
        <w:rPr>
          <w:rFonts w:ascii="Arial" w:hAnsi="Arial" w:cs="Arial"/>
        </w:rPr>
        <w:t>Singleton</w:t>
      </w:r>
      <w:r w:rsidRPr="00D92CBC">
        <w:rPr>
          <w:rFonts w:ascii="Arial" w:hAnsi="Arial" w:cs="Arial"/>
        </w:rPr>
        <w:t xml:space="preserve"> Hospital will also be supported to establish its role as a centre of excellence for rapid access and ambulatory (same day) care, cutting edge diagnostics, outpatients, rehabilitation, and community-based care, alongside the educational facilities. </w:t>
      </w:r>
    </w:p>
    <w:p w14:paraId="0AF2610C" w14:textId="77777777" w:rsidR="00D507EF" w:rsidRDefault="00D507EF" w:rsidP="00D507EF">
      <w:pPr>
        <w:jc w:val="both"/>
        <w:rPr>
          <w:rFonts w:ascii="Arial" w:hAnsi="Arial" w:cs="Arial"/>
          <w:b/>
        </w:rPr>
      </w:pPr>
      <w:r>
        <w:rPr>
          <w:rFonts w:ascii="Arial" w:hAnsi="Arial" w:cs="Arial"/>
        </w:rPr>
        <w:t>This investment supports development of a high-quality static PET CT facility and support accommodation in situ with the SWWCC.</w:t>
      </w:r>
    </w:p>
    <w:p w14:paraId="0F81BCFD" w14:textId="77777777" w:rsidR="00D507EF" w:rsidRPr="00D92CBC" w:rsidRDefault="00D507EF" w:rsidP="00D507EF">
      <w:pPr>
        <w:rPr>
          <w:rFonts w:ascii="Arial" w:hAnsi="Arial" w:cs="Arial"/>
          <w:b/>
        </w:rPr>
      </w:pPr>
      <w:bookmarkStart w:id="1" w:name="_Toc511377310"/>
      <w:r w:rsidRPr="00D92CBC">
        <w:rPr>
          <w:rFonts w:ascii="Arial" w:hAnsi="Arial" w:cs="Arial"/>
          <w:b/>
        </w:rPr>
        <w:t>SINGLETON HOSPITAL</w:t>
      </w:r>
      <w:bookmarkEnd w:id="1"/>
      <w:r>
        <w:rPr>
          <w:rFonts w:ascii="Arial" w:hAnsi="Arial" w:cs="Arial"/>
          <w:b/>
        </w:rPr>
        <w:t xml:space="preserve"> - BACKGROUND</w:t>
      </w:r>
    </w:p>
    <w:tbl>
      <w:tblPr>
        <w:tblStyle w:val="TableGrid"/>
        <w:tblW w:w="5100" w:type="pc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36"/>
        <w:gridCol w:w="5929"/>
      </w:tblGrid>
      <w:tr w:rsidR="00D507EF" w:rsidRPr="00D92CBC" w14:paraId="1F3E2205" w14:textId="77777777" w:rsidTr="001D3514">
        <w:tc>
          <w:tcPr>
            <w:tcW w:w="3799" w:type="dxa"/>
            <w:shd w:val="clear" w:color="auto" w:fill="auto"/>
          </w:tcPr>
          <w:p w14:paraId="7F3BEF27" w14:textId="77777777" w:rsidR="00D507EF" w:rsidRPr="00D92CBC" w:rsidRDefault="00D507EF" w:rsidP="001D3514">
            <w:pPr>
              <w:rPr>
                <w:rFonts w:ascii="Arial" w:hAnsi="Arial" w:cs="Arial"/>
              </w:rPr>
            </w:pPr>
            <w:r w:rsidRPr="00D92CBC">
              <w:rPr>
                <w:rFonts w:ascii="Arial" w:hAnsi="Arial" w:cs="Arial"/>
                <w:noProof/>
                <w:lang w:eastAsia="en-GB"/>
              </w:rPr>
              <w:drawing>
                <wp:inline distT="0" distB="0" distL="0" distR="0" wp14:anchorId="6B9C9ADE" wp14:editId="71EE301B">
                  <wp:extent cx="2160000" cy="1392846"/>
                  <wp:effectExtent l="0" t="0" r="0" b="0"/>
                  <wp:docPr id="1896152636" name="Picture 1896152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152636" name="Picture 1896152636"/>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2160000" cy="1392846"/>
                          </a:xfrm>
                          <a:prstGeom prst="rect">
                            <a:avLst/>
                          </a:prstGeom>
                          <a:ln>
                            <a:noFill/>
                          </a:ln>
                          <a:extLst>
                            <a:ext uri="{53640926-AAD7-44D8-BBD7-CCE9431645EC}">
                              <a14:shadowObscured xmlns:a14="http://schemas.microsoft.com/office/drawing/2010/main"/>
                            </a:ext>
                          </a:extLst>
                        </pic:spPr>
                      </pic:pic>
                    </a:graphicData>
                  </a:graphic>
                </wp:inline>
              </w:drawing>
            </w:r>
          </w:p>
        </w:tc>
        <w:tc>
          <w:tcPr>
            <w:tcW w:w="6032" w:type="dxa"/>
            <w:shd w:val="clear" w:color="auto" w:fill="auto"/>
          </w:tcPr>
          <w:p w14:paraId="3952A2AE" w14:textId="77777777" w:rsidR="00D507EF" w:rsidRPr="00D92CBC" w:rsidRDefault="00D507EF" w:rsidP="001D3514">
            <w:pPr>
              <w:shd w:val="clear" w:color="auto" w:fill="FFFFFF"/>
              <w:spacing w:after="160" w:line="259" w:lineRule="auto"/>
              <w:jc w:val="both"/>
              <w:textAlignment w:val="baseline"/>
              <w:rPr>
                <w:rFonts w:ascii="Arial" w:eastAsia="Calibri Light" w:hAnsi="Arial" w:cs="Arial"/>
              </w:rPr>
            </w:pPr>
            <w:r w:rsidRPr="00D92CBC">
              <w:rPr>
                <w:rFonts w:ascii="Arial" w:eastAsia="Calibri Light" w:hAnsi="Arial" w:cs="Arial"/>
              </w:rPr>
              <w:t xml:space="preserve">The first stage of the hospital, which included outpatients' facilities, was completed in 1957. Work recommenced in 1963, and the second stage, which allowed the closure of the aging Swansea Hospital in St. Helen's Road, was completed in 1968. The area is currently 63,925m2. </w:t>
            </w:r>
          </w:p>
          <w:p w14:paraId="3237BC43" w14:textId="77777777" w:rsidR="00D507EF" w:rsidRPr="00D92CBC" w:rsidRDefault="00D507EF" w:rsidP="001D3514">
            <w:pPr>
              <w:shd w:val="clear" w:color="auto" w:fill="FFFFFF"/>
              <w:spacing w:after="160" w:line="259" w:lineRule="auto"/>
              <w:jc w:val="both"/>
              <w:textAlignment w:val="baseline"/>
              <w:rPr>
                <w:rFonts w:ascii="Arial" w:eastAsia="Calibri Light" w:hAnsi="Arial" w:cs="Arial"/>
              </w:rPr>
            </w:pPr>
            <w:r w:rsidRPr="00D92CBC">
              <w:rPr>
                <w:rFonts w:ascii="Arial" w:eastAsia="Calibri Light" w:hAnsi="Arial" w:cs="Arial"/>
              </w:rPr>
              <w:t>The hospital adjoins the Singleton Park Campus of Swansea University.</w:t>
            </w:r>
          </w:p>
        </w:tc>
      </w:tr>
      <w:tr w:rsidR="00D507EF" w:rsidRPr="00D92CBC" w14:paraId="2F7D2584" w14:textId="77777777" w:rsidTr="001D3514">
        <w:tc>
          <w:tcPr>
            <w:tcW w:w="3799" w:type="dxa"/>
            <w:shd w:val="clear" w:color="auto" w:fill="auto"/>
          </w:tcPr>
          <w:p w14:paraId="2DABDED4" w14:textId="77777777" w:rsidR="00D507EF" w:rsidRPr="00D92CBC" w:rsidRDefault="00D507EF" w:rsidP="001D3514">
            <w:pPr>
              <w:rPr>
                <w:rFonts w:ascii="Arial" w:hAnsi="Arial" w:cs="Arial"/>
              </w:rPr>
            </w:pPr>
            <w:r w:rsidRPr="00D92CBC">
              <w:rPr>
                <w:rFonts w:ascii="Arial" w:eastAsia="Calibri Light" w:hAnsi="Arial" w:cs="Arial"/>
                <w:noProof/>
                <w:lang w:eastAsia="en-GB"/>
              </w:rPr>
              <w:drawing>
                <wp:inline distT="0" distB="0" distL="0" distR="0" wp14:anchorId="59B86695" wp14:editId="124435D4">
                  <wp:extent cx="2160000" cy="1458000"/>
                  <wp:effectExtent l="0" t="0" r="0" b="8890"/>
                  <wp:docPr id="62" name="Picture 5" descr="maggi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maggies"/>
                          <pic:cNvPicPr>
                            <a:picLocks noChangeAspect="1" noChangeArrowheads="1"/>
                          </pic:cNvPicPr>
                        </pic:nvPicPr>
                        <pic:blipFill>
                          <a:blip r:embed="rId21" cstate="print">
                            <a:extLst>
                              <a:ext uri="{28A0092B-C50C-407E-A947-70E740481C1C}">
                                <a14:useLocalDpi xmlns:a14="http://schemas.microsoft.com/office/drawing/2010/main"/>
                              </a:ext>
                            </a:extLst>
                          </a:blip>
                          <a:srcRect/>
                          <a:stretch>
                            <a:fillRect/>
                          </a:stretch>
                        </pic:blipFill>
                        <pic:spPr bwMode="auto">
                          <a:xfrm>
                            <a:off x="0" y="0"/>
                            <a:ext cx="2160000" cy="1458000"/>
                          </a:xfrm>
                          <a:prstGeom prst="rect">
                            <a:avLst/>
                          </a:prstGeom>
                          <a:noFill/>
                          <a:ln>
                            <a:noFill/>
                          </a:ln>
                        </pic:spPr>
                      </pic:pic>
                    </a:graphicData>
                  </a:graphic>
                </wp:inline>
              </w:drawing>
            </w:r>
          </w:p>
        </w:tc>
        <w:tc>
          <w:tcPr>
            <w:tcW w:w="6032" w:type="dxa"/>
            <w:shd w:val="clear" w:color="auto" w:fill="auto"/>
          </w:tcPr>
          <w:p w14:paraId="359029A8" w14:textId="77777777" w:rsidR="00D507EF" w:rsidRPr="00D92CBC" w:rsidRDefault="00D507EF" w:rsidP="001D3514">
            <w:pPr>
              <w:shd w:val="clear" w:color="auto" w:fill="FFFFFF"/>
              <w:spacing w:after="160" w:line="259" w:lineRule="auto"/>
              <w:jc w:val="both"/>
              <w:textAlignment w:val="baseline"/>
              <w:rPr>
                <w:rFonts w:ascii="Arial" w:eastAsia="Calibri Light" w:hAnsi="Arial" w:cs="Arial"/>
              </w:rPr>
            </w:pPr>
            <w:r w:rsidRPr="00D92CBC">
              <w:rPr>
                <w:rFonts w:ascii="Arial" w:eastAsia="Calibri Light" w:hAnsi="Arial" w:cs="Arial"/>
              </w:rPr>
              <w:t xml:space="preserve">The South West </w:t>
            </w:r>
            <w:r w:rsidRPr="00D92CBC">
              <w:rPr>
                <w:rFonts w:ascii="Arial" w:hAnsi="Arial" w:cs="Arial"/>
              </w:rPr>
              <w:t xml:space="preserve">Wales Cancer </w:t>
            </w:r>
            <w:r>
              <w:rPr>
                <w:rFonts w:ascii="Arial" w:hAnsi="Arial" w:cs="Arial"/>
              </w:rPr>
              <w:t>Centre (SWWCC)</w:t>
            </w:r>
            <w:r w:rsidRPr="00D92CBC">
              <w:rPr>
                <w:rFonts w:ascii="Arial" w:hAnsi="Arial" w:cs="Arial"/>
              </w:rPr>
              <w:t xml:space="preserve"> and a separate chemotherapy day unit are also at Singleton and the iconic </w:t>
            </w:r>
            <w:hyperlink r:id="rId22" w:tooltip="Maggie's Centres" w:history="1">
              <w:r w:rsidRPr="00D92CBC">
                <w:rPr>
                  <w:rFonts w:ascii="Arial" w:hAnsi="Arial" w:cs="Arial"/>
                </w:rPr>
                <w:t>Maggie's Cancer Care Centre</w:t>
              </w:r>
            </w:hyperlink>
            <w:r w:rsidRPr="00D92CBC">
              <w:rPr>
                <w:rFonts w:ascii="Arial" w:hAnsi="Arial" w:cs="Arial"/>
              </w:rPr>
              <w:t> for </w:t>
            </w:r>
            <w:hyperlink r:id="rId23" w:tooltip="South West Wales" w:history="1">
              <w:r w:rsidRPr="00D92CBC">
                <w:rPr>
                  <w:rFonts w:ascii="Arial" w:hAnsi="Arial" w:cs="Arial"/>
                </w:rPr>
                <w:t>South West Wales</w:t>
              </w:r>
            </w:hyperlink>
            <w:r w:rsidRPr="00D92CBC">
              <w:rPr>
                <w:rFonts w:ascii="Arial" w:hAnsi="Arial" w:cs="Arial"/>
              </w:rPr>
              <w:t>, is located in the grounds; bone marrow transplants are carried out by the haematology service</w:t>
            </w:r>
            <w:r w:rsidRPr="00D92CBC">
              <w:rPr>
                <w:rFonts w:ascii="Arial" w:eastAsia="Calibri Light" w:hAnsi="Arial" w:cs="Arial"/>
              </w:rPr>
              <w:t xml:space="preserve">. </w:t>
            </w:r>
          </w:p>
          <w:p w14:paraId="769AE62C" w14:textId="77777777" w:rsidR="00D507EF" w:rsidRPr="00D92CBC" w:rsidRDefault="00D507EF" w:rsidP="001D3514">
            <w:pPr>
              <w:shd w:val="clear" w:color="auto" w:fill="FFFFFF"/>
              <w:spacing w:after="160" w:line="259" w:lineRule="auto"/>
              <w:jc w:val="both"/>
              <w:textAlignment w:val="baseline"/>
              <w:rPr>
                <w:rFonts w:ascii="Arial" w:eastAsia="Calibri Light" w:hAnsi="Arial" w:cs="Arial"/>
              </w:rPr>
            </w:pPr>
            <w:r w:rsidRPr="00D92CBC">
              <w:rPr>
                <w:rFonts w:ascii="Arial" w:eastAsia="Calibri Light" w:hAnsi="Arial" w:cs="Arial"/>
              </w:rPr>
              <w:t xml:space="preserve">There is also a GP-led Minor Injuries Unit. The hospital has 439 available beds, and comprises 63,283m2 of gross internal floor area. </w:t>
            </w:r>
          </w:p>
        </w:tc>
      </w:tr>
    </w:tbl>
    <w:p w14:paraId="6F14F26C" w14:textId="77777777" w:rsidR="00D507EF" w:rsidRPr="00D92CBC" w:rsidRDefault="00D507EF" w:rsidP="00D507EF">
      <w:pPr>
        <w:jc w:val="both"/>
        <w:textAlignment w:val="baseline"/>
        <w:rPr>
          <w:rFonts w:ascii="Arial" w:eastAsia="Calibri Light" w:hAnsi="Arial" w:cs="Arial"/>
          <w:vertAlign w:val="superscript"/>
        </w:rPr>
      </w:pPr>
      <w:r w:rsidRPr="00D92CBC">
        <w:rPr>
          <w:rFonts w:ascii="Arial" w:eastAsia="Calibri Light" w:hAnsi="Arial" w:cs="Arial"/>
        </w:rPr>
        <w:t xml:space="preserve">The Facilitates include acute general medical services, care of the elderly, surgical, ophthalmology, ENT and radiotherapy services. It also offers a High Dependency Unit and obstetric and gynaecological departments. A number of these departments provide sub-regional services as well </w:t>
      </w:r>
      <w:r w:rsidRPr="00D92CBC">
        <w:rPr>
          <w:rFonts w:ascii="Arial" w:eastAsia="Calibri Light" w:hAnsi="Arial" w:cs="Arial"/>
        </w:rPr>
        <w:lastRenderedPageBreak/>
        <w:t>as secondary care services, the services include ophthalmology, ear nose and throat, and Genito-urinary services.</w:t>
      </w:r>
      <w:r w:rsidRPr="00D92CBC">
        <w:rPr>
          <w:rFonts w:ascii="Arial" w:eastAsia="Calibri Light" w:hAnsi="Arial" w:cs="Arial"/>
          <w:vertAlign w:val="superscript"/>
        </w:rPr>
        <w:t xml:space="preserve"> </w:t>
      </w:r>
    </w:p>
    <w:p w14:paraId="11A4FF4A" w14:textId="77777777" w:rsidR="00D507EF" w:rsidRPr="00D92CBC" w:rsidRDefault="00D507EF" w:rsidP="00D507EF">
      <w:pPr>
        <w:jc w:val="both"/>
        <w:textAlignment w:val="baseline"/>
        <w:rPr>
          <w:rFonts w:ascii="Arial" w:eastAsia="Calibri Light" w:hAnsi="Arial" w:cs="Arial"/>
        </w:rPr>
      </w:pPr>
      <w:r w:rsidRPr="00D92CBC">
        <w:rPr>
          <w:rFonts w:ascii="Arial" w:eastAsia="Calibri Light" w:hAnsi="Arial" w:cs="Arial"/>
        </w:rPr>
        <w:t>These services are supported by an intensive care and high dependency beds, and a range of high quality therapeutic and diagnostic services. The hospital currently has a regional, consultant-led maternity unit and neonatal intensive care.</w:t>
      </w:r>
    </w:p>
    <w:p w14:paraId="01E27CA6" w14:textId="77777777" w:rsidR="00D507EF" w:rsidRPr="00D92CBC" w:rsidRDefault="00D507EF" w:rsidP="00D507EF">
      <w:pPr>
        <w:pStyle w:val="bullets1"/>
        <w:tabs>
          <w:tab w:val="clear" w:pos="360"/>
        </w:tabs>
        <w:jc w:val="both"/>
        <w:rPr>
          <w:rFonts w:cs="Arial"/>
        </w:rPr>
      </w:pPr>
      <w:r w:rsidRPr="00D92CBC">
        <w:rPr>
          <w:rFonts w:cs="Arial"/>
        </w:rPr>
        <w:t>Singleton offers a consultant-led maternity unit and a neonatal intensive care unit for very sick babies (recognised as a sub-regional Centre). In the future, the maternity and NICU services are expected to move to Morriston Hospital.</w:t>
      </w:r>
    </w:p>
    <w:p w14:paraId="68D499B6" w14:textId="77777777" w:rsidR="00D507EF" w:rsidRPr="00D92CBC" w:rsidRDefault="00D507EF" w:rsidP="00D507EF">
      <w:pPr>
        <w:pStyle w:val="bullets1"/>
        <w:tabs>
          <w:tab w:val="clear" w:pos="360"/>
        </w:tabs>
        <w:jc w:val="both"/>
        <w:rPr>
          <w:rFonts w:cs="Arial"/>
        </w:rPr>
      </w:pPr>
      <w:r w:rsidRPr="00D92CBC">
        <w:rPr>
          <w:rFonts w:cs="Arial"/>
        </w:rPr>
        <w:t>The site accommodates a GP acute unit, the first to open in Wales, allowing GPs quicker and easier access to hospital consultants and services so that patients have faster access to the care they need. It has an urgent care service which combines the GP acute unit with a number of other services which assess patients who are referred by GPs and other healthcare professionals.</w:t>
      </w:r>
    </w:p>
    <w:p w14:paraId="3F19B7CE" w14:textId="77777777" w:rsidR="00D507EF" w:rsidRPr="00D92CBC" w:rsidRDefault="00D507EF" w:rsidP="00D507EF">
      <w:pPr>
        <w:pStyle w:val="bullets1"/>
        <w:tabs>
          <w:tab w:val="clear" w:pos="360"/>
        </w:tabs>
        <w:jc w:val="both"/>
        <w:rPr>
          <w:rFonts w:cs="Arial"/>
        </w:rPr>
      </w:pPr>
      <w:r w:rsidRPr="00D92CBC">
        <w:rPr>
          <w:rFonts w:cs="Arial"/>
        </w:rPr>
        <w:t>Genetic counselling clinics are held weekly and there is a major Genito-urinary medicine unit that provides a service for South West Wales as does the Department of Medical Physics and Radiotherapy.</w:t>
      </w:r>
    </w:p>
    <w:p w14:paraId="35D9EB29" w14:textId="778DEF7C" w:rsidR="00555118" w:rsidRPr="00D92CBC" w:rsidRDefault="00555118" w:rsidP="00AE2D39">
      <w:pPr>
        <w:jc w:val="both"/>
        <w:rPr>
          <w:rFonts w:ascii="Arial" w:hAnsi="Arial" w:cs="Arial"/>
        </w:rPr>
      </w:pPr>
      <w:r w:rsidRPr="00D92CBC">
        <w:rPr>
          <w:rFonts w:ascii="Arial" w:hAnsi="Arial" w:cs="Arial"/>
        </w:rPr>
        <w:t>This is now enabling the development of the new Singleton Hospital - Regional Centre of Excellence for Planned Care, Diagnostic Testing, Elective Surgery, Woman’s Health, Cancer Care, and a Strategic Hospital Partner to Swansea University Medical School to establish a Healthcare technology Centre.</w:t>
      </w:r>
    </w:p>
    <w:p w14:paraId="1B295FEF" w14:textId="6C2D4F4E" w:rsidR="00555118" w:rsidRPr="00D92CBC" w:rsidRDefault="00555118" w:rsidP="00555118">
      <w:pPr>
        <w:jc w:val="both"/>
        <w:rPr>
          <w:rFonts w:ascii="Arial" w:hAnsi="Arial" w:cs="Arial"/>
        </w:rPr>
      </w:pPr>
      <w:r w:rsidRPr="00AE2D39">
        <w:rPr>
          <w:rFonts w:ascii="Arial" w:hAnsi="Arial" w:cs="Arial"/>
        </w:rPr>
        <w:t>Singleton</w:t>
      </w:r>
      <w:r w:rsidRPr="00D92CBC">
        <w:rPr>
          <w:rFonts w:ascii="Arial" w:hAnsi="Arial" w:cs="Arial"/>
        </w:rPr>
        <w:t xml:space="preserve"> Hospital will also be supported to establish its role as a centre of excellence for rapid access and ambulatory (same day) care, cutting edge diagnostics, outpatients, rehabilitation, and community-based care, alongside the educational facilities. </w:t>
      </w:r>
    </w:p>
    <w:p w14:paraId="6EC377BA" w14:textId="4CCAF4E9" w:rsidR="0080339F" w:rsidRPr="00D92CBC" w:rsidRDefault="00D507EF">
      <w:pPr>
        <w:rPr>
          <w:rFonts w:ascii="Arial" w:hAnsi="Arial" w:cs="Arial"/>
          <w:b/>
        </w:rPr>
      </w:pPr>
      <w:r>
        <w:rPr>
          <w:rFonts w:ascii="Arial" w:hAnsi="Arial" w:cs="Arial"/>
          <w:b/>
        </w:rPr>
        <w:t xml:space="preserve">SINGLETON HOSPITAL - </w:t>
      </w:r>
      <w:r w:rsidR="00D92CBC" w:rsidRPr="00D92CBC">
        <w:rPr>
          <w:rFonts w:ascii="Arial" w:hAnsi="Arial" w:cs="Arial"/>
          <w:b/>
        </w:rPr>
        <w:t>BACKLOG MAINTENANCE</w:t>
      </w:r>
    </w:p>
    <w:p w14:paraId="1DBB0D33" w14:textId="50142CA4" w:rsidR="00401160" w:rsidRPr="00D92CBC" w:rsidRDefault="00D2730D" w:rsidP="00401160">
      <w:pPr>
        <w:spacing w:line="240" w:lineRule="auto"/>
        <w:rPr>
          <w:rFonts w:ascii="Arial" w:hAnsi="Arial" w:cs="Arial"/>
        </w:rPr>
      </w:pPr>
      <w:r w:rsidRPr="00D92CBC">
        <w:rPr>
          <w:rFonts w:ascii="Arial" w:hAnsi="Arial" w:cs="Arial"/>
          <w:noProof/>
          <w:lang w:eastAsia="en-GB"/>
        </w:rPr>
        <w:drawing>
          <wp:inline distT="0" distB="0" distL="0" distR="0" wp14:anchorId="5B9E78D2" wp14:editId="23AC7D21">
            <wp:extent cx="5920567" cy="2226623"/>
            <wp:effectExtent l="0" t="0" r="444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1714" t="18441" r="33200" b="45629"/>
                    <a:stretch/>
                  </pic:blipFill>
                  <pic:spPr bwMode="auto">
                    <a:xfrm>
                      <a:off x="0" y="0"/>
                      <a:ext cx="5936156" cy="2232486"/>
                    </a:xfrm>
                    <a:prstGeom prst="rect">
                      <a:avLst/>
                    </a:prstGeom>
                    <a:ln>
                      <a:noFill/>
                    </a:ln>
                    <a:extLst>
                      <a:ext uri="{53640926-AAD7-44D8-BBD7-CCE9431645EC}">
                        <a14:shadowObscured xmlns:a14="http://schemas.microsoft.com/office/drawing/2010/main"/>
                      </a:ext>
                    </a:extLst>
                  </pic:spPr>
                </pic:pic>
              </a:graphicData>
            </a:graphic>
          </wp:inline>
        </w:drawing>
      </w:r>
    </w:p>
    <w:p w14:paraId="31015D21" w14:textId="55320AEF" w:rsidR="00D2730D" w:rsidRPr="00D92CBC" w:rsidRDefault="00D2730D" w:rsidP="00D92CBC">
      <w:pPr>
        <w:spacing w:line="240" w:lineRule="auto"/>
        <w:jc w:val="center"/>
        <w:rPr>
          <w:rFonts w:ascii="Arial" w:hAnsi="Arial" w:cs="Arial"/>
        </w:rPr>
      </w:pPr>
      <w:r w:rsidRPr="00D92CBC">
        <w:rPr>
          <w:rFonts w:ascii="Arial" w:hAnsi="Arial" w:cs="Arial"/>
          <w:noProof/>
          <w:lang w:eastAsia="en-GB"/>
        </w:rPr>
        <w:lastRenderedPageBreak/>
        <w:drawing>
          <wp:inline distT="0" distB="0" distL="0" distR="0" wp14:anchorId="7BDA5487" wp14:editId="7293AE74">
            <wp:extent cx="4768572" cy="37213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5601" t="8749" r="36734" b="38750"/>
                    <a:stretch/>
                  </pic:blipFill>
                  <pic:spPr bwMode="auto">
                    <a:xfrm>
                      <a:off x="0" y="0"/>
                      <a:ext cx="4794144" cy="3741352"/>
                    </a:xfrm>
                    <a:prstGeom prst="rect">
                      <a:avLst/>
                    </a:prstGeom>
                    <a:ln>
                      <a:noFill/>
                    </a:ln>
                    <a:extLst>
                      <a:ext uri="{53640926-AAD7-44D8-BBD7-CCE9431645EC}">
                        <a14:shadowObscured xmlns:a14="http://schemas.microsoft.com/office/drawing/2010/main"/>
                      </a:ext>
                    </a:extLst>
                  </pic:spPr>
                </pic:pic>
              </a:graphicData>
            </a:graphic>
          </wp:inline>
        </w:drawing>
      </w:r>
    </w:p>
    <w:p w14:paraId="438A02C9" w14:textId="77777777" w:rsidR="00D92CBC" w:rsidRDefault="00D2730D" w:rsidP="00D2730D">
      <w:pPr>
        <w:spacing w:line="240" w:lineRule="auto"/>
        <w:jc w:val="both"/>
        <w:rPr>
          <w:rFonts w:ascii="Arial" w:hAnsi="Arial" w:cs="Arial"/>
        </w:rPr>
      </w:pPr>
      <w:r w:rsidRPr="00D92CBC">
        <w:rPr>
          <w:rFonts w:ascii="Arial" w:hAnsi="Arial" w:cs="Arial"/>
        </w:rPr>
        <w:t xml:space="preserve">The Health Board’s liability for their Estate totals £100,839,895 which equates to approximately £391 per sqm which is in line with national averages for backlog maintenance. The highest proportion of backlog liability is with Morriston Hospital and </w:t>
      </w:r>
      <w:r w:rsidRPr="00AE2D39">
        <w:rPr>
          <w:rFonts w:ascii="Arial" w:hAnsi="Arial" w:cs="Arial"/>
          <w:b/>
        </w:rPr>
        <w:t>Singleton</w:t>
      </w:r>
      <w:r w:rsidRPr="00D92CBC">
        <w:rPr>
          <w:rFonts w:ascii="Arial" w:hAnsi="Arial" w:cs="Arial"/>
        </w:rPr>
        <w:t xml:space="preserve"> Hospital with 82% of the overall backlog total. </w:t>
      </w:r>
    </w:p>
    <w:p w14:paraId="5FBB7389" w14:textId="26988098" w:rsidR="00D2730D" w:rsidRPr="00D92CBC" w:rsidRDefault="00D2730D" w:rsidP="00D2730D">
      <w:pPr>
        <w:spacing w:line="240" w:lineRule="auto"/>
        <w:jc w:val="both"/>
        <w:rPr>
          <w:rFonts w:ascii="Arial" w:hAnsi="Arial" w:cs="Arial"/>
        </w:rPr>
      </w:pPr>
      <w:r w:rsidRPr="00D507EF">
        <w:rPr>
          <w:rFonts w:ascii="Arial" w:hAnsi="Arial" w:cs="Arial"/>
        </w:rPr>
        <w:t>Singleton Hospital</w:t>
      </w:r>
      <w:r w:rsidRPr="00D92CBC">
        <w:rPr>
          <w:rFonts w:ascii="Arial" w:hAnsi="Arial" w:cs="Arial"/>
        </w:rPr>
        <w:t xml:space="preserve"> with 44% of the total backlog amount and £44,307,060 equates to £700.14 per sqm which is high and well above the national average. The risk adjusted figure of £25,153,584 reduces the rate down to £397 per sqm which is much more in line with national average benchmarks.</w:t>
      </w:r>
    </w:p>
    <w:p w14:paraId="5EB63AEA" w14:textId="77777777" w:rsidR="00D2730D" w:rsidRPr="00D92CBC" w:rsidRDefault="00D2730D" w:rsidP="00D2730D">
      <w:pPr>
        <w:spacing w:line="240" w:lineRule="auto"/>
        <w:jc w:val="both"/>
        <w:rPr>
          <w:rFonts w:ascii="Arial" w:hAnsi="Arial" w:cs="Arial"/>
        </w:rPr>
      </w:pPr>
    </w:p>
    <w:p w14:paraId="1419C0B2" w14:textId="77777777" w:rsidR="00D507EF" w:rsidRPr="00D92CBC" w:rsidRDefault="00D507EF" w:rsidP="00D507EF">
      <w:pPr>
        <w:rPr>
          <w:rFonts w:ascii="Arial" w:hAnsi="Arial" w:cs="Arial"/>
          <w:b/>
        </w:rPr>
      </w:pPr>
      <w:r>
        <w:rPr>
          <w:rFonts w:ascii="Arial" w:hAnsi="Arial" w:cs="Arial"/>
          <w:b/>
        </w:rPr>
        <w:t xml:space="preserve">SINGLETON HOSPITAL - </w:t>
      </w:r>
      <w:r w:rsidRPr="00D92CBC">
        <w:rPr>
          <w:rFonts w:ascii="Arial" w:hAnsi="Arial" w:cs="Arial"/>
          <w:b/>
        </w:rPr>
        <w:t>BACKLOG MAINTENANCE</w:t>
      </w:r>
    </w:p>
    <w:p w14:paraId="3B021F77" w14:textId="77777777" w:rsidR="00D507EF" w:rsidRPr="00D92CBC" w:rsidRDefault="00D507EF" w:rsidP="00D507EF">
      <w:pPr>
        <w:spacing w:after="0" w:line="240" w:lineRule="auto"/>
        <w:jc w:val="center"/>
        <w:rPr>
          <w:rFonts w:ascii="Arial" w:hAnsi="Arial" w:cs="Arial"/>
        </w:rPr>
      </w:pPr>
      <w:r w:rsidRPr="00D92CBC">
        <w:rPr>
          <w:rFonts w:ascii="Arial" w:hAnsi="Arial" w:cs="Arial"/>
          <w:noProof/>
          <w:lang w:eastAsia="en-GB"/>
        </w:rPr>
        <w:drawing>
          <wp:inline distT="0" distB="0" distL="0" distR="0" wp14:anchorId="7661762A" wp14:editId="13FF16F5">
            <wp:extent cx="4961890" cy="190976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1714" t="18229" r="33200" b="44999"/>
                    <a:stretch/>
                  </pic:blipFill>
                  <pic:spPr bwMode="auto">
                    <a:xfrm>
                      <a:off x="0" y="0"/>
                      <a:ext cx="4986091" cy="1919078"/>
                    </a:xfrm>
                    <a:prstGeom prst="rect">
                      <a:avLst/>
                    </a:prstGeom>
                    <a:ln>
                      <a:noFill/>
                    </a:ln>
                    <a:extLst>
                      <a:ext uri="{53640926-AAD7-44D8-BBD7-CCE9431645EC}">
                        <a14:shadowObscured xmlns:a14="http://schemas.microsoft.com/office/drawing/2010/main"/>
                      </a:ext>
                    </a:extLst>
                  </pic:spPr>
                </pic:pic>
              </a:graphicData>
            </a:graphic>
          </wp:inline>
        </w:drawing>
      </w:r>
    </w:p>
    <w:p w14:paraId="5B7DF7EA" w14:textId="77777777" w:rsidR="00D507EF" w:rsidRPr="00D92CBC" w:rsidRDefault="00D507EF" w:rsidP="00D507EF">
      <w:pPr>
        <w:spacing w:line="240" w:lineRule="auto"/>
        <w:jc w:val="center"/>
        <w:rPr>
          <w:rFonts w:ascii="Arial" w:hAnsi="Arial" w:cs="Arial"/>
        </w:rPr>
      </w:pPr>
      <w:r w:rsidRPr="00D92CBC">
        <w:rPr>
          <w:rFonts w:ascii="Arial" w:hAnsi="Arial" w:cs="Arial"/>
          <w:noProof/>
          <w:lang w:eastAsia="en-GB"/>
        </w:rPr>
        <w:lastRenderedPageBreak/>
        <w:drawing>
          <wp:inline distT="0" distB="0" distL="0" distR="0" wp14:anchorId="3C20657C" wp14:editId="41E20D87">
            <wp:extent cx="3524250" cy="275032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5601" t="8749" r="36734" b="38750"/>
                    <a:stretch/>
                  </pic:blipFill>
                  <pic:spPr bwMode="auto">
                    <a:xfrm>
                      <a:off x="0" y="0"/>
                      <a:ext cx="3554369" cy="2773832"/>
                    </a:xfrm>
                    <a:prstGeom prst="rect">
                      <a:avLst/>
                    </a:prstGeom>
                    <a:ln>
                      <a:noFill/>
                    </a:ln>
                    <a:extLst>
                      <a:ext uri="{53640926-AAD7-44D8-BBD7-CCE9431645EC}">
                        <a14:shadowObscured xmlns:a14="http://schemas.microsoft.com/office/drawing/2010/main"/>
                      </a:ext>
                    </a:extLst>
                  </pic:spPr>
                </pic:pic>
              </a:graphicData>
            </a:graphic>
          </wp:inline>
        </w:drawing>
      </w:r>
    </w:p>
    <w:p w14:paraId="0A9CA421" w14:textId="77777777" w:rsidR="00D507EF" w:rsidRDefault="00D507EF" w:rsidP="00D507EF">
      <w:pPr>
        <w:spacing w:line="240" w:lineRule="auto"/>
        <w:jc w:val="both"/>
        <w:rPr>
          <w:rFonts w:ascii="Arial" w:hAnsi="Arial" w:cs="Arial"/>
        </w:rPr>
      </w:pPr>
      <w:r w:rsidRPr="00D92CBC">
        <w:rPr>
          <w:rFonts w:ascii="Arial" w:hAnsi="Arial" w:cs="Arial"/>
        </w:rPr>
        <w:t xml:space="preserve">The Health Board’s liability for their Estate totals £100,839,895 which equates to approximately £391 per sqm which is in line with national averages for backlog maintenance. The highest proportion of backlog liability is with Morriston Hospital and </w:t>
      </w:r>
      <w:r w:rsidRPr="00AE2D39">
        <w:rPr>
          <w:rFonts w:ascii="Arial" w:hAnsi="Arial" w:cs="Arial"/>
          <w:b/>
        </w:rPr>
        <w:t>Singleton</w:t>
      </w:r>
      <w:r w:rsidRPr="00D92CBC">
        <w:rPr>
          <w:rFonts w:ascii="Arial" w:hAnsi="Arial" w:cs="Arial"/>
        </w:rPr>
        <w:t xml:space="preserve"> Hospital with 82% of the overall backlog total. </w:t>
      </w:r>
    </w:p>
    <w:p w14:paraId="36512A7B" w14:textId="77777777" w:rsidR="00D507EF" w:rsidRPr="00D92CBC" w:rsidRDefault="00D507EF" w:rsidP="00D507EF">
      <w:pPr>
        <w:spacing w:line="240" w:lineRule="auto"/>
        <w:jc w:val="both"/>
        <w:rPr>
          <w:rFonts w:ascii="Arial" w:hAnsi="Arial" w:cs="Arial"/>
        </w:rPr>
      </w:pPr>
      <w:r w:rsidRPr="00DF2588">
        <w:rPr>
          <w:rFonts w:ascii="Arial" w:hAnsi="Arial" w:cs="Arial"/>
        </w:rPr>
        <w:t>Singleton</w:t>
      </w:r>
      <w:r w:rsidRPr="00AE2D39">
        <w:rPr>
          <w:rFonts w:ascii="Arial" w:hAnsi="Arial" w:cs="Arial"/>
          <w:b/>
        </w:rPr>
        <w:t xml:space="preserve"> </w:t>
      </w:r>
      <w:r w:rsidRPr="00D92CBC">
        <w:rPr>
          <w:rFonts w:ascii="Arial" w:hAnsi="Arial" w:cs="Arial"/>
        </w:rPr>
        <w:t>Hospital with 44% of the total backlog amount and £44,307,060 equates to £700.14 per sqm which is high and well above the national average. The risk adjusted figure of £25,153,584 reduces the rate down to £397 per sqm which is much more in line with national average benchmarks.</w:t>
      </w:r>
    </w:p>
    <w:p w14:paraId="62D775C4" w14:textId="77777777" w:rsidR="00D507EF" w:rsidRPr="00D92CBC" w:rsidRDefault="00D507EF" w:rsidP="00D507EF">
      <w:pPr>
        <w:rPr>
          <w:rFonts w:ascii="Arial" w:hAnsi="Arial" w:cs="Arial"/>
          <w:b/>
        </w:rPr>
      </w:pPr>
      <w:r w:rsidRPr="00D92CBC">
        <w:rPr>
          <w:rFonts w:ascii="Arial" w:hAnsi="Arial" w:cs="Arial"/>
          <w:b/>
        </w:rPr>
        <w:t xml:space="preserve">6 FACET SURVEYS </w:t>
      </w:r>
    </w:p>
    <w:p w14:paraId="7ECDCC2C" w14:textId="77777777" w:rsidR="00D507EF" w:rsidRPr="00D92CBC" w:rsidRDefault="00D507EF" w:rsidP="00D507EF">
      <w:pPr>
        <w:jc w:val="center"/>
        <w:rPr>
          <w:rFonts w:ascii="Arial" w:hAnsi="Arial" w:cs="Arial"/>
          <w:b/>
        </w:rPr>
      </w:pPr>
      <w:r w:rsidRPr="00D92CBC">
        <w:rPr>
          <w:rFonts w:ascii="Arial" w:hAnsi="Arial" w:cs="Arial"/>
          <w:noProof/>
          <w:lang w:eastAsia="en-GB"/>
        </w:rPr>
        <w:drawing>
          <wp:inline distT="0" distB="0" distL="0" distR="0" wp14:anchorId="182DD8D3" wp14:editId="31E3D5E5">
            <wp:extent cx="6150384" cy="3168502"/>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46054" t="26723" r="37015" b="40061"/>
                    <a:stretch/>
                  </pic:blipFill>
                  <pic:spPr bwMode="auto">
                    <a:xfrm>
                      <a:off x="0" y="0"/>
                      <a:ext cx="6179253" cy="3183374"/>
                    </a:xfrm>
                    <a:prstGeom prst="rect">
                      <a:avLst/>
                    </a:prstGeom>
                    <a:ln>
                      <a:noFill/>
                    </a:ln>
                    <a:extLst>
                      <a:ext uri="{53640926-AAD7-44D8-BBD7-CCE9431645EC}">
                        <a14:shadowObscured xmlns:a14="http://schemas.microsoft.com/office/drawing/2010/main"/>
                      </a:ext>
                    </a:extLst>
                  </pic:spPr>
                </pic:pic>
              </a:graphicData>
            </a:graphic>
          </wp:inline>
        </w:drawing>
      </w:r>
    </w:p>
    <w:p w14:paraId="381EAA5F" w14:textId="77777777" w:rsidR="00D507EF" w:rsidRPr="00D92CBC" w:rsidRDefault="00D507EF" w:rsidP="00D507EF">
      <w:pPr>
        <w:rPr>
          <w:rFonts w:ascii="Arial" w:hAnsi="Arial" w:cs="Arial"/>
        </w:rPr>
      </w:pPr>
      <w:r w:rsidRPr="00D92CBC">
        <w:rPr>
          <w:rFonts w:ascii="Arial" w:hAnsi="Arial" w:cs="Arial"/>
        </w:rPr>
        <w:t xml:space="preserve">Overall, the combined condition of the sites show that the estate is in a Grade C condition, showing the estate is in a poor condition and not functioning as intended. </w:t>
      </w:r>
      <w:r w:rsidRPr="00AE2D39">
        <w:rPr>
          <w:rFonts w:ascii="Arial" w:hAnsi="Arial" w:cs="Arial"/>
          <w:b/>
        </w:rPr>
        <w:t xml:space="preserve">Singleton </w:t>
      </w:r>
      <w:r w:rsidRPr="00D92CBC">
        <w:rPr>
          <w:rFonts w:ascii="Arial" w:hAnsi="Arial" w:cs="Arial"/>
        </w:rPr>
        <w:t>and Morriston Hospitals are currently in the worst condition making up the majority of the Grade D condition.</w:t>
      </w:r>
    </w:p>
    <w:p w14:paraId="0B7AD80E" w14:textId="77777777" w:rsidR="00D507EF" w:rsidRDefault="00D507EF" w:rsidP="00D507EF">
      <w:pPr>
        <w:rPr>
          <w:rFonts w:ascii="Arial" w:hAnsi="Arial" w:cs="Arial"/>
        </w:rPr>
      </w:pPr>
      <w:r w:rsidRPr="00D92CBC">
        <w:rPr>
          <w:rFonts w:ascii="Arial" w:hAnsi="Arial" w:cs="Arial"/>
        </w:rPr>
        <w:lastRenderedPageBreak/>
        <w:t xml:space="preserve">The full 6 Facet Survey of the estate, carried out in 2022 by Oakleaf has found the following results for </w:t>
      </w:r>
      <w:r w:rsidRPr="00AE2D39">
        <w:rPr>
          <w:rFonts w:ascii="Arial" w:hAnsi="Arial" w:cs="Arial"/>
          <w:b/>
        </w:rPr>
        <w:t>Singleton</w:t>
      </w:r>
      <w:r w:rsidRPr="00D92CBC">
        <w:rPr>
          <w:rFonts w:ascii="Arial" w:hAnsi="Arial" w:cs="Arial"/>
        </w:rPr>
        <w:t xml:space="preserve"> Hospital (profiled against the wider estate):</w:t>
      </w:r>
    </w:p>
    <w:p w14:paraId="02BF46E3" w14:textId="7777777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t>Facet 1 – Condition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363"/>
      </w:tblGrid>
      <w:tr w:rsidR="00D507EF" w:rsidRPr="00D92CBC" w14:paraId="7A67DFC6" w14:textId="77777777" w:rsidTr="001D3514">
        <w:tc>
          <w:tcPr>
            <w:tcW w:w="421" w:type="dxa"/>
            <w:shd w:val="clear" w:color="auto" w:fill="92D050"/>
          </w:tcPr>
          <w:p w14:paraId="7F0F35F9"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A</w:t>
            </w:r>
          </w:p>
        </w:tc>
        <w:tc>
          <w:tcPr>
            <w:tcW w:w="8363" w:type="dxa"/>
          </w:tcPr>
          <w:p w14:paraId="0596848E" w14:textId="77777777" w:rsidR="00D507EF" w:rsidRPr="00D92CBC" w:rsidRDefault="00D507EF" w:rsidP="001D3514">
            <w:pPr>
              <w:pStyle w:val="tabletext"/>
              <w:rPr>
                <w:rFonts w:cs="Arial"/>
                <w:sz w:val="22"/>
                <w:szCs w:val="22"/>
              </w:rPr>
            </w:pPr>
            <w:r w:rsidRPr="00D92CBC">
              <w:rPr>
                <w:rFonts w:cs="Arial"/>
                <w:sz w:val="22"/>
                <w:szCs w:val="22"/>
              </w:rPr>
              <w:t>Good. Performing as intended and performing efficiently.</w:t>
            </w:r>
          </w:p>
        </w:tc>
      </w:tr>
      <w:tr w:rsidR="00D507EF" w:rsidRPr="00D92CBC" w14:paraId="165F3D5E" w14:textId="77777777" w:rsidTr="001D3514">
        <w:tc>
          <w:tcPr>
            <w:tcW w:w="421" w:type="dxa"/>
            <w:shd w:val="clear" w:color="auto" w:fill="FFFF00"/>
          </w:tcPr>
          <w:p w14:paraId="7E00A4DD" w14:textId="77777777" w:rsidR="00D507EF" w:rsidRPr="00D92CBC" w:rsidRDefault="00D507EF" w:rsidP="001D3514">
            <w:pPr>
              <w:pStyle w:val="tabletext"/>
              <w:jc w:val="center"/>
              <w:rPr>
                <w:rFonts w:cs="Arial"/>
                <w:sz w:val="22"/>
                <w:szCs w:val="22"/>
              </w:rPr>
            </w:pPr>
            <w:r w:rsidRPr="00D92CBC">
              <w:rPr>
                <w:rFonts w:cs="Arial"/>
                <w:sz w:val="22"/>
                <w:szCs w:val="22"/>
              </w:rPr>
              <w:t>B</w:t>
            </w:r>
          </w:p>
        </w:tc>
        <w:tc>
          <w:tcPr>
            <w:tcW w:w="8363" w:type="dxa"/>
          </w:tcPr>
          <w:p w14:paraId="79C1AEE3" w14:textId="77777777" w:rsidR="00D507EF" w:rsidRPr="00D92CBC" w:rsidRDefault="00D507EF" w:rsidP="001D3514">
            <w:pPr>
              <w:pStyle w:val="tabletext"/>
              <w:rPr>
                <w:rFonts w:cs="Arial"/>
                <w:sz w:val="22"/>
                <w:szCs w:val="22"/>
              </w:rPr>
            </w:pPr>
            <w:r w:rsidRPr="00D92CBC">
              <w:rPr>
                <w:rFonts w:cs="Arial"/>
                <w:sz w:val="22"/>
                <w:szCs w:val="22"/>
              </w:rPr>
              <w:t>Satisfactory. Performing as intended but exhibiting minor deterioration.</w:t>
            </w:r>
          </w:p>
        </w:tc>
      </w:tr>
      <w:tr w:rsidR="00D507EF" w:rsidRPr="00D92CBC" w14:paraId="6FD1AA21" w14:textId="77777777" w:rsidTr="001D3514">
        <w:tc>
          <w:tcPr>
            <w:tcW w:w="421" w:type="dxa"/>
            <w:shd w:val="clear" w:color="auto" w:fill="FFC000"/>
          </w:tcPr>
          <w:p w14:paraId="5EC1FF36" w14:textId="77777777" w:rsidR="00D507EF" w:rsidRPr="00D92CBC" w:rsidRDefault="00D507EF" w:rsidP="001D3514">
            <w:pPr>
              <w:pStyle w:val="tabletext"/>
              <w:jc w:val="center"/>
              <w:rPr>
                <w:rFonts w:cs="Arial"/>
                <w:color w:val="FFFFFF" w:themeColor="background1"/>
                <w:sz w:val="22"/>
                <w:szCs w:val="22"/>
              </w:rPr>
            </w:pPr>
            <w:r w:rsidRPr="00D92CBC">
              <w:rPr>
                <w:rFonts w:cs="Arial"/>
                <w:sz w:val="22"/>
                <w:szCs w:val="22"/>
              </w:rPr>
              <w:t>C</w:t>
            </w:r>
          </w:p>
        </w:tc>
        <w:tc>
          <w:tcPr>
            <w:tcW w:w="8363" w:type="dxa"/>
          </w:tcPr>
          <w:p w14:paraId="5368A012" w14:textId="77777777" w:rsidR="00D507EF" w:rsidRPr="00D92CBC" w:rsidRDefault="00D507EF" w:rsidP="001D3514">
            <w:pPr>
              <w:pStyle w:val="tabletext"/>
              <w:rPr>
                <w:rFonts w:cs="Arial"/>
                <w:sz w:val="22"/>
                <w:szCs w:val="22"/>
              </w:rPr>
            </w:pPr>
            <w:r w:rsidRPr="00D92CBC">
              <w:rPr>
                <w:rFonts w:cs="Arial"/>
                <w:sz w:val="22"/>
                <w:szCs w:val="22"/>
              </w:rPr>
              <w:t>Poor. Exhibiting major defects and/or not operating as intended.</w:t>
            </w:r>
          </w:p>
        </w:tc>
      </w:tr>
      <w:tr w:rsidR="00D507EF" w:rsidRPr="00D92CBC" w14:paraId="10F2FB6A" w14:textId="77777777" w:rsidTr="001D3514">
        <w:tc>
          <w:tcPr>
            <w:tcW w:w="421" w:type="dxa"/>
            <w:shd w:val="clear" w:color="auto" w:fill="FF0000"/>
          </w:tcPr>
          <w:p w14:paraId="59789ACA"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D</w:t>
            </w:r>
          </w:p>
        </w:tc>
        <w:tc>
          <w:tcPr>
            <w:tcW w:w="8363" w:type="dxa"/>
          </w:tcPr>
          <w:p w14:paraId="02D71951" w14:textId="77777777" w:rsidR="00D507EF" w:rsidRPr="00D92CBC" w:rsidRDefault="00D507EF" w:rsidP="001D3514">
            <w:pPr>
              <w:pStyle w:val="tabletext"/>
              <w:rPr>
                <w:rFonts w:cs="Arial"/>
                <w:sz w:val="22"/>
                <w:szCs w:val="22"/>
              </w:rPr>
            </w:pPr>
            <w:r w:rsidRPr="00D92CBC">
              <w:rPr>
                <w:rFonts w:cs="Arial"/>
                <w:sz w:val="22"/>
                <w:szCs w:val="22"/>
              </w:rPr>
              <w:t>Bad. Life expired and/or serious risk of imminent failure.</w:t>
            </w:r>
          </w:p>
        </w:tc>
      </w:tr>
    </w:tbl>
    <w:p w14:paraId="318DE56C" w14:textId="77777777" w:rsidR="00D507EF" w:rsidRDefault="00D507EF" w:rsidP="00D507EF">
      <w:pPr>
        <w:pStyle w:val="Caption"/>
        <w:rPr>
          <w:rFonts w:cs="Arial"/>
          <w:i w:val="0"/>
          <w:szCs w:val="22"/>
        </w:rPr>
      </w:pPr>
    </w:p>
    <w:p w14:paraId="4EE4680F" w14:textId="2B492E9C" w:rsidR="00D507EF" w:rsidRPr="00D92CBC" w:rsidRDefault="00D507EF" w:rsidP="00D507EF">
      <w:pPr>
        <w:pStyle w:val="Caption"/>
        <w:rPr>
          <w:rFonts w:cs="Arial"/>
          <w:i w:val="0"/>
          <w:szCs w:val="22"/>
        </w:rPr>
      </w:pPr>
      <w:r w:rsidRPr="00D92CBC">
        <w:rPr>
          <w:rFonts w:cs="Arial"/>
          <w:i w:val="0"/>
          <w:szCs w:val="22"/>
        </w:rPr>
        <w:t>Overall Condition Grade % by Site</w:t>
      </w:r>
    </w:p>
    <w:tbl>
      <w:tblPr>
        <w:tblStyle w:val="TableGrid"/>
        <w:tblW w:w="5100" w:type="pct"/>
        <w:tblInd w:w="-113" w:type="dxa"/>
        <w:tblBorders>
          <w:top w:val="single" w:sz="4" w:space="0" w:color="ADB8D7"/>
          <w:left w:val="single" w:sz="4" w:space="0" w:color="ADB8D7"/>
          <w:bottom w:val="single" w:sz="4" w:space="0" w:color="ADB8D7"/>
          <w:right w:val="single" w:sz="4" w:space="0" w:color="ADB8D7"/>
          <w:insideH w:val="single" w:sz="4" w:space="0" w:color="ADB8D7"/>
          <w:insideV w:val="single" w:sz="4" w:space="0" w:color="ADB8D7"/>
        </w:tblBorders>
        <w:tblLayout w:type="fixed"/>
        <w:tblLook w:val="04A0" w:firstRow="1" w:lastRow="0" w:firstColumn="1" w:lastColumn="0" w:noHBand="0" w:noVBand="1"/>
      </w:tblPr>
      <w:tblGrid>
        <w:gridCol w:w="1918"/>
        <w:gridCol w:w="855"/>
        <w:gridCol w:w="854"/>
        <w:gridCol w:w="854"/>
        <w:gridCol w:w="855"/>
        <w:gridCol w:w="4318"/>
      </w:tblGrid>
      <w:tr w:rsidR="00D507EF" w:rsidRPr="00D92CBC" w14:paraId="07802589" w14:textId="77777777" w:rsidTr="001D3514">
        <w:trPr>
          <w:trHeight w:val="445"/>
        </w:trPr>
        <w:tc>
          <w:tcPr>
            <w:tcW w:w="1951" w:type="dxa"/>
            <w:shd w:val="clear" w:color="auto" w:fill="3F5181"/>
            <w:noWrap/>
            <w:vAlign w:val="center"/>
            <w:hideMark/>
          </w:tcPr>
          <w:p w14:paraId="2B78DFCB" w14:textId="77777777" w:rsidR="00D507EF" w:rsidRPr="00D92CBC" w:rsidRDefault="00D507EF" w:rsidP="001D3514">
            <w:pPr>
              <w:pStyle w:val="tabletext"/>
              <w:rPr>
                <w:rFonts w:cs="Arial"/>
                <w:b/>
                <w:bCs/>
                <w:sz w:val="22"/>
                <w:szCs w:val="22"/>
              </w:rPr>
            </w:pPr>
            <w:r w:rsidRPr="00D92CBC">
              <w:rPr>
                <w:rFonts w:cs="Arial"/>
                <w:b/>
                <w:bCs/>
                <w:color w:val="FFFFFF" w:themeColor="background1"/>
                <w:sz w:val="22"/>
                <w:szCs w:val="22"/>
              </w:rPr>
              <w:t>Site</w:t>
            </w:r>
          </w:p>
        </w:tc>
        <w:tc>
          <w:tcPr>
            <w:tcW w:w="867" w:type="dxa"/>
            <w:shd w:val="clear" w:color="auto" w:fill="92D050"/>
            <w:noWrap/>
            <w:vAlign w:val="center"/>
            <w:hideMark/>
          </w:tcPr>
          <w:p w14:paraId="572E2824" w14:textId="77777777" w:rsidR="00D507EF" w:rsidRPr="00D92CBC" w:rsidRDefault="00D507EF" w:rsidP="001D3514">
            <w:pPr>
              <w:pStyle w:val="tabletext"/>
              <w:jc w:val="center"/>
              <w:rPr>
                <w:rFonts w:cs="Arial"/>
                <w:b/>
                <w:bCs/>
                <w:sz w:val="22"/>
                <w:szCs w:val="22"/>
              </w:rPr>
            </w:pPr>
            <w:r w:rsidRPr="00D92CBC">
              <w:rPr>
                <w:rFonts w:cs="Arial"/>
                <w:b/>
                <w:bCs/>
                <w:sz w:val="22"/>
                <w:szCs w:val="22"/>
              </w:rPr>
              <w:t>A</w:t>
            </w:r>
          </w:p>
        </w:tc>
        <w:tc>
          <w:tcPr>
            <w:tcW w:w="867" w:type="dxa"/>
            <w:shd w:val="clear" w:color="auto" w:fill="FFFF00"/>
            <w:noWrap/>
            <w:vAlign w:val="center"/>
            <w:hideMark/>
          </w:tcPr>
          <w:p w14:paraId="20C6CC2A" w14:textId="77777777" w:rsidR="00D507EF" w:rsidRPr="00D92CBC" w:rsidRDefault="00D507EF" w:rsidP="001D3514">
            <w:pPr>
              <w:pStyle w:val="tabletext"/>
              <w:jc w:val="center"/>
              <w:rPr>
                <w:rFonts w:cs="Arial"/>
                <w:b/>
                <w:bCs/>
                <w:sz w:val="22"/>
                <w:szCs w:val="22"/>
              </w:rPr>
            </w:pPr>
            <w:r w:rsidRPr="00D92CBC">
              <w:rPr>
                <w:rFonts w:cs="Arial"/>
                <w:b/>
                <w:bCs/>
                <w:sz w:val="22"/>
                <w:szCs w:val="22"/>
              </w:rPr>
              <w:t>B</w:t>
            </w:r>
          </w:p>
        </w:tc>
        <w:tc>
          <w:tcPr>
            <w:tcW w:w="867" w:type="dxa"/>
            <w:shd w:val="clear" w:color="auto" w:fill="FFC000"/>
            <w:noWrap/>
            <w:vAlign w:val="center"/>
            <w:hideMark/>
          </w:tcPr>
          <w:p w14:paraId="05932DFE" w14:textId="77777777" w:rsidR="00D507EF" w:rsidRPr="00D92CBC" w:rsidRDefault="00D507EF" w:rsidP="001D3514">
            <w:pPr>
              <w:pStyle w:val="tabletext"/>
              <w:jc w:val="center"/>
              <w:rPr>
                <w:rFonts w:cs="Arial"/>
                <w:b/>
                <w:bCs/>
                <w:sz w:val="22"/>
                <w:szCs w:val="22"/>
              </w:rPr>
            </w:pPr>
            <w:r w:rsidRPr="00D92CBC">
              <w:rPr>
                <w:rFonts w:cs="Arial"/>
                <w:b/>
                <w:bCs/>
                <w:sz w:val="22"/>
                <w:szCs w:val="22"/>
              </w:rPr>
              <w:t>C</w:t>
            </w:r>
          </w:p>
        </w:tc>
        <w:tc>
          <w:tcPr>
            <w:tcW w:w="868" w:type="dxa"/>
            <w:shd w:val="clear" w:color="auto" w:fill="FF0000"/>
            <w:noWrap/>
            <w:vAlign w:val="center"/>
            <w:hideMark/>
          </w:tcPr>
          <w:p w14:paraId="7A582EBB" w14:textId="77777777" w:rsidR="00D507EF" w:rsidRPr="00D92CBC" w:rsidRDefault="00D507EF" w:rsidP="001D3514">
            <w:pPr>
              <w:pStyle w:val="tabletext"/>
              <w:jc w:val="center"/>
              <w:rPr>
                <w:rFonts w:cs="Arial"/>
                <w:b/>
                <w:bCs/>
                <w:sz w:val="22"/>
                <w:szCs w:val="22"/>
              </w:rPr>
            </w:pPr>
            <w:r w:rsidRPr="00D92CBC">
              <w:rPr>
                <w:rFonts w:cs="Arial"/>
                <w:b/>
                <w:bCs/>
                <w:sz w:val="22"/>
                <w:szCs w:val="22"/>
              </w:rPr>
              <w:t>D</w:t>
            </w:r>
          </w:p>
        </w:tc>
        <w:tc>
          <w:tcPr>
            <w:tcW w:w="4401" w:type="dxa"/>
            <w:vMerge w:val="restart"/>
            <w:shd w:val="clear" w:color="auto" w:fill="auto"/>
            <w:vAlign w:val="center"/>
          </w:tcPr>
          <w:p w14:paraId="2405A463" w14:textId="77777777" w:rsidR="00D507EF" w:rsidRPr="00D92CBC" w:rsidRDefault="00D507EF" w:rsidP="001D3514">
            <w:pPr>
              <w:pStyle w:val="tabletext"/>
              <w:rPr>
                <w:rFonts w:cs="Arial"/>
                <w:b/>
                <w:bCs/>
                <w:sz w:val="22"/>
                <w:szCs w:val="22"/>
              </w:rPr>
            </w:pPr>
            <w:r w:rsidRPr="00D92CBC">
              <w:rPr>
                <w:rFonts w:cs="Arial"/>
                <w:b/>
                <w:bCs/>
                <w:noProof/>
                <w:sz w:val="22"/>
                <w:szCs w:val="22"/>
                <w:lang w:eastAsia="en-GB"/>
              </w:rPr>
              <w:drawing>
                <wp:inline distT="0" distB="0" distL="0" distR="0" wp14:anchorId="0C91715C" wp14:editId="42B68E9E">
                  <wp:extent cx="2646045" cy="2225040"/>
                  <wp:effectExtent l="0" t="0" r="1905" b="3810"/>
                  <wp:docPr id="1896152656" name="Picture 1896152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a:ext>
                            </a:extLst>
                          </a:blip>
                          <a:srcRect/>
                          <a:stretch>
                            <a:fillRect/>
                          </a:stretch>
                        </pic:blipFill>
                        <pic:spPr bwMode="auto">
                          <a:xfrm>
                            <a:off x="0" y="0"/>
                            <a:ext cx="2646045" cy="2225040"/>
                          </a:xfrm>
                          <a:prstGeom prst="rect">
                            <a:avLst/>
                          </a:prstGeom>
                          <a:noFill/>
                        </pic:spPr>
                      </pic:pic>
                    </a:graphicData>
                  </a:graphic>
                </wp:inline>
              </w:drawing>
            </w:r>
          </w:p>
        </w:tc>
      </w:tr>
      <w:tr w:rsidR="00D507EF" w:rsidRPr="00D92CBC" w14:paraId="1BDDE897" w14:textId="77777777" w:rsidTr="001D3514">
        <w:trPr>
          <w:trHeight w:val="445"/>
        </w:trPr>
        <w:tc>
          <w:tcPr>
            <w:tcW w:w="1951" w:type="dxa"/>
            <w:noWrap/>
            <w:vAlign w:val="center"/>
            <w:hideMark/>
          </w:tcPr>
          <w:p w14:paraId="5A2CBBC1" w14:textId="77777777" w:rsidR="00D507EF" w:rsidRPr="00D92CBC" w:rsidRDefault="00D507EF" w:rsidP="001D3514">
            <w:pPr>
              <w:pStyle w:val="tabletext"/>
              <w:rPr>
                <w:rFonts w:cs="Arial"/>
                <w:sz w:val="22"/>
                <w:szCs w:val="22"/>
              </w:rPr>
            </w:pPr>
            <w:r w:rsidRPr="00D92CBC">
              <w:rPr>
                <w:rFonts w:cs="Arial"/>
                <w:sz w:val="22"/>
                <w:szCs w:val="22"/>
              </w:rPr>
              <w:t>Cefn Coed</w:t>
            </w:r>
          </w:p>
        </w:tc>
        <w:tc>
          <w:tcPr>
            <w:tcW w:w="867" w:type="dxa"/>
            <w:noWrap/>
            <w:vAlign w:val="center"/>
            <w:hideMark/>
          </w:tcPr>
          <w:p w14:paraId="012BC3C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hideMark/>
          </w:tcPr>
          <w:p w14:paraId="0702ECB6" w14:textId="77777777" w:rsidR="00D507EF" w:rsidRPr="00D92CBC" w:rsidRDefault="00D507EF" w:rsidP="001D3514">
            <w:pPr>
              <w:pStyle w:val="tabletext"/>
              <w:jc w:val="center"/>
              <w:rPr>
                <w:rFonts w:cs="Arial"/>
                <w:sz w:val="22"/>
                <w:szCs w:val="22"/>
              </w:rPr>
            </w:pPr>
            <w:r w:rsidRPr="00D92CBC">
              <w:rPr>
                <w:rFonts w:cs="Arial"/>
                <w:sz w:val="22"/>
                <w:szCs w:val="22"/>
              </w:rPr>
              <w:t>63%</w:t>
            </w:r>
          </w:p>
        </w:tc>
        <w:tc>
          <w:tcPr>
            <w:tcW w:w="867" w:type="dxa"/>
            <w:noWrap/>
            <w:vAlign w:val="center"/>
            <w:hideMark/>
          </w:tcPr>
          <w:p w14:paraId="163FAACF" w14:textId="77777777" w:rsidR="00D507EF" w:rsidRPr="00D92CBC" w:rsidRDefault="00D507EF" w:rsidP="001D3514">
            <w:pPr>
              <w:pStyle w:val="tabletext"/>
              <w:jc w:val="center"/>
              <w:rPr>
                <w:rFonts w:cs="Arial"/>
                <w:sz w:val="22"/>
                <w:szCs w:val="22"/>
              </w:rPr>
            </w:pPr>
            <w:r w:rsidRPr="00D92CBC">
              <w:rPr>
                <w:rFonts w:cs="Arial"/>
                <w:sz w:val="22"/>
                <w:szCs w:val="22"/>
              </w:rPr>
              <w:t>32%</w:t>
            </w:r>
          </w:p>
        </w:tc>
        <w:tc>
          <w:tcPr>
            <w:tcW w:w="868" w:type="dxa"/>
            <w:noWrap/>
            <w:vAlign w:val="center"/>
            <w:hideMark/>
          </w:tcPr>
          <w:p w14:paraId="23887804" w14:textId="77777777" w:rsidR="00D507EF" w:rsidRPr="00D92CBC" w:rsidRDefault="00D507EF" w:rsidP="001D3514">
            <w:pPr>
              <w:pStyle w:val="tabletext"/>
              <w:jc w:val="center"/>
              <w:rPr>
                <w:rFonts w:cs="Arial"/>
                <w:sz w:val="22"/>
                <w:szCs w:val="22"/>
              </w:rPr>
            </w:pPr>
            <w:r w:rsidRPr="00D92CBC">
              <w:rPr>
                <w:rFonts w:cs="Arial"/>
                <w:sz w:val="22"/>
                <w:szCs w:val="22"/>
              </w:rPr>
              <w:t>5%</w:t>
            </w:r>
          </w:p>
        </w:tc>
        <w:tc>
          <w:tcPr>
            <w:tcW w:w="4401" w:type="dxa"/>
            <w:vMerge/>
            <w:shd w:val="clear" w:color="auto" w:fill="auto"/>
            <w:vAlign w:val="center"/>
          </w:tcPr>
          <w:p w14:paraId="4571051C" w14:textId="77777777" w:rsidR="00D507EF" w:rsidRPr="00D92CBC" w:rsidRDefault="00D507EF" w:rsidP="001D3514">
            <w:pPr>
              <w:pStyle w:val="tabletext"/>
              <w:rPr>
                <w:rFonts w:cs="Arial"/>
                <w:sz w:val="22"/>
                <w:szCs w:val="22"/>
              </w:rPr>
            </w:pPr>
          </w:p>
        </w:tc>
      </w:tr>
      <w:tr w:rsidR="00D507EF" w:rsidRPr="00D92CBC" w14:paraId="6642B831" w14:textId="77777777" w:rsidTr="001D3514">
        <w:trPr>
          <w:trHeight w:val="445"/>
        </w:trPr>
        <w:tc>
          <w:tcPr>
            <w:tcW w:w="1951" w:type="dxa"/>
            <w:noWrap/>
            <w:vAlign w:val="center"/>
            <w:hideMark/>
          </w:tcPr>
          <w:p w14:paraId="2B30A9BF" w14:textId="77777777" w:rsidR="00D507EF" w:rsidRPr="00D92CBC" w:rsidRDefault="00D507EF" w:rsidP="001D3514">
            <w:pPr>
              <w:pStyle w:val="tabletext"/>
              <w:rPr>
                <w:rFonts w:cs="Arial"/>
                <w:sz w:val="22"/>
                <w:szCs w:val="22"/>
              </w:rPr>
            </w:pPr>
            <w:r w:rsidRPr="00D92CBC">
              <w:rPr>
                <w:rFonts w:cs="Arial"/>
                <w:sz w:val="22"/>
                <w:szCs w:val="22"/>
              </w:rPr>
              <w:t xml:space="preserve">Gorseinon </w:t>
            </w:r>
          </w:p>
        </w:tc>
        <w:tc>
          <w:tcPr>
            <w:tcW w:w="867" w:type="dxa"/>
            <w:noWrap/>
            <w:vAlign w:val="center"/>
            <w:hideMark/>
          </w:tcPr>
          <w:p w14:paraId="04ECC368"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hideMark/>
          </w:tcPr>
          <w:p w14:paraId="0A11170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hideMark/>
          </w:tcPr>
          <w:p w14:paraId="4CADC58E" w14:textId="77777777" w:rsidR="00D507EF" w:rsidRPr="00D92CBC" w:rsidRDefault="00D507EF" w:rsidP="001D3514">
            <w:pPr>
              <w:pStyle w:val="tabletext"/>
              <w:jc w:val="center"/>
              <w:rPr>
                <w:rFonts w:cs="Arial"/>
                <w:sz w:val="22"/>
                <w:szCs w:val="22"/>
              </w:rPr>
            </w:pPr>
            <w:r w:rsidRPr="00D92CBC">
              <w:rPr>
                <w:rFonts w:cs="Arial"/>
                <w:sz w:val="22"/>
                <w:szCs w:val="22"/>
              </w:rPr>
              <w:t>96%</w:t>
            </w:r>
          </w:p>
        </w:tc>
        <w:tc>
          <w:tcPr>
            <w:tcW w:w="868" w:type="dxa"/>
            <w:noWrap/>
            <w:vAlign w:val="center"/>
            <w:hideMark/>
          </w:tcPr>
          <w:p w14:paraId="4180BA25" w14:textId="77777777" w:rsidR="00D507EF" w:rsidRPr="00D92CBC" w:rsidRDefault="00D507EF" w:rsidP="001D3514">
            <w:pPr>
              <w:pStyle w:val="tabletext"/>
              <w:jc w:val="center"/>
              <w:rPr>
                <w:rFonts w:cs="Arial"/>
                <w:sz w:val="22"/>
                <w:szCs w:val="22"/>
              </w:rPr>
            </w:pPr>
            <w:r w:rsidRPr="00D92CBC">
              <w:rPr>
                <w:rFonts w:cs="Arial"/>
                <w:sz w:val="22"/>
                <w:szCs w:val="22"/>
              </w:rPr>
              <w:t>4%</w:t>
            </w:r>
          </w:p>
        </w:tc>
        <w:tc>
          <w:tcPr>
            <w:tcW w:w="4401" w:type="dxa"/>
            <w:vMerge/>
            <w:shd w:val="clear" w:color="auto" w:fill="auto"/>
            <w:vAlign w:val="center"/>
          </w:tcPr>
          <w:p w14:paraId="0271E3F4" w14:textId="77777777" w:rsidR="00D507EF" w:rsidRPr="00D92CBC" w:rsidRDefault="00D507EF" w:rsidP="001D3514">
            <w:pPr>
              <w:pStyle w:val="tabletext"/>
              <w:rPr>
                <w:rFonts w:cs="Arial"/>
                <w:sz w:val="22"/>
                <w:szCs w:val="22"/>
              </w:rPr>
            </w:pPr>
          </w:p>
        </w:tc>
      </w:tr>
      <w:tr w:rsidR="00D507EF" w:rsidRPr="00D92CBC" w14:paraId="156C6CE3" w14:textId="77777777" w:rsidTr="001D3514">
        <w:trPr>
          <w:trHeight w:val="445"/>
        </w:trPr>
        <w:tc>
          <w:tcPr>
            <w:tcW w:w="1951" w:type="dxa"/>
            <w:noWrap/>
            <w:vAlign w:val="center"/>
            <w:hideMark/>
          </w:tcPr>
          <w:p w14:paraId="28A1249E" w14:textId="77777777" w:rsidR="00D507EF" w:rsidRPr="00D92CBC" w:rsidRDefault="00D507EF" w:rsidP="001D3514">
            <w:pPr>
              <w:pStyle w:val="tabletext"/>
              <w:rPr>
                <w:rFonts w:cs="Arial"/>
                <w:sz w:val="22"/>
                <w:szCs w:val="22"/>
              </w:rPr>
            </w:pPr>
            <w:r w:rsidRPr="00D92CBC">
              <w:rPr>
                <w:rFonts w:cs="Arial"/>
                <w:sz w:val="22"/>
                <w:szCs w:val="22"/>
              </w:rPr>
              <w:t>Neath Port Talbot</w:t>
            </w:r>
          </w:p>
        </w:tc>
        <w:tc>
          <w:tcPr>
            <w:tcW w:w="867" w:type="dxa"/>
            <w:noWrap/>
            <w:vAlign w:val="center"/>
            <w:hideMark/>
          </w:tcPr>
          <w:p w14:paraId="490692B2"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hideMark/>
          </w:tcPr>
          <w:p w14:paraId="1C369394" w14:textId="77777777" w:rsidR="00D507EF" w:rsidRPr="00D92CBC" w:rsidRDefault="00D507EF" w:rsidP="001D3514">
            <w:pPr>
              <w:pStyle w:val="tabletext"/>
              <w:jc w:val="center"/>
              <w:rPr>
                <w:rFonts w:cs="Arial"/>
                <w:sz w:val="22"/>
                <w:szCs w:val="22"/>
              </w:rPr>
            </w:pPr>
            <w:r w:rsidRPr="00D92CBC">
              <w:rPr>
                <w:rFonts w:cs="Arial"/>
                <w:sz w:val="22"/>
                <w:szCs w:val="22"/>
              </w:rPr>
              <w:t>100%</w:t>
            </w:r>
          </w:p>
        </w:tc>
        <w:tc>
          <w:tcPr>
            <w:tcW w:w="867" w:type="dxa"/>
            <w:noWrap/>
            <w:vAlign w:val="center"/>
            <w:hideMark/>
          </w:tcPr>
          <w:p w14:paraId="74C8513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8" w:type="dxa"/>
            <w:noWrap/>
            <w:vAlign w:val="center"/>
            <w:hideMark/>
          </w:tcPr>
          <w:p w14:paraId="43E134AD"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31AEAE96" w14:textId="77777777" w:rsidR="00D507EF" w:rsidRPr="00D92CBC" w:rsidRDefault="00D507EF" w:rsidP="001D3514">
            <w:pPr>
              <w:pStyle w:val="tabletext"/>
              <w:rPr>
                <w:rFonts w:cs="Arial"/>
                <w:sz w:val="22"/>
                <w:szCs w:val="22"/>
              </w:rPr>
            </w:pPr>
          </w:p>
        </w:tc>
      </w:tr>
      <w:tr w:rsidR="00D507EF" w:rsidRPr="00D92CBC" w14:paraId="03841E62" w14:textId="77777777" w:rsidTr="001D3514">
        <w:trPr>
          <w:trHeight w:val="445"/>
        </w:trPr>
        <w:tc>
          <w:tcPr>
            <w:tcW w:w="1951" w:type="dxa"/>
            <w:noWrap/>
            <w:vAlign w:val="center"/>
            <w:hideMark/>
          </w:tcPr>
          <w:p w14:paraId="7B9A035F" w14:textId="77777777" w:rsidR="00D507EF" w:rsidRPr="00D92CBC" w:rsidRDefault="00D507EF" w:rsidP="001D3514">
            <w:pPr>
              <w:pStyle w:val="tabletext"/>
              <w:rPr>
                <w:rFonts w:cs="Arial"/>
                <w:sz w:val="22"/>
                <w:szCs w:val="22"/>
              </w:rPr>
            </w:pPr>
            <w:r w:rsidRPr="00D92CBC">
              <w:rPr>
                <w:rFonts w:cs="Arial"/>
                <w:sz w:val="22"/>
                <w:szCs w:val="22"/>
              </w:rPr>
              <w:t>Tonna</w:t>
            </w:r>
          </w:p>
        </w:tc>
        <w:tc>
          <w:tcPr>
            <w:tcW w:w="867" w:type="dxa"/>
            <w:noWrap/>
            <w:vAlign w:val="center"/>
            <w:hideMark/>
          </w:tcPr>
          <w:p w14:paraId="5E805B94"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hideMark/>
          </w:tcPr>
          <w:p w14:paraId="7D463792" w14:textId="77777777" w:rsidR="00D507EF" w:rsidRPr="00D92CBC" w:rsidRDefault="00D507EF" w:rsidP="001D3514">
            <w:pPr>
              <w:pStyle w:val="tabletext"/>
              <w:jc w:val="center"/>
              <w:rPr>
                <w:rFonts w:cs="Arial"/>
                <w:sz w:val="22"/>
                <w:szCs w:val="22"/>
              </w:rPr>
            </w:pPr>
            <w:r w:rsidRPr="00D92CBC">
              <w:rPr>
                <w:rFonts w:cs="Arial"/>
                <w:sz w:val="22"/>
                <w:szCs w:val="22"/>
              </w:rPr>
              <w:t>4%</w:t>
            </w:r>
          </w:p>
        </w:tc>
        <w:tc>
          <w:tcPr>
            <w:tcW w:w="867" w:type="dxa"/>
            <w:noWrap/>
            <w:vAlign w:val="center"/>
            <w:hideMark/>
          </w:tcPr>
          <w:p w14:paraId="09CED115" w14:textId="77777777" w:rsidR="00D507EF" w:rsidRPr="00D92CBC" w:rsidRDefault="00D507EF" w:rsidP="001D3514">
            <w:pPr>
              <w:pStyle w:val="tabletext"/>
              <w:jc w:val="center"/>
              <w:rPr>
                <w:rFonts w:cs="Arial"/>
                <w:sz w:val="22"/>
                <w:szCs w:val="22"/>
              </w:rPr>
            </w:pPr>
            <w:r w:rsidRPr="00D92CBC">
              <w:rPr>
                <w:rFonts w:cs="Arial"/>
                <w:sz w:val="22"/>
                <w:szCs w:val="22"/>
              </w:rPr>
              <w:t>96%</w:t>
            </w:r>
          </w:p>
        </w:tc>
        <w:tc>
          <w:tcPr>
            <w:tcW w:w="868" w:type="dxa"/>
            <w:noWrap/>
            <w:vAlign w:val="center"/>
            <w:hideMark/>
          </w:tcPr>
          <w:p w14:paraId="5E37BB9D"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1B255D97" w14:textId="77777777" w:rsidR="00D507EF" w:rsidRPr="00D92CBC" w:rsidRDefault="00D507EF" w:rsidP="001D3514">
            <w:pPr>
              <w:pStyle w:val="tabletext"/>
              <w:rPr>
                <w:rFonts w:cs="Arial"/>
                <w:sz w:val="22"/>
                <w:szCs w:val="22"/>
              </w:rPr>
            </w:pPr>
          </w:p>
        </w:tc>
      </w:tr>
      <w:tr w:rsidR="00D507EF" w:rsidRPr="00D92CBC" w14:paraId="2E5CF074" w14:textId="77777777" w:rsidTr="001D3514">
        <w:trPr>
          <w:trHeight w:val="445"/>
        </w:trPr>
        <w:tc>
          <w:tcPr>
            <w:tcW w:w="1951" w:type="dxa"/>
            <w:noWrap/>
            <w:vAlign w:val="center"/>
            <w:hideMark/>
          </w:tcPr>
          <w:p w14:paraId="7E8E55BD" w14:textId="77777777" w:rsidR="00D507EF" w:rsidRPr="00D92CBC" w:rsidRDefault="00D507EF" w:rsidP="001D3514">
            <w:pPr>
              <w:pStyle w:val="tabletext"/>
              <w:rPr>
                <w:rFonts w:cs="Arial"/>
                <w:sz w:val="22"/>
                <w:szCs w:val="22"/>
              </w:rPr>
            </w:pPr>
            <w:r w:rsidRPr="00D92CBC">
              <w:rPr>
                <w:rFonts w:cs="Arial"/>
                <w:sz w:val="22"/>
                <w:szCs w:val="22"/>
              </w:rPr>
              <w:t>Morriston</w:t>
            </w:r>
          </w:p>
        </w:tc>
        <w:tc>
          <w:tcPr>
            <w:tcW w:w="867" w:type="dxa"/>
            <w:noWrap/>
            <w:vAlign w:val="center"/>
            <w:hideMark/>
          </w:tcPr>
          <w:p w14:paraId="357C2015" w14:textId="77777777" w:rsidR="00D507EF" w:rsidRPr="00D92CBC" w:rsidRDefault="00D507EF" w:rsidP="001D3514">
            <w:pPr>
              <w:pStyle w:val="tabletext"/>
              <w:jc w:val="center"/>
              <w:rPr>
                <w:rFonts w:cs="Arial"/>
                <w:sz w:val="22"/>
                <w:szCs w:val="22"/>
              </w:rPr>
            </w:pPr>
            <w:r w:rsidRPr="00D92CBC">
              <w:rPr>
                <w:rFonts w:cs="Arial"/>
                <w:sz w:val="22"/>
                <w:szCs w:val="22"/>
              </w:rPr>
              <w:t>17%</w:t>
            </w:r>
          </w:p>
        </w:tc>
        <w:tc>
          <w:tcPr>
            <w:tcW w:w="867" w:type="dxa"/>
            <w:noWrap/>
            <w:vAlign w:val="center"/>
            <w:hideMark/>
          </w:tcPr>
          <w:p w14:paraId="75E7992C" w14:textId="77777777" w:rsidR="00D507EF" w:rsidRPr="00D92CBC" w:rsidRDefault="00D507EF" w:rsidP="001D3514">
            <w:pPr>
              <w:pStyle w:val="tabletext"/>
              <w:jc w:val="center"/>
              <w:rPr>
                <w:rFonts w:cs="Arial"/>
                <w:sz w:val="22"/>
                <w:szCs w:val="22"/>
              </w:rPr>
            </w:pPr>
            <w:r w:rsidRPr="00D92CBC">
              <w:rPr>
                <w:rFonts w:cs="Arial"/>
                <w:sz w:val="22"/>
                <w:szCs w:val="22"/>
              </w:rPr>
              <w:t>19%</w:t>
            </w:r>
          </w:p>
        </w:tc>
        <w:tc>
          <w:tcPr>
            <w:tcW w:w="867" w:type="dxa"/>
            <w:noWrap/>
            <w:vAlign w:val="center"/>
            <w:hideMark/>
          </w:tcPr>
          <w:p w14:paraId="50EC1B21" w14:textId="77777777" w:rsidR="00D507EF" w:rsidRPr="00D92CBC" w:rsidRDefault="00D507EF" w:rsidP="001D3514">
            <w:pPr>
              <w:pStyle w:val="tabletext"/>
              <w:jc w:val="center"/>
              <w:rPr>
                <w:rFonts w:cs="Arial"/>
                <w:sz w:val="22"/>
                <w:szCs w:val="22"/>
              </w:rPr>
            </w:pPr>
            <w:r w:rsidRPr="00D92CBC">
              <w:rPr>
                <w:rFonts w:cs="Arial"/>
                <w:sz w:val="22"/>
                <w:szCs w:val="22"/>
              </w:rPr>
              <w:t>33%</w:t>
            </w:r>
          </w:p>
        </w:tc>
        <w:tc>
          <w:tcPr>
            <w:tcW w:w="868" w:type="dxa"/>
            <w:noWrap/>
            <w:vAlign w:val="center"/>
            <w:hideMark/>
          </w:tcPr>
          <w:p w14:paraId="0CD99B6E" w14:textId="77777777" w:rsidR="00D507EF" w:rsidRPr="00D92CBC" w:rsidRDefault="00D507EF" w:rsidP="001D3514">
            <w:pPr>
              <w:pStyle w:val="tabletext"/>
              <w:jc w:val="center"/>
              <w:rPr>
                <w:rFonts w:cs="Arial"/>
                <w:sz w:val="22"/>
                <w:szCs w:val="22"/>
              </w:rPr>
            </w:pPr>
            <w:r w:rsidRPr="00D92CBC">
              <w:rPr>
                <w:rFonts w:cs="Arial"/>
                <w:sz w:val="22"/>
                <w:szCs w:val="22"/>
              </w:rPr>
              <w:t>31%</w:t>
            </w:r>
          </w:p>
        </w:tc>
        <w:tc>
          <w:tcPr>
            <w:tcW w:w="4401" w:type="dxa"/>
            <w:vMerge/>
            <w:shd w:val="clear" w:color="auto" w:fill="auto"/>
            <w:vAlign w:val="center"/>
          </w:tcPr>
          <w:p w14:paraId="132C87A8" w14:textId="77777777" w:rsidR="00D507EF" w:rsidRPr="00D92CBC" w:rsidRDefault="00D507EF" w:rsidP="001D3514">
            <w:pPr>
              <w:pStyle w:val="tabletext"/>
              <w:rPr>
                <w:rFonts w:cs="Arial"/>
                <w:sz w:val="22"/>
                <w:szCs w:val="22"/>
              </w:rPr>
            </w:pPr>
          </w:p>
        </w:tc>
      </w:tr>
      <w:tr w:rsidR="00D507EF" w:rsidRPr="00D92CBC" w14:paraId="414731FF" w14:textId="77777777" w:rsidTr="001D3514">
        <w:trPr>
          <w:trHeight w:val="445"/>
        </w:trPr>
        <w:tc>
          <w:tcPr>
            <w:tcW w:w="1951" w:type="dxa"/>
            <w:noWrap/>
            <w:vAlign w:val="center"/>
            <w:hideMark/>
          </w:tcPr>
          <w:p w14:paraId="3E81635D" w14:textId="77777777" w:rsidR="00D507EF" w:rsidRPr="00D92CBC" w:rsidRDefault="00D507EF" w:rsidP="001D3514">
            <w:pPr>
              <w:pStyle w:val="tabletext"/>
              <w:rPr>
                <w:rFonts w:cs="Arial"/>
                <w:sz w:val="22"/>
                <w:szCs w:val="22"/>
              </w:rPr>
            </w:pPr>
            <w:r w:rsidRPr="00D92CBC">
              <w:rPr>
                <w:rFonts w:cs="Arial"/>
                <w:sz w:val="22"/>
                <w:szCs w:val="22"/>
              </w:rPr>
              <w:t>Singleton</w:t>
            </w:r>
          </w:p>
        </w:tc>
        <w:tc>
          <w:tcPr>
            <w:tcW w:w="867" w:type="dxa"/>
            <w:noWrap/>
            <w:vAlign w:val="center"/>
            <w:hideMark/>
          </w:tcPr>
          <w:p w14:paraId="04CDBCBB" w14:textId="77777777" w:rsidR="00D507EF" w:rsidRPr="00D92CBC" w:rsidRDefault="00D507EF" w:rsidP="001D3514">
            <w:pPr>
              <w:pStyle w:val="tabletext"/>
              <w:jc w:val="center"/>
              <w:rPr>
                <w:rFonts w:cs="Arial"/>
                <w:sz w:val="22"/>
                <w:szCs w:val="22"/>
              </w:rPr>
            </w:pPr>
            <w:r w:rsidRPr="00D92CBC">
              <w:rPr>
                <w:rFonts w:cs="Arial"/>
                <w:sz w:val="22"/>
                <w:szCs w:val="22"/>
              </w:rPr>
              <w:t>2%</w:t>
            </w:r>
          </w:p>
        </w:tc>
        <w:tc>
          <w:tcPr>
            <w:tcW w:w="867" w:type="dxa"/>
            <w:noWrap/>
            <w:vAlign w:val="center"/>
            <w:hideMark/>
          </w:tcPr>
          <w:p w14:paraId="63CE1285" w14:textId="77777777" w:rsidR="00D507EF" w:rsidRPr="00D92CBC" w:rsidRDefault="00D507EF" w:rsidP="001D3514">
            <w:pPr>
              <w:pStyle w:val="tabletext"/>
              <w:jc w:val="center"/>
              <w:rPr>
                <w:rFonts w:cs="Arial"/>
                <w:sz w:val="22"/>
                <w:szCs w:val="22"/>
              </w:rPr>
            </w:pPr>
            <w:r w:rsidRPr="00D92CBC">
              <w:rPr>
                <w:rFonts w:cs="Arial"/>
                <w:sz w:val="22"/>
                <w:szCs w:val="22"/>
              </w:rPr>
              <w:t>24%</w:t>
            </w:r>
          </w:p>
        </w:tc>
        <w:tc>
          <w:tcPr>
            <w:tcW w:w="867" w:type="dxa"/>
            <w:noWrap/>
            <w:vAlign w:val="center"/>
            <w:hideMark/>
          </w:tcPr>
          <w:p w14:paraId="73A9682E" w14:textId="77777777" w:rsidR="00D507EF" w:rsidRPr="00D92CBC" w:rsidRDefault="00D507EF" w:rsidP="001D3514">
            <w:pPr>
              <w:pStyle w:val="tabletext"/>
              <w:jc w:val="center"/>
              <w:rPr>
                <w:rFonts w:cs="Arial"/>
                <w:sz w:val="22"/>
                <w:szCs w:val="22"/>
              </w:rPr>
            </w:pPr>
            <w:r w:rsidRPr="00D92CBC">
              <w:rPr>
                <w:rFonts w:cs="Arial"/>
                <w:sz w:val="22"/>
                <w:szCs w:val="22"/>
              </w:rPr>
              <w:t>48%</w:t>
            </w:r>
          </w:p>
        </w:tc>
        <w:tc>
          <w:tcPr>
            <w:tcW w:w="868" w:type="dxa"/>
            <w:noWrap/>
            <w:vAlign w:val="center"/>
            <w:hideMark/>
          </w:tcPr>
          <w:p w14:paraId="450EB42E" w14:textId="77777777" w:rsidR="00D507EF" w:rsidRPr="00D92CBC" w:rsidRDefault="00D507EF" w:rsidP="001D3514">
            <w:pPr>
              <w:pStyle w:val="tabletext"/>
              <w:jc w:val="center"/>
              <w:rPr>
                <w:rFonts w:cs="Arial"/>
                <w:sz w:val="22"/>
                <w:szCs w:val="22"/>
              </w:rPr>
            </w:pPr>
            <w:r w:rsidRPr="00D92CBC">
              <w:rPr>
                <w:rFonts w:cs="Arial"/>
                <w:sz w:val="22"/>
                <w:szCs w:val="22"/>
              </w:rPr>
              <w:t>26%</w:t>
            </w:r>
          </w:p>
        </w:tc>
        <w:tc>
          <w:tcPr>
            <w:tcW w:w="4401" w:type="dxa"/>
            <w:vMerge/>
            <w:shd w:val="clear" w:color="auto" w:fill="auto"/>
            <w:vAlign w:val="center"/>
          </w:tcPr>
          <w:p w14:paraId="60233222" w14:textId="77777777" w:rsidR="00D507EF" w:rsidRPr="00D92CBC" w:rsidRDefault="00D507EF" w:rsidP="001D3514">
            <w:pPr>
              <w:pStyle w:val="tabletext"/>
              <w:rPr>
                <w:rFonts w:cs="Arial"/>
                <w:sz w:val="22"/>
                <w:szCs w:val="22"/>
              </w:rPr>
            </w:pPr>
          </w:p>
        </w:tc>
      </w:tr>
      <w:tr w:rsidR="00D507EF" w:rsidRPr="00D92CBC" w14:paraId="5C5CE74A" w14:textId="77777777" w:rsidTr="001D3514">
        <w:trPr>
          <w:trHeight w:val="445"/>
        </w:trPr>
        <w:tc>
          <w:tcPr>
            <w:tcW w:w="1951" w:type="dxa"/>
            <w:shd w:val="clear" w:color="auto" w:fill="F2F2F2" w:themeFill="background1" w:themeFillShade="F2"/>
            <w:noWrap/>
            <w:vAlign w:val="center"/>
            <w:hideMark/>
          </w:tcPr>
          <w:p w14:paraId="6355CFD6" w14:textId="77777777" w:rsidR="00D507EF" w:rsidRPr="00D92CBC" w:rsidRDefault="00D507EF" w:rsidP="001D3514">
            <w:pPr>
              <w:pStyle w:val="tabletext"/>
              <w:rPr>
                <w:rFonts w:cs="Arial"/>
                <w:sz w:val="22"/>
                <w:szCs w:val="22"/>
              </w:rPr>
            </w:pPr>
            <w:r w:rsidRPr="00D92CBC">
              <w:rPr>
                <w:rFonts w:cs="Arial"/>
                <w:sz w:val="22"/>
                <w:szCs w:val="22"/>
              </w:rPr>
              <w:t>All sites</w:t>
            </w:r>
          </w:p>
        </w:tc>
        <w:tc>
          <w:tcPr>
            <w:tcW w:w="867" w:type="dxa"/>
            <w:shd w:val="clear" w:color="auto" w:fill="F2F2F2" w:themeFill="background1" w:themeFillShade="F2"/>
            <w:noWrap/>
            <w:vAlign w:val="center"/>
            <w:hideMark/>
          </w:tcPr>
          <w:p w14:paraId="6E133A87" w14:textId="77777777" w:rsidR="00D507EF" w:rsidRPr="00D92CBC" w:rsidRDefault="00D507EF" w:rsidP="001D3514">
            <w:pPr>
              <w:pStyle w:val="tabletext"/>
              <w:jc w:val="center"/>
              <w:rPr>
                <w:rFonts w:cs="Arial"/>
                <w:b/>
                <w:bCs/>
                <w:sz w:val="22"/>
                <w:szCs w:val="22"/>
              </w:rPr>
            </w:pPr>
            <w:r w:rsidRPr="00D92CBC">
              <w:rPr>
                <w:rFonts w:cs="Arial"/>
                <w:b/>
                <w:bCs/>
                <w:sz w:val="22"/>
                <w:szCs w:val="22"/>
              </w:rPr>
              <w:t>9%</w:t>
            </w:r>
          </w:p>
        </w:tc>
        <w:tc>
          <w:tcPr>
            <w:tcW w:w="867" w:type="dxa"/>
            <w:shd w:val="clear" w:color="auto" w:fill="F2F2F2" w:themeFill="background1" w:themeFillShade="F2"/>
            <w:noWrap/>
            <w:vAlign w:val="center"/>
            <w:hideMark/>
          </w:tcPr>
          <w:p w14:paraId="72B93B8F" w14:textId="77777777" w:rsidR="00D507EF" w:rsidRPr="00D92CBC" w:rsidRDefault="00D507EF" w:rsidP="001D3514">
            <w:pPr>
              <w:pStyle w:val="tabletext"/>
              <w:jc w:val="center"/>
              <w:rPr>
                <w:rFonts w:cs="Arial"/>
                <w:b/>
                <w:bCs/>
                <w:sz w:val="22"/>
                <w:szCs w:val="22"/>
              </w:rPr>
            </w:pPr>
            <w:r w:rsidRPr="00D92CBC">
              <w:rPr>
                <w:rFonts w:cs="Arial"/>
                <w:b/>
                <w:bCs/>
                <w:sz w:val="22"/>
                <w:szCs w:val="22"/>
              </w:rPr>
              <w:t>25%</w:t>
            </w:r>
          </w:p>
        </w:tc>
        <w:tc>
          <w:tcPr>
            <w:tcW w:w="867" w:type="dxa"/>
            <w:shd w:val="clear" w:color="auto" w:fill="F2F2F2" w:themeFill="background1" w:themeFillShade="F2"/>
            <w:noWrap/>
            <w:vAlign w:val="center"/>
            <w:hideMark/>
          </w:tcPr>
          <w:p w14:paraId="472EDA27" w14:textId="77777777" w:rsidR="00D507EF" w:rsidRPr="00D92CBC" w:rsidRDefault="00D507EF" w:rsidP="001D3514">
            <w:pPr>
              <w:pStyle w:val="tabletext"/>
              <w:jc w:val="center"/>
              <w:rPr>
                <w:rFonts w:cs="Arial"/>
                <w:b/>
                <w:bCs/>
                <w:sz w:val="22"/>
                <w:szCs w:val="22"/>
              </w:rPr>
            </w:pPr>
            <w:r w:rsidRPr="00D92CBC">
              <w:rPr>
                <w:rFonts w:cs="Arial"/>
                <w:b/>
                <w:bCs/>
                <w:sz w:val="22"/>
                <w:szCs w:val="22"/>
              </w:rPr>
              <w:t>41%</w:t>
            </w:r>
          </w:p>
        </w:tc>
        <w:tc>
          <w:tcPr>
            <w:tcW w:w="868" w:type="dxa"/>
            <w:shd w:val="clear" w:color="auto" w:fill="F2F2F2" w:themeFill="background1" w:themeFillShade="F2"/>
            <w:noWrap/>
            <w:vAlign w:val="center"/>
            <w:hideMark/>
          </w:tcPr>
          <w:p w14:paraId="6B73F816" w14:textId="77777777" w:rsidR="00D507EF" w:rsidRPr="00D92CBC" w:rsidRDefault="00D507EF" w:rsidP="001D3514">
            <w:pPr>
              <w:pStyle w:val="tabletext"/>
              <w:jc w:val="center"/>
              <w:rPr>
                <w:rFonts w:cs="Arial"/>
                <w:b/>
                <w:bCs/>
                <w:sz w:val="22"/>
                <w:szCs w:val="22"/>
              </w:rPr>
            </w:pPr>
            <w:r w:rsidRPr="00D92CBC">
              <w:rPr>
                <w:rFonts w:cs="Arial"/>
                <w:b/>
                <w:bCs/>
                <w:sz w:val="22"/>
                <w:szCs w:val="22"/>
              </w:rPr>
              <w:t>25%</w:t>
            </w:r>
          </w:p>
        </w:tc>
        <w:tc>
          <w:tcPr>
            <w:tcW w:w="4401" w:type="dxa"/>
            <w:vMerge/>
            <w:shd w:val="clear" w:color="auto" w:fill="auto"/>
            <w:vAlign w:val="center"/>
          </w:tcPr>
          <w:p w14:paraId="5B014FBD" w14:textId="77777777" w:rsidR="00D507EF" w:rsidRPr="00D92CBC" w:rsidRDefault="00D507EF" w:rsidP="001D3514">
            <w:pPr>
              <w:pStyle w:val="tabletext"/>
              <w:rPr>
                <w:rFonts w:cs="Arial"/>
                <w:sz w:val="22"/>
                <w:szCs w:val="22"/>
              </w:rPr>
            </w:pPr>
          </w:p>
        </w:tc>
      </w:tr>
    </w:tbl>
    <w:p w14:paraId="7321F5B8" w14:textId="77777777" w:rsidR="00D507EF" w:rsidRPr="00D92CBC" w:rsidRDefault="00D507EF" w:rsidP="00D507EF">
      <w:pPr>
        <w:pStyle w:val="NoSpacing"/>
        <w:rPr>
          <w:rFonts w:ascii="Arial" w:hAnsi="Arial" w:cs="Arial"/>
        </w:rPr>
      </w:pPr>
    </w:p>
    <w:p w14:paraId="78DC8D00" w14:textId="77777777" w:rsidR="00D507EF" w:rsidRDefault="00D507EF" w:rsidP="00D507EF">
      <w:pPr>
        <w:jc w:val="both"/>
        <w:rPr>
          <w:rFonts w:ascii="Arial" w:hAnsi="Arial" w:cs="Arial"/>
        </w:rPr>
      </w:pPr>
      <w:r w:rsidRPr="00D92CBC">
        <w:rPr>
          <w:rFonts w:ascii="Arial" w:hAnsi="Arial" w:cs="Arial"/>
        </w:rPr>
        <w:t xml:space="preserve">Overall, the combined condition of the sites show that the estate is in a Grade C condition, showing the estate is in a poor condition and not functioning as intended. </w:t>
      </w:r>
      <w:r w:rsidRPr="00AE2D39">
        <w:rPr>
          <w:rFonts w:ascii="Arial" w:hAnsi="Arial" w:cs="Arial"/>
          <w:b/>
        </w:rPr>
        <w:t>Singleton</w:t>
      </w:r>
      <w:r w:rsidRPr="00D92CBC">
        <w:rPr>
          <w:rFonts w:ascii="Arial" w:hAnsi="Arial" w:cs="Arial"/>
        </w:rPr>
        <w:t xml:space="preserve"> and Morriston Hospitals are currently in the worst condition making up the majority of the Grade D condition. Neath Port Talbot and Cefn Coed Hospitals are currently the properties in the best condition within the estate.</w:t>
      </w:r>
    </w:p>
    <w:p w14:paraId="476DA485" w14:textId="7777777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t>Facet 2 – Functional Suitability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363"/>
      </w:tblGrid>
      <w:tr w:rsidR="00D507EF" w:rsidRPr="00D92CBC" w14:paraId="5ED26A7B" w14:textId="77777777" w:rsidTr="001D3514">
        <w:tc>
          <w:tcPr>
            <w:tcW w:w="421" w:type="dxa"/>
            <w:shd w:val="clear" w:color="auto" w:fill="92D050"/>
          </w:tcPr>
          <w:p w14:paraId="544D5689"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A</w:t>
            </w:r>
          </w:p>
        </w:tc>
        <w:tc>
          <w:tcPr>
            <w:tcW w:w="8363" w:type="dxa"/>
          </w:tcPr>
          <w:p w14:paraId="35FDA5E7" w14:textId="77777777" w:rsidR="00D507EF" w:rsidRPr="00D92CBC" w:rsidRDefault="00D507EF" w:rsidP="001D3514">
            <w:pPr>
              <w:pStyle w:val="tabletext"/>
              <w:rPr>
                <w:rFonts w:cs="Arial"/>
                <w:sz w:val="22"/>
                <w:szCs w:val="22"/>
              </w:rPr>
            </w:pPr>
            <w:r w:rsidRPr="00D92CBC">
              <w:rPr>
                <w:rFonts w:cs="Arial"/>
                <w:sz w:val="22"/>
                <w:szCs w:val="22"/>
              </w:rPr>
              <w:t>Very Satisfactory</w:t>
            </w:r>
          </w:p>
        </w:tc>
      </w:tr>
      <w:tr w:rsidR="00D507EF" w:rsidRPr="00D92CBC" w14:paraId="4DE20C0D" w14:textId="77777777" w:rsidTr="001D3514">
        <w:tc>
          <w:tcPr>
            <w:tcW w:w="421" w:type="dxa"/>
            <w:shd w:val="clear" w:color="auto" w:fill="FFFF00"/>
          </w:tcPr>
          <w:p w14:paraId="494BC92C" w14:textId="77777777" w:rsidR="00D507EF" w:rsidRPr="00D92CBC" w:rsidRDefault="00D507EF" w:rsidP="001D3514">
            <w:pPr>
              <w:pStyle w:val="tabletext"/>
              <w:jc w:val="center"/>
              <w:rPr>
                <w:rFonts w:cs="Arial"/>
                <w:sz w:val="22"/>
                <w:szCs w:val="22"/>
              </w:rPr>
            </w:pPr>
            <w:r w:rsidRPr="00D92CBC">
              <w:rPr>
                <w:rFonts w:cs="Arial"/>
                <w:sz w:val="22"/>
                <w:szCs w:val="22"/>
              </w:rPr>
              <w:t>B</w:t>
            </w:r>
          </w:p>
        </w:tc>
        <w:tc>
          <w:tcPr>
            <w:tcW w:w="8363" w:type="dxa"/>
          </w:tcPr>
          <w:p w14:paraId="7B718AAD" w14:textId="77777777" w:rsidR="00D507EF" w:rsidRPr="00D92CBC" w:rsidRDefault="00D507EF" w:rsidP="001D3514">
            <w:pPr>
              <w:pStyle w:val="tabletext"/>
              <w:rPr>
                <w:rFonts w:cs="Arial"/>
                <w:sz w:val="22"/>
                <w:szCs w:val="22"/>
              </w:rPr>
            </w:pPr>
            <w:r w:rsidRPr="00D92CBC">
              <w:rPr>
                <w:rFonts w:cs="Arial"/>
                <w:sz w:val="22"/>
                <w:szCs w:val="22"/>
              </w:rPr>
              <w:t>Satisfactory</w:t>
            </w:r>
          </w:p>
        </w:tc>
      </w:tr>
      <w:tr w:rsidR="00D507EF" w:rsidRPr="00D92CBC" w14:paraId="656A90C8" w14:textId="77777777" w:rsidTr="001D3514">
        <w:tc>
          <w:tcPr>
            <w:tcW w:w="421" w:type="dxa"/>
            <w:shd w:val="clear" w:color="auto" w:fill="FFC000"/>
          </w:tcPr>
          <w:p w14:paraId="73F53CA4" w14:textId="77777777" w:rsidR="00D507EF" w:rsidRPr="00D92CBC" w:rsidRDefault="00D507EF" w:rsidP="001D3514">
            <w:pPr>
              <w:pStyle w:val="tabletext"/>
              <w:jc w:val="center"/>
              <w:rPr>
                <w:rFonts w:cs="Arial"/>
                <w:color w:val="FFFFFF" w:themeColor="background1"/>
                <w:sz w:val="22"/>
                <w:szCs w:val="22"/>
              </w:rPr>
            </w:pPr>
            <w:r w:rsidRPr="00D92CBC">
              <w:rPr>
                <w:rFonts w:cs="Arial"/>
                <w:sz w:val="22"/>
                <w:szCs w:val="22"/>
              </w:rPr>
              <w:t>C</w:t>
            </w:r>
          </w:p>
        </w:tc>
        <w:tc>
          <w:tcPr>
            <w:tcW w:w="8363" w:type="dxa"/>
          </w:tcPr>
          <w:p w14:paraId="22244B54" w14:textId="77777777" w:rsidR="00D507EF" w:rsidRPr="00D92CBC" w:rsidRDefault="00D507EF" w:rsidP="001D3514">
            <w:pPr>
              <w:pStyle w:val="tabletext"/>
              <w:rPr>
                <w:rFonts w:cs="Arial"/>
                <w:sz w:val="22"/>
                <w:szCs w:val="22"/>
              </w:rPr>
            </w:pPr>
            <w:r w:rsidRPr="00D92CBC">
              <w:rPr>
                <w:rFonts w:cs="Arial"/>
                <w:sz w:val="22"/>
                <w:szCs w:val="22"/>
              </w:rPr>
              <w:t>Not Satisfactory</w:t>
            </w:r>
          </w:p>
        </w:tc>
      </w:tr>
      <w:tr w:rsidR="00D507EF" w:rsidRPr="00D92CBC" w14:paraId="34A2EDA6" w14:textId="77777777" w:rsidTr="001D3514">
        <w:tc>
          <w:tcPr>
            <w:tcW w:w="421" w:type="dxa"/>
            <w:shd w:val="clear" w:color="auto" w:fill="FF0000"/>
          </w:tcPr>
          <w:p w14:paraId="44413C7F"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D</w:t>
            </w:r>
          </w:p>
        </w:tc>
        <w:tc>
          <w:tcPr>
            <w:tcW w:w="8363" w:type="dxa"/>
          </w:tcPr>
          <w:p w14:paraId="15BAA6EF" w14:textId="77777777" w:rsidR="00D507EF" w:rsidRPr="00D92CBC" w:rsidRDefault="00D507EF" w:rsidP="001D3514">
            <w:pPr>
              <w:pStyle w:val="tabletext"/>
              <w:rPr>
                <w:rFonts w:cs="Arial"/>
                <w:sz w:val="22"/>
                <w:szCs w:val="22"/>
              </w:rPr>
            </w:pPr>
            <w:r w:rsidRPr="00D92CBC">
              <w:rPr>
                <w:rFonts w:cs="Arial"/>
                <w:sz w:val="22"/>
                <w:szCs w:val="22"/>
              </w:rPr>
              <w:t>Unacceptable</w:t>
            </w:r>
          </w:p>
        </w:tc>
      </w:tr>
    </w:tbl>
    <w:p w14:paraId="6983D670" w14:textId="77777777" w:rsidR="00D507EF" w:rsidRPr="00D92CBC" w:rsidRDefault="00D507EF" w:rsidP="00D507EF">
      <w:pPr>
        <w:pStyle w:val="NoSpacing"/>
        <w:rPr>
          <w:rFonts w:ascii="Arial" w:hAnsi="Arial" w:cs="Arial"/>
        </w:rPr>
      </w:pPr>
    </w:p>
    <w:p w14:paraId="01C67E6D" w14:textId="77777777" w:rsidR="00D507EF" w:rsidRPr="00D92CBC" w:rsidRDefault="00D507EF" w:rsidP="00D507EF">
      <w:pPr>
        <w:pStyle w:val="Caption"/>
        <w:rPr>
          <w:rFonts w:cs="Arial"/>
          <w:i w:val="0"/>
          <w:szCs w:val="22"/>
        </w:rPr>
      </w:pPr>
      <w:r w:rsidRPr="00D92CBC">
        <w:rPr>
          <w:rFonts w:cs="Arial"/>
          <w:i w:val="0"/>
          <w:szCs w:val="22"/>
        </w:rPr>
        <w:t>Overall Function Grade % by Site</w:t>
      </w:r>
    </w:p>
    <w:tbl>
      <w:tblPr>
        <w:tblStyle w:val="TableGrid"/>
        <w:tblW w:w="5100" w:type="pct"/>
        <w:tblInd w:w="-113" w:type="dxa"/>
        <w:tblBorders>
          <w:top w:val="single" w:sz="4" w:space="0" w:color="ADB8D7"/>
          <w:left w:val="single" w:sz="4" w:space="0" w:color="ADB8D7"/>
          <w:bottom w:val="single" w:sz="4" w:space="0" w:color="ADB8D7"/>
          <w:right w:val="single" w:sz="4" w:space="0" w:color="ADB8D7"/>
          <w:insideH w:val="single" w:sz="4" w:space="0" w:color="ADB8D7"/>
          <w:insideV w:val="single" w:sz="4" w:space="0" w:color="ADB8D7"/>
        </w:tblBorders>
        <w:tblLayout w:type="fixed"/>
        <w:tblLook w:val="04A0" w:firstRow="1" w:lastRow="0" w:firstColumn="1" w:lastColumn="0" w:noHBand="0" w:noVBand="1"/>
      </w:tblPr>
      <w:tblGrid>
        <w:gridCol w:w="1918"/>
        <w:gridCol w:w="855"/>
        <w:gridCol w:w="854"/>
        <w:gridCol w:w="854"/>
        <w:gridCol w:w="855"/>
        <w:gridCol w:w="4318"/>
      </w:tblGrid>
      <w:tr w:rsidR="00D507EF" w:rsidRPr="00D92CBC" w14:paraId="09D08C15" w14:textId="77777777" w:rsidTr="001D3514">
        <w:trPr>
          <w:trHeight w:val="445"/>
        </w:trPr>
        <w:tc>
          <w:tcPr>
            <w:tcW w:w="1951" w:type="dxa"/>
            <w:shd w:val="clear" w:color="auto" w:fill="3F5181"/>
            <w:noWrap/>
            <w:vAlign w:val="center"/>
            <w:hideMark/>
          </w:tcPr>
          <w:p w14:paraId="36ECD91D" w14:textId="77777777" w:rsidR="00D507EF" w:rsidRPr="00D92CBC" w:rsidRDefault="00D507EF" w:rsidP="001D3514">
            <w:pPr>
              <w:pStyle w:val="tabletext"/>
              <w:rPr>
                <w:rFonts w:cs="Arial"/>
                <w:b/>
                <w:bCs/>
                <w:sz w:val="22"/>
                <w:szCs w:val="22"/>
              </w:rPr>
            </w:pPr>
            <w:r w:rsidRPr="00D92CBC">
              <w:rPr>
                <w:rFonts w:cs="Arial"/>
                <w:b/>
                <w:bCs/>
                <w:color w:val="FFFFFF" w:themeColor="background1"/>
                <w:sz w:val="22"/>
                <w:szCs w:val="22"/>
              </w:rPr>
              <w:t>Site</w:t>
            </w:r>
          </w:p>
        </w:tc>
        <w:tc>
          <w:tcPr>
            <w:tcW w:w="867" w:type="dxa"/>
            <w:shd w:val="clear" w:color="auto" w:fill="92D050"/>
            <w:noWrap/>
            <w:vAlign w:val="center"/>
            <w:hideMark/>
          </w:tcPr>
          <w:p w14:paraId="37520C3F" w14:textId="77777777" w:rsidR="00D507EF" w:rsidRPr="00D92CBC" w:rsidRDefault="00D507EF" w:rsidP="001D3514">
            <w:pPr>
              <w:pStyle w:val="tabletext"/>
              <w:jc w:val="center"/>
              <w:rPr>
                <w:rFonts w:cs="Arial"/>
                <w:b/>
                <w:bCs/>
                <w:sz w:val="22"/>
                <w:szCs w:val="22"/>
              </w:rPr>
            </w:pPr>
            <w:r w:rsidRPr="00D92CBC">
              <w:rPr>
                <w:rFonts w:cs="Arial"/>
                <w:b/>
                <w:bCs/>
                <w:sz w:val="22"/>
                <w:szCs w:val="22"/>
              </w:rPr>
              <w:t>A</w:t>
            </w:r>
          </w:p>
        </w:tc>
        <w:tc>
          <w:tcPr>
            <w:tcW w:w="867" w:type="dxa"/>
            <w:shd w:val="clear" w:color="auto" w:fill="FFFF00"/>
            <w:noWrap/>
            <w:vAlign w:val="center"/>
            <w:hideMark/>
          </w:tcPr>
          <w:p w14:paraId="61ACAE24" w14:textId="77777777" w:rsidR="00D507EF" w:rsidRPr="00D92CBC" w:rsidRDefault="00D507EF" w:rsidP="001D3514">
            <w:pPr>
              <w:pStyle w:val="tabletext"/>
              <w:jc w:val="center"/>
              <w:rPr>
                <w:rFonts w:cs="Arial"/>
                <w:b/>
                <w:bCs/>
                <w:sz w:val="22"/>
                <w:szCs w:val="22"/>
              </w:rPr>
            </w:pPr>
            <w:r w:rsidRPr="00D92CBC">
              <w:rPr>
                <w:rFonts w:cs="Arial"/>
                <w:b/>
                <w:bCs/>
                <w:sz w:val="22"/>
                <w:szCs w:val="22"/>
              </w:rPr>
              <w:t>B</w:t>
            </w:r>
          </w:p>
        </w:tc>
        <w:tc>
          <w:tcPr>
            <w:tcW w:w="867" w:type="dxa"/>
            <w:shd w:val="clear" w:color="auto" w:fill="FFC000"/>
            <w:noWrap/>
            <w:vAlign w:val="center"/>
            <w:hideMark/>
          </w:tcPr>
          <w:p w14:paraId="38A19271" w14:textId="77777777" w:rsidR="00D507EF" w:rsidRPr="00D92CBC" w:rsidRDefault="00D507EF" w:rsidP="001D3514">
            <w:pPr>
              <w:pStyle w:val="tabletext"/>
              <w:jc w:val="center"/>
              <w:rPr>
                <w:rFonts w:cs="Arial"/>
                <w:b/>
                <w:bCs/>
                <w:sz w:val="22"/>
                <w:szCs w:val="22"/>
              </w:rPr>
            </w:pPr>
            <w:r w:rsidRPr="00D92CBC">
              <w:rPr>
                <w:rFonts w:cs="Arial"/>
                <w:b/>
                <w:bCs/>
                <w:sz w:val="22"/>
                <w:szCs w:val="22"/>
              </w:rPr>
              <w:t>C</w:t>
            </w:r>
          </w:p>
        </w:tc>
        <w:tc>
          <w:tcPr>
            <w:tcW w:w="868" w:type="dxa"/>
            <w:shd w:val="clear" w:color="auto" w:fill="FF0000"/>
            <w:noWrap/>
            <w:vAlign w:val="center"/>
            <w:hideMark/>
          </w:tcPr>
          <w:p w14:paraId="297BBA17" w14:textId="77777777" w:rsidR="00D507EF" w:rsidRPr="00D92CBC" w:rsidRDefault="00D507EF" w:rsidP="001D3514">
            <w:pPr>
              <w:pStyle w:val="tabletext"/>
              <w:jc w:val="center"/>
              <w:rPr>
                <w:rFonts w:cs="Arial"/>
                <w:b/>
                <w:bCs/>
                <w:sz w:val="22"/>
                <w:szCs w:val="22"/>
              </w:rPr>
            </w:pPr>
            <w:r w:rsidRPr="00D92CBC">
              <w:rPr>
                <w:rFonts w:cs="Arial"/>
                <w:b/>
                <w:bCs/>
                <w:sz w:val="22"/>
                <w:szCs w:val="22"/>
              </w:rPr>
              <w:t>D</w:t>
            </w:r>
          </w:p>
        </w:tc>
        <w:tc>
          <w:tcPr>
            <w:tcW w:w="4401" w:type="dxa"/>
            <w:vMerge w:val="restart"/>
            <w:shd w:val="clear" w:color="auto" w:fill="auto"/>
            <w:vAlign w:val="center"/>
          </w:tcPr>
          <w:p w14:paraId="0A9ED14F" w14:textId="77777777" w:rsidR="00D507EF" w:rsidRPr="00D92CBC" w:rsidRDefault="00D507EF" w:rsidP="001D3514">
            <w:pPr>
              <w:pStyle w:val="tabletext"/>
              <w:rPr>
                <w:rFonts w:cs="Arial"/>
                <w:b/>
                <w:bCs/>
                <w:sz w:val="22"/>
                <w:szCs w:val="22"/>
              </w:rPr>
            </w:pPr>
            <w:r w:rsidRPr="00D92CBC">
              <w:rPr>
                <w:rFonts w:cs="Arial"/>
                <w:b/>
                <w:bCs/>
                <w:noProof/>
                <w:sz w:val="22"/>
                <w:szCs w:val="22"/>
                <w:lang w:eastAsia="en-GB"/>
              </w:rPr>
              <w:drawing>
                <wp:inline distT="0" distB="0" distL="0" distR="0" wp14:anchorId="708A2614" wp14:editId="7EE3AF91">
                  <wp:extent cx="2646045" cy="2207260"/>
                  <wp:effectExtent l="0" t="0" r="1905" b="2540"/>
                  <wp:docPr id="1896152658" name="Picture 1896152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2646045" cy="2207260"/>
                          </a:xfrm>
                          <a:prstGeom prst="rect">
                            <a:avLst/>
                          </a:prstGeom>
                          <a:noFill/>
                        </pic:spPr>
                      </pic:pic>
                    </a:graphicData>
                  </a:graphic>
                </wp:inline>
              </w:drawing>
            </w:r>
          </w:p>
        </w:tc>
      </w:tr>
      <w:tr w:rsidR="00D507EF" w:rsidRPr="00D92CBC" w14:paraId="19B85C97" w14:textId="77777777" w:rsidTr="001D3514">
        <w:trPr>
          <w:trHeight w:val="445"/>
        </w:trPr>
        <w:tc>
          <w:tcPr>
            <w:tcW w:w="1951" w:type="dxa"/>
            <w:noWrap/>
            <w:vAlign w:val="center"/>
            <w:hideMark/>
          </w:tcPr>
          <w:p w14:paraId="209AC6F1" w14:textId="77777777" w:rsidR="00D507EF" w:rsidRPr="00D92CBC" w:rsidRDefault="00D507EF" w:rsidP="001D3514">
            <w:pPr>
              <w:pStyle w:val="tabletext"/>
              <w:rPr>
                <w:rFonts w:cs="Arial"/>
                <w:sz w:val="22"/>
                <w:szCs w:val="22"/>
              </w:rPr>
            </w:pPr>
            <w:r w:rsidRPr="00D92CBC">
              <w:rPr>
                <w:rFonts w:cs="Arial"/>
                <w:sz w:val="22"/>
                <w:szCs w:val="22"/>
              </w:rPr>
              <w:t>Cefn Coed</w:t>
            </w:r>
          </w:p>
        </w:tc>
        <w:tc>
          <w:tcPr>
            <w:tcW w:w="867" w:type="dxa"/>
            <w:noWrap/>
            <w:vAlign w:val="center"/>
          </w:tcPr>
          <w:p w14:paraId="6CCEBFB3"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529D200D" w14:textId="77777777" w:rsidR="00D507EF" w:rsidRPr="00D92CBC" w:rsidRDefault="00D507EF" w:rsidP="001D3514">
            <w:pPr>
              <w:pStyle w:val="tabletext"/>
              <w:jc w:val="center"/>
              <w:rPr>
                <w:rFonts w:cs="Arial"/>
                <w:sz w:val="22"/>
                <w:szCs w:val="22"/>
              </w:rPr>
            </w:pPr>
            <w:r w:rsidRPr="00D92CBC">
              <w:rPr>
                <w:rFonts w:cs="Arial"/>
                <w:sz w:val="22"/>
                <w:szCs w:val="22"/>
              </w:rPr>
              <w:t>62%</w:t>
            </w:r>
          </w:p>
        </w:tc>
        <w:tc>
          <w:tcPr>
            <w:tcW w:w="867" w:type="dxa"/>
            <w:noWrap/>
            <w:vAlign w:val="center"/>
          </w:tcPr>
          <w:p w14:paraId="70E36D75" w14:textId="77777777" w:rsidR="00D507EF" w:rsidRPr="00D92CBC" w:rsidRDefault="00D507EF" w:rsidP="001D3514">
            <w:pPr>
              <w:pStyle w:val="tabletext"/>
              <w:jc w:val="center"/>
              <w:rPr>
                <w:rFonts w:cs="Arial"/>
                <w:sz w:val="22"/>
                <w:szCs w:val="22"/>
              </w:rPr>
            </w:pPr>
            <w:r w:rsidRPr="00D92CBC">
              <w:rPr>
                <w:rFonts w:cs="Arial"/>
                <w:sz w:val="22"/>
                <w:szCs w:val="22"/>
              </w:rPr>
              <w:t>38%</w:t>
            </w:r>
          </w:p>
        </w:tc>
        <w:tc>
          <w:tcPr>
            <w:tcW w:w="868" w:type="dxa"/>
            <w:noWrap/>
            <w:vAlign w:val="center"/>
          </w:tcPr>
          <w:p w14:paraId="5FEB206E"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5A4810C6" w14:textId="77777777" w:rsidR="00D507EF" w:rsidRPr="00D92CBC" w:rsidRDefault="00D507EF" w:rsidP="001D3514">
            <w:pPr>
              <w:pStyle w:val="tabletext"/>
              <w:rPr>
                <w:rFonts w:cs="Arial"/>
                <w:sz w:val="22"/>
                <w:szCs w:val="22"/>
              </w:rPr>
            </w:pPr>
          </w:p>
        </w:tc>
      </w:tr>
      <w:tr w:rsidR="00D507EF" w:rsidRPr="00D92CBC" w14:paraId="53264D59" w14:textId="77777777" w:rsidTr="001D3514">
        <w:trPr>
          <w:trHeight w:val="445"/>
        </w:trPr>
        <w:tc>
          <w:tcPr>
            <w:tcW w:w="1951" w:type="dxa"/>
            <w:noWrap/>
            <w:vAlign w:val="center"/>
            <w:hideMark/>
          </w:tcPr>
          <w:p w14:paraId="50C4CC78" w14:textId="77777777" w:rsidR="00D507EF" w:rsidRPr="00D92CBC" w:rsidRDefault="00D507EF" w:rsidP="001D3514">
            <w:pPr>
              <w:pStyle w:val="tabletext"/>
              <w:rPr>
                <w:rFonts w:cs="Arial"/>
                <w:sz w:val="22"/>
                <w:szCs w:val="22"/>
              </w:rPr>
            </w:pPr>
            <w:r w:rsidRPr="00D92CBC">
              <w:rPr>
                <w:rFonts w:cs="Arial"/>
                <w:sz w:val="22"/>
                <w:szCs w:val="22"/>
              </w:rPr>
              <w:t xml:space="preserve">Gorseinon </w:t>
            </w:r>
          </w:p>
        </w:tc>
        <w:tc>
          <w:tcPr>
            <w:tcW w:w="867" w:type="dxa"/>
            <w:noWrap/>
            <w:vAlign w:val="center"/>
          </w:tcPr>
          <w:p w14:paraId="28E4F99A"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734852E6" w14:textId="77777777" w:rsidR="00D507EF" w:rsidRPr="00D92CBC" w:rsidRDefault="00D507EF" w:rsidP="001D3514">
            <w:pPr>
              <w:pStyle w:val="tabletext"/>
              <w:jc w:val="center"/>
              <w:rPr>
                <w:rFonts w:cs="Arial"/>
                <w:sz w:val="22"/>
                <w:szCs w:val="22"/>
              </w:rPr>
            </w:pPr>
            <w:r w:rsidRPr="00D92CBC">
              <w:rPr>
                <w:rFonts w:cs="Arial"/>
                <w:sz w:val="22"/>
                <w:szCs w:val="22"/>
              </w:rPr>
              <w:t>96%</w:t>
            </w:r>
          </w:p>
        </w:tc>
        <w:tc>
          <w:tcPr>
            <w:tcW w:w="867" w:type="dxa"/>
            <w:noWrap/>
            <w:vAlign w:val="center"/>
          </w:tcPr>
          <w:p w14:paraId="38A1261C"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8" w:type="dxa"/>
            <w:noWrap/>
            <w:vAlign w:val="center"/>
          </w:tcPr>
          <w:p w14:paraId="193FD106" w14:textId="77777777" w:rsidR="00D507EF" w:rsidRPr="00D92CBC" w:rsidRDefault="00D507EF" w:rsidP="001D3514">
            <w:pPr>
              <w:pStyle w:val="tabletext"/>
              <w:jc w:val="center"/>
              <w:rPr>
                <w:rFonts w:cs="Arial"/>
                <w:sz w:val="22"/>
                <w:szCs w:val="22"/>
              </w:rPr>
            </w:pPr>
            <w:r w:rsidRPr="00D92CBC">
              <w:rPr>
                <w:rFonts w:cs="Arial"/>
                <w:sz w:val="22"/>
                <w:szCs w:val="22"/>
              </w:rPr>
              <w:t>4%</w:t>
            </w:r>
          </w:p>
        </w:tc>
        <w:tc>
          <w:tcPr>
            <w:tcW w:w="4401" w:type="dxa"/>
            <w:vMerge/>
            <w:shd w:val="clear" w:color="auto" w:fill="auto"/>
            <w:vAlign w:val="center"/>
          </w:tcPr>
          <w:p w14:paraId="40428648" w14:textId="77777777" w:rsidR="00D507EF" w:rsidRPr="00D92CBC" w:rsidRDefault="00D507EF" w:rsidP="001D3514">
            <w:pPr>
              <w:pStyle w:val="tabletext"/>
              <w:rPr>
                <w:rFonts w:cs="Arial"/>
                <w:sz w:val="22"/>
                <w:szCs w:val="22"/>
              </w:rPr>
            </w:pPr>
          </w:p>
        </w:tc>
      </w:tr>
      <w:tr w:rsidR="00D507EF" w:rsidRPr="00D92CBC" w14:paraId="2EBA6E55" w14:textId="77777777" w:rsidTr="001D3514">
        <w:trPr>
          <w:trHeight w:val="445"/>
        </w:trPr>
        <w:tc>
          <w:tcPr>
            <w:tcW w:w="1951" w:type="dxa"/>
            <w:noWrap/>
            <w:vAlign w:val="center"/>
            <w:hideMark/>
          </w:tcPr>
          <w:p w14:paraId="7F723D53" w14:textId="77777777" w:rsidR="00D507EF" w:rsidRPr="00D92CBC" w:rsidRDefault="00D507EF" w:rsidP="001D3514">
            <w:pPr>
              <w:pStyle w:val="tabletext"/>
              <w:rPr>
                <w:rFonts w:cs="Arial"/>
                <w:sz w:val="22"/>
                <w:szCs w:val="22"/>
              </w:rPr>
            </w:pPr>
            <w:r w:rsidRPr="00D92CBC">
              <w:rPr>
                <w:rFonts w:cs="Arial"/>
                <w:sz w:val="22"/>
                <w:szCs w:val="22"/>
              </w:rPr>
              <w:t>Neath Port Talbot</w:t>
            </w:r>
          </w:p>
        </w:tc>
        <w:tc>
          <w:tcPr>
            <w:tcW w:w="867" w:type="dxa"/>
            <w:noWrap/>
            <w:vAlign w:val="center"/>
          </w:tcPr>
          <w:p w14:paraId="5CA78BDE"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22ADA116" w14:textId="77777777" w:rsidR="00D507EF" w:rsidRPr="00D92CBC" w:rsidRDefault="00D507EF" w:rsidP="001D3514">
            <w:pPr>
              <w:pStyle w:val="tabletext"/>
              <w:jc w:val="center"/>
              <w:rPr>
                <w:rFonts w:cs="Arial"/>
                <w:sz w:val="22"/>
                <w:szCs w:val="22"/>
              </w:rPr>
            </w:pPr>
            <w:r w:rsidRPr="00D92CBC">
              <w:rPr>
                <w:rFonts w:cs="Arial"/>
                <w:sz w:val="22"/>
                <w:szCs w:val="22"/>
              </w:rPr>
              <w:t>100%</w:t>
            </w:r>
          </w:p>
        </w:tc>
        <w:tc>
          <w:tcPr>
            <w:tcW w:w="867" w:type="dxa"/>
            <w:noWrap/>
            <w:vAlign w:val="center"/>
          </w:tcPr>
          <w:p w14:paraId="7A098FDF"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8" w:type="dxa"/>
            <w:noWrap/>
            <w:vAlign w:val="center"/>
          </w:tcPr>
          <w:p w14:paraId="5BE157C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6EF100D9" w14:textId="77777777" w:rsidR="00D507EF" w:rsidRPr="00D92CBC" w:rsidRDefault="00D507EF" w:rsidP="001D3514">
            <w:pPr>
              <w:pStyle w:val="tabletext"/>
              <w:rPr>
                <w:rFonts w:cs="Arial"/>
                <w:sz w:val="22"/>
                <w:szCs w:val="22"/>
              </w:rPr>
            </w:pPr>
          </w:p>
        </w:tc>
      </w:tr>
      <w:tr w:rsidR="00D507EF" w:rsidRPr="00D92CBC" w14:paraId="5C401250" w14:textId="77777777" w:rsidTr="001D3514">
        <w:trPr>
          <w:trHeight w:val="445"/>
        </w:trPr>
        <w:tc>
          <w:tcPr>
            <w:tcW w:w="1951" w:type="dxa"/>
            <w:noWrap/>
            <w:vAlign w:val="center"/>
            <w:hideMark/>
          </w:tcPr>
          <w:p w14:paraId="41278321" w14:textId="77777777" w:rsidR="00D507EF" w:rsidRPr="00D92CBC" w:rsidRDefault="00D507EF" w:rsidP="001D3514">
            <w:pPr>
              <w:pStyle w:val="tabletext"/>
              <w:rPr>
                <w:rFonts w:cs="Arial"/>
                <w:sz w:val="22"/>
                <w:szCs w:val="22"/>
              </w:rPr>
            </w:pPr>
            <w:r w:rsidRPr="00D92CBC">
              <w:rPr>
                <w:rFonts w:cs="Arial"/>
                <w:sz w:val="22"/>
                <w:szCs w:val="22"/>
              </w:rPr>
              <w:t>Tonna</w:t>
            </w:r>
          </w:p>
        </w:tc>
        <w:tc>
          <w:tcPr>
            <w:tcW w:w="867" w:type="dxa"/>
            <w:noWrap/>
            <w:vAlign w:val="center"/>
          </w:tcPr>
          <w:p w14:paraId="23DE5112"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22D8EF57" w14:textId="77777777" w:rsidR="00D507EF" w:rsidRPr="00D92CBC" w:rsidRDefault="00D507EF" w:rsidP="001D3514">
            <w:pPr>
              <w:pStyle w:val="tabletext"/>
              <w:jc w:val="center"/>
              <w:rPr>
                <w:rFonts w:cs="Arial"/>
                <w:sz w:val="22"/>
                <w:szCs w:val="22"/>
              </w:rPr>
            </w:pPr>
            <w:r w:rsidRPr="00D92CBC">
              <w:rPr>
                <w:rFonts w:cs="Arial"/>
                <w:sz w:val="22"/>
                <w:szCs w:val="22"/>
              </w:rPr>
              <w:t>100%</w:t>
            </w:r>
          </w:p>
        </w:tc>
        <w:tc>
          <w:tcPr>
            <w:tcW w:w="867" w:type="dxa"/>
            <w:noWrap/>
            <w:vAlign w:val="center"/>
          </w:tcPr>
          <w:p w14:paraId="7762A13D"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8" w:type="dxa"/>
            <w:noWrap/>
            <w:vAlign w:val="center"/>
          </w:tcPr>
          <w:p w14:paraId="1DD089B0"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643EE766" w14:textId="77777777" w:rsidR="00D507EF" w:rsidRPr="00D92CBC" w:rsidRDefault="00D507EF" w:rsidP="001D3514">
            <w:pPr>
              <w:pStyle w:val="tabletext"/>
              <w:rPr>
                <w:rFonts w:cs="Arial"/>
                <w:sz w:val="22"/>
                <w:szCs w:val="22"/>
              </w:rPr>
            </w:pPr>
          </w:p>
        </w:tc>
      </w:tr>
      <w:tr w:rsidR="00D507EF" w:rsidRPr="00D92CBC" w14:paraId="1B97D6A8" w14:textId="77777777" w:rsidTr="001D3514">
        <w:trPr>
          <w:trHeight w:val="445"/>
        </w:trPr>
        <w:tc>
          <w:tcPr>
            <w:tcW w:w="1951" w:type="dxa"/>
            <w:noWrap/>
            <w:vAlign w:val="center"/>
            <w:hideMark/>
          </w:tcPr>
          <w:p w14:paraId="210B743C" w14:textId="77777777" w:rsidR="00D507EF" w:rsidRPr="00D92CBC" w:rsidRDefault="00D507EF" w:rsidP="001D3514">
            <w:pPr>
              <w:pStyle w:val="tabletext"/>
              <w:rPr>
                <w:rFonts w:cs="Arial"/>
                <w:sz w:val="22"/>
                <w:szCs w:val="22"/>
              </w:rPr>
            </w:pPr>
            <w:r w:rsidRPr="00D92CBC">
              <w:rPr>
                <w:rFonts w:cs="Arial"/>
                <w:sz w:val="22"/>
                <w:szCs w:val="22"/>
              </w:rPr>
              <w:lastRenderedPageBreak/>
              <w:t>Morriston</w:t>
            </w:r>
          </w:p>
        </w:tc>
        <w:tc>
          <w:tcPr>
            <w:tcW w:w="867" w:type="dxa"/>
            <w:noWrap/>
            <w:vAlign w:val="center"/>
          </w:tcPr>
          <w:p w14:paraId="4F76EE39"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209DE50A" w14:textId="77777777" w:rsidR="00D507EF" w:rsidRPr="00D92CBC" w:rsidRDefault="00D507EF" w:rsidP="001D3514">
            <w:pPr>
              <w:pStyle w:val="tabletext"/>
              <w:jc w:val="center"/>
              <w:rPr>
                <w:rFonts w:cs="Arial"/>
                <w:sz w:val="22"/>
                <w:szCs w:val="22"/>
              </w:rPr>
            </w:pPr>
            <w:r w:rsidRPr="00D92CBC">
              <w:rPr>
                <w:rFonts w:cs="Arial"/>
                <w:sz w:val="22"/>
                <w:szCs w:val="22"/>
              </w:rPr>
              <w:t>49%</w:t>
            </w:r>
          </w:p>
        </w:tc>
        <w:tc>
          <w:tcPr>
            <w:tcW w:w="867" w:type="dxa"/>
            <w:noWrap/>
            <w:vAlign w:val="center"/>
          </w:tcPr>
          <w:p w14:paraId="64686C6C" w14:textId="77777777" w:rsidR="00D507EF" w:rsidRPr="00D92CBC" w:rsidRDefault="00D507EF" w:rsidP="001D3514">
            <w:pPr>
              <w:pStyle w:val="tabletext"/>
              <w:jc w:val="center"/>
              <w:rPr>
                <w:rFonts w:cs="Arial"/>
                <w:sz w:val="22"/>
                <w:szCs w:val="22"/>
              </w:rPr>
            </w:pPr>
            <w:r w:rsidRPr="00D92CBC">
              <w:rPr>
                <w:rFonts w:cs="Arial"/>
                <w:sz w:val="22"/>
                <w:szCs w:val="22"/>
              </w:rPr>
              <w:t>51%</w:t>
            </w:r>
          </w:p>
        </w:tc>
        <w:tc>
          <w:tcPr>
            <w:tcW w:w="868" w:type="dxa"/>
            <w:noWrap/>
            <w:vAlign w:val="center"/>
          </w:tcPr>
          <w:p w14:paraId="1514697E"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4B1FBCB9" w14:textId="77777777" w:rsidR="00D507EF" w:rsidRPr="00D92CBC" w:rsidRDefault="00D507EF" w:rsidP="001D3514">
            <w:pPr>
              <w:pStyle w:val="tabletext"/>
              <w:rPr>
                <w:rFonts w:cs="Arial"/>
                <w:sz w:val="22"/>
                <w:szCs w:val="22"/>
              </w:rPr>
            </w:pPr>
          </w:p>
        </w:tc>
      </w:tr>
      <w:tr w:rsidR="00D507EF" w:rsidRPr="00D92CBC" w14:paraId="04A4EFE6" w14:textId="77777777" w:rsidTr="001D3514">
        <w:trPr>
          <w:trHeight w:val="445"/>
        </w:trPr>
        <w:tc>
          <w:tcPr>
            <w:tcW w:w="1951" w:type="dxa"/>
            <w:noWrap/>
            <w:vAlign w:val="center"/>
            <w:hideMark/>
          </w:tcPr>
          <w:p w14:paraId="2B12AF84" w14:textId="77777777" w:rsidR="00D507EF" w:rsidRPr="00D92CBC" w:rsidRDefault="00D507EF" w:rsidP="001D3514">
            <w:pPr>
              <w:pStyle w:val="tabletext"/>
              <w:rPr>
                <w:rFonts w:cs="Arial"/>
                <w:sz w:val="22"/>
                <w:szCs w:val="22"/>
              </w:rPr>
            </w:pPr>
            <w:r w:rsidRPr="00D92CBC">
              <w:rPr>
                <w:rFonts w:cs="Arial"/>
                <w:sz w:val="22"/>
                <w:szCs w:val="22"/>
              </w:rPr>
              <w:t>Singleton</w:t>
            </w:r>
          </w:p>
        </w:tc>
        <w:tc>
          <w:tcPr>
            <w:tcW w:w="867" w:type="dxa"/>
            <w:noWrap/>
            <w:vAlign w:val="center"/>
          </w:tcPr>
          <w:p w14:paraId="06E4358C" w14:textId="77777777" w:rsidR="00D507EF" w:rsidRPr="00D92CBC" w:rsidRDefault="00D507EF" w:rsidP="001D3514">
            <w:pPr>
              <w:pStyle w:val="tabletext"/>
              <w:jc w:val="center"/>
              <w:rPr>
                <w:rFonts w:cs="Arial"/>
                <w:sz w:val="22"/>
                <w:szCs w:val="22"/>
              </w:rPr>
            </w:pPr>
            <w:r w:rsidRPr="00D92CBC">
              <w:rPr>
                <w:rFonts w:cs="Arial"/>
                <w:sz w:val="22"/>
                <w:szCs w:val="22"/>
              </w:rPr>
              <w:t>1%</w:t>
            </w:r>
          </w:p>
        </w:tc>
        <w:tc>
          <w:tcPr>
            <w:tcW w:w="867" w:type="dxa"/>
            <w:noWrap/>
            <w:vAlign w:val="center"/>
          </w:tcPr>
          <w:p w14:paraId="7BE6E01F" w14:textId="77777777" w:rsidR="00D507EF" w:rsidRPr="00D92CBC" w:rsidRDefault="00D507EF" w:rsidP="001D3514">
            <w:pPr>
              <w:pStyle w:val="tabletext"/>
              <w:jc w:val="center"/>
              <w:rPr>
                <w:rFonts w:cs="Arial"/>
                <w:sz w:val="22"/>
                <w:szCs w:val="22"/>
              </w:rPr>
            </w:pPr>
            <w:r w:rsidRPr="00D92CBC">
              <w:rPr>
                <w:rFonts w:cs="Arial"/>
                <w:sz w:val="22"/>
                <w:szCs w:val="22"/>
              </w:rPr>
              <w:t>66%</w:t>
            </w:r>
          </w:p>
        </w:tc>
        <w:tc>
          <w:tcPr>
            <w:tcW w:w="867" w:type="dxa"/>
            <w:noWrap/>
            <w:vAlign w:val="center"/>
          </w:tcPr>
          <w:p w14:paraId="6331022A" w14:textId="77777777" w:rsidR="00D507EF" w:rsidRPr="00D92CBC" w:rsidRDefault="00D507EF" w:rsidP="001D3514">
            <w:pPr>
              <w:pStyle w:val="tabletext"/>
              <w:jc w:val="center"/>
              <w:rPr>
                <w:rFonts w:cs="Arial"/>
                <w:sz w:val="22"/>
                <w:szCs w:val="22"/>
              </w:rPr>
            </w:pPr>
            <w:r w:rsidRPr="00D92CBC">
              <w:rPr>
                <w:rFonts w:cs="Arial"/>
                <w:sz w:val="22"/>
                <w:szCs w:val="22"/>
              </w:rPr>
              <w:t>32%</w:t>
            </w:r>
          </w:p>
        </w:tc>
        <w:tc>
          <w:tcPr>
            <w:tcW w:w="868" w:type="dxa"/>
            <w:noWrap/>
            <w:vAlign w:val="center"/>
          </w:tcPr>
          <w:p w14:paraId="6A2CFDAA"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5B0C5EFD" w14:textId="77777777" w:rsidR="00D507EF" w:rsidRPr="00D92CBC" w:rsidRDefault="00D507EF" w:rsidP="001D3514">
            <w:pPr>
              <w:pStyle w:val="tabletext"/>
              <w:rPr>
                <w:rFonts w:cs="Arial"/>
                <w:sz w:val="22"/>
                <w:szCs w:val="22"/>
              </w:rPr>
            </w:pPr>
          </w:p>
        </w:tc>
      </w:tr>
      <w:tr w:rsidR="00D507EF" w:rsidRPr="00D92CBC" w14:paraId="38E8479D" w14:textId="77777777" w:rsidTr="001D3514">
        <w:trPr>
          <w:trHeight w:val="445"/>
        </w:trPr>
        <w:tc>
          <w:tcPr>
            <w:tcW w:w="1951" w:type="dxa"/>
            <w:shd w:val="clear" w:color="auto" w:fill="F2F2F2" w:themeFill="background1" w:themeFillShade="F2"/>
            <w:noWrap/>
            <w:vAlign w:val="center"/>
            <w:hideMark/>
          </w:tcPr>
          <w:p w14:paraId="4693F1D1" w14:textId="77777777" w:rsidR="00D507EF" w:rsidRPr="00D92CBC" w:rsidRDefault="00D507EF" w:rsidP="001D3514">
            <w:pPr>
              <w:pStyle w:val="tabletext"/>
              <w:rPr>
                <w:rFonts w:cs="Arial"/>
                <w:sz w:val="22"/>
                <w:szCs w:val="22"/>
              </w:rPr>
            </w:pPr>
            <w:r w:rsidRPr="00D92CBC">
              <w:rPr>
                <w:rFonts w:cs="Arial"/>
                <w:sz w:val="22"/>
                <w:szCs w:val="22"/>
              </w:rPr>
              <w:t>All sites</w:t>
            </w:r>
          </w:p>
        </w:tc>
        <w:tc>
          <w:tcPr>
            <w:tcW w:w="867" w:type="dxa"/>
            <w:shd w:val="clear" w:color="auto" w:fill="F2F2F2" w:themeFill="background1" w:themeFillShade="F2"/>
            <w:noWrap/>
            <w:vAlign w:val="center"/>
          </w:tcPr>
          <w:p w14:paraId="34B0BFA9" w14:textId="77777777" w:rsidR="00D507EF" w:rsidRPr="00D92CBC" w:rsidRDefault="00D507EF" w:rsidP="001D3514">
            <w:pPr>
              <w:pStyle w:val="tabletext"/>
              <w:jc w:val="center"/>
              <w:rPr>
                <w:rFonts w:cs="Arial"/>
                <w:b/>
                <w:bCs/>
                <w:sz w:val="22"/>
                <w:szCs w:val="22"/>
              </w:rPr>
            </w:pPr>
            <w:r w:rsidRPr="00D92CBC">
              <w:rPr>
                <w:rFonts w:cs="Arial"/>
                <w:b/>
                <w:bCs/>
                <w:sz w:val="22"/>
                <w:szCs w:val="22"/>
              </w:rPr>
              <w:t>1%</w:t>
            </w:r>
          </w:p>
        </w:tc>
        <w:tc>
          <w:tcPr>
            <w:tcW w:w="867" w:type="dxa"/>
            <w:shd w:val="clear" w:color="auto" w:fill="F2F2F2" w:themeFill="background1" w:themeFillShade="F2"/>
            <w:noWrap/>
            <w:vAlign w:val="center"/>
          </w:tcPr>
          <w:p w14:paraId="7BB57CF9" w14:textId="77777777" w:rsidR="00D507EF" w:rsidRPr="00D92CBC" w:rsidRDefault="00D507EF" w:rsidP="001D3514">
            <w:pPr>
              <w:pStyle w:val="tabletext"/>
              <w:jc w:val="center"/>
              <w:rPr>
                <w:rFonts w:cs="Arial"/>
                <w:b/>
                <w:bCs/>
                <w:sz w:val="22"/>
                <w:szCs w:val="22"/>
              </w:rPr>
            </w:pPr>
            <w:r w:rsidRPr="00D92CBC">
              <w:rPr>
                <w:rFonts w:cs="Arial"/>
                <w:b/>
                <w:bCs/>
                <w:sz w:val="22"/>
                <w:szCs w:val="22"/>
              </w:rPr>
              <w:t>60%</w:t>
            </w:r>
          </w:p>
        </w:tc>
        <w:tc>
          <w:tcPr>
            <w:tcW w:w="867" w:type="dxa"/>
            <w:shd w:val="clear" w:color="auto" w:fill="F2F2F2" w:themeFill="background1" w:themeFillShade="F2"/>
            <w:noWrap/>
            <w:vAlign w:val="center"/>
          </w:tcPr>
          <w:p w14:paraId="7C8860B4" w14:textId="77777777" w:rsidR="00D507EF" w:rsidRPr="00D92CBC" w:rsidRDefault="00D507EF" w:rsidP="001D3514">
            <w:pPr>
              <w:pStyle w:val="tabletext"/>
              <w:jc w:val="center"/>
              <w:rPr>
                <w:rFonts w:cs="Arial"/>
                <w:b/>
                <w:bCs/>
                <w:sz w:val="22"/>
                <w:szCs w:val="22"/>
              </w:rPr>
            </w:pPr>
            <w:r w:rsidRPr="00D92CBC">
              <w:rPr>
                <w:rFonts w:cs="Arial"/>
                <w:b/>
                <w:bCs/>
                <w:sz w:val="22"/>
                <w:szCs w:val="22"/>
              </w:rPr>
              <w:t>39%</w:t>
            </w:r>
          </w:p>
        </w:tc>
        <w:tc>
          <w:tcPr>
            <w:tcW w:w="868" w:type="dxa"/>
            <w:shd w:val="clear" w:color="auto" w:fill="F2F2F2" w:themeFill="background1" w:themeFillShade="F2"/>
            <w:noWrap/>
            <w:vAlign w:val="center"/>
          </w:tcPr>
          <w:p w14:paraId="16F2CA29" w14:textId="77777777" w:rsidR="00D507EF" w:rsidRPr="00D92CBC" w:rsidRDefault="00D507EF" w:rsidP="001D3514">
            <w:pPr>
              <w:pStyle w:val="tabletext"/>
              <w:jc w:val="center"/>
              <w:rPr>
                <w:rFonts w:cs="Arial"/>
                <w:b/>
                <w:bCs/>
                <w:sz w:val="22"/>
                <w:szCs w:val="22"/>
              </w:rPr>
            </w:pPr>
            <w:r w:rsidRPr="00D92CBC">
              <w:rPr>
                <w:rFonts w:cs="Arial"/>
                <w:b/>
                <w:bCs/>
                <w:sz w:val="22"/>
                <w:szCs w:val="22"/>
              </w:rPr>
              <w:t>0%</w:t>
            </w:r>
          </w:p>
        </w:tc>
        <w:tc>
          <w:tcPr>
            <w:tcW w:w="4401" w:type="dxa"/>
            <w:vMerge/>
            <w:shd w:val="clear" w:color="auto" w:fill="auto"/>
            <w:vAlign w:val="center"/>
          </w:tcPr>
          <w:p w14:paraId="7B42489A" w14:textId="77777777" w:rsidR="00D507EF" w:rsidRPr="00D92CBC" w:rsidRDefault="00D507EF" w:rsidP="001D3514">
            <w:pPr>
              <w:pStyle w:val="tabletext"/>
              <w:rPr>
                <w:rFonts w:cs="Arial"/>
                <w:sz w:val="22"/>
                <w:szCs w:val="22"/>
              </w:rPr>
            </w:pPr>
          </w:p>
        </w:tc>
      </w:tr>
    </w:tbl>
    <w:p w14:paraId="42101BB1" w14:textId="77777777" w:rsidR="00D507EF" w:rsidRPr="00D92CBC" w:rsidRDefault="00D507EF" w:rsidP="00D507EF">
      <w:pPr>
        <w:pStyle w:val="NoSpacing"/>
        <w:rPr>
          <w:rFonts w:ascii="Arial" w:hAnsi="Arial" w:cs="Arial"/>
        </w:rPr>
      </w:pPr>
    </w:p>
    <w:p w14:paraId="7F031DFA" w14:textId="77777777" w:rsidR="00D507EF" w:rsidRDefault="00D507EF" w:rsidP="00D507EF">
      <w:pPr>
        <w:jc w:val="both"/>
        <w:rPr>
          <w:rFonts w:ascii="Arial" w:hAnsi="Arial" w:cs="Arial"/>
        </w:rPr>
      </w:pPr>
      <w:r w:rsidRPr="00D92CBC">
        <w:rPr>
          <w:rFonts w:ascii="Arial" w:hAnsi="Arial" w:cs="Arial"/>
        </w:rPr>
        <w:t xml:space="preserve">Overall, the combined Functional Suitability Grade across the sites are graded as satisfactory, however nearly 40% of the combined grading is graded as not satisfactory. </w:t>
      </w:r>
    </w:p>
    <w:p w14:paraId="35A2075E" w14:textId="77777777" w:rsidR="00D507EF" w:rsidRPr="00D92CBC" w:rsidRDefault="00D507EF" w:rsidP="00D507EF">
      <w:pPr>
        <w:jc w:val="both"/>
        <w:rPr>
          <w:rFonts w:ascii="Arial" w:hAnsi="Arial" w:cs="Arial"/>
        </w:rPr>
      </w:pPr>
    </w:p>
    <w:p w14:paraId="24016B41" w14:textId="7777777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t>Facet 3 – Space Utilisation</w:t>
      </w:r>
    </w:p>
    <w:p w14:paraId="657C68BD" w14:textId="77777777" w:rsidR="00D507EF" w:rsidRPr="00D92CBC" w:rsidRDefault="00D507EF" w:rsidP="00D507EF">
      <w:pPr>
        <w:pStyle w:val="Caption"/>
        <w:rPr>
          <w:rFonts w:cs="Arial"/>
          <w:i w:val="0"/>
          <w:szCs w:val="22"/>
        </w:rPr>
      </w:pPr>
      <w:r w:rsidRPr="00D92CBC">
        <w:rPr>
          <w:rFonts w:cs="Arial"/>
          <w:i w:val="0"/>
          <w:szCs w:val="22"/>
        </w:rPr>
        <w:t>Overall Space Utilisation Grade % by Site</w:t>
      </w:r>
    </w:p>
    <w:tbl>
      <w:tblPr>
        <w:tblStyle w:val="TableGrid"/>
        <w:tblW w:w="5100" w:type="pct"/>
        <w:tblInd w:w="-113" w:type="dxa"/>
        <w:tblBorders>
          <w:top w:val="single" w:sz="4" w:space="0" w:color="ADB8D7"/>
          <w:left w:val="single" w:sz="4" w:space="0" w:color="ADB8D7"/>
          <w:bottom w:val="single" w:sz="4" w:space="0" w:color="ADB8D7"/>
          <w:right w:val="single" w:sz="4" w:space="0" w:color="ADB8D7"/>
          <w:insideH w:val="single" w:sz="4" w:space="0" w:color="ADB8D7"/>
          <w:insideV w:val="single" w:sz="4" w:space="0" w:color="ADB8D7"/>
        </w:tblBorders>
        <w:tblLayout w:type="fixed"/>
        <w:tblLook w:val="04A0" w:firstRow="1" w:lastRow="0" w:firstColumn="1" w:lastColumn="0" w:noHBand="0" w:noVBand="1"/>
      </w:tblPr>
      <w:tblGrid>
        <w:gridCol w:w="2056"/>
        <w:gridCol w:w="1519"/>
        <w:gridCol w:w="1520"/>
        <w:gridCol w:w="1519"/>
        <w:gridCol w:w="1520"/>
        <w:gridCol w:w="1520"/>
      </w:tblGrid>
      <w:tr w:rsidR="00D507EF" w:rsidRPr="00D92CBC" w14:paraId="48C0C2BB" w14:textId="77777777" w:rsidTr="001D3514">
        <w:trPr>
          <w:trHeight w:val="300"/>
        </w:trPr>
        <w:tc>
          <w:tcPr>
            <w:tcW w:w="2093" w:type="dxa"/>
            <w:shd w:val="clear" w:color="auto" w:fill="3F5181"/>
            <w:noWrap/>
            <w:hideMark/>
          </w:tcPr>
          <w:p w14:paraId="70CB097A" w14:textId="77777777" w:rsidR="00D507EF" w:rsidRPr="00D92CBC" w:rsidRDefault="00D507EF" w:rsidP="001D3514">
            <w:pPr>
              <w:pStyle w:val="tabletext"/>
              <w:rPr>
                <w:rFonts w:cs="Arial"/>
                <w:b/>
                <w:bCs/>
                <w:color w:val="FFFFFF" w:themeColor="background1"/>
                <w:sz w:val="22"/>
                <w:szCs w:val="22"/>
              </w:rPr>
            </w:pPr>
            <w:r w:rsidRPr="00D92CBC">
              <w:rPr>
                <w:rFonts w:cs="Arial"/>
                <w:b/>
                <w:bCs/>
                <w:color w:val="FFFFFF" w:themeColor="background1"/>
                <w:sz w:val="22"/>
                <w:szCs w:val="22"/>
              </w:rPr>
              <w:t>Site</w:t>
            </w:r>
          </w:p>
        </w:tc>
        <w:tc>
          <w:tcPr>
            <w:tcW w:w="1545" w:type="dxa"/>
            <w:shd w:val="clear" w:color="auto" w:fill="92D050"/>
            <w:noWrap/>
            <w:vAlign w:val="center"/>
            <w:hideMark/>
          </w:tcPr>
          <w:p w14:paraId="38377FF6"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Empty</w:t>
            </w:r>
          </w:p>
        </w:tc>
        <w:tc>
          <w:tcPr>
            <w:tcW w:w="1546" w:type="dxa"/>
            <w:shd w:val="clear" w:color="auto" w:fill="FFFF00"/>
            <w:noWrap/>
            <w:vAlign w:val="center"/>
            <w:hideMark/>
          </w:tcPr>
          <w:p w14:paraId="4434D6E9" w14:textId="77777777" w:rsidR="00D507EF" w:rsidRPr="00D92CBC" w:rsidRDefault="00D507EF" w:rsidP="001D3514">
            <w:pPr>
              <w:pStyle w:val="tabletext"/>
              <w:jc w:val="center"/>
              <w:rPr>
                <w:rFonts w:cs="Arial"/>
                <w:b/>
                <w:bCs/>
                <w:sz w:val="22"/>
                <w:szCs w:val="22"/>
              </w:rPr>
            </w:pPr>
            <w:r w:rsidRPr="00D92CBC">
              <w:rPr>
                <w:rFonts w:cs="Arial"/>
                <w:b/>
                <w:bCs/>
                <w:sz w:val="22"/>
                <w:szCs w:val="22"/>
              </w:rPr>
              <w:t>Fully Used</w:t>
            </w:r>
          </w:p>
        </w:tc>
        <w:tc>
          <w:tcPr>
            <w:tcW w:w="1545" w:type="dxa"/>
            <w:shd w:val="clear" w:color="auto" w:fill="FFC000"/>
            <w:noWrap/>
            <w:vAlign w:val="center"/>
            <w:hideMark/>
          </w:tcPr>
          <w:p w14:paraId="3A257A9E" w14:textId="77777777" w:rsidR="00D507EF" w:rsidRPr="00D92CBC" w:rsidRDefault="00D507EF" w:rsidP="001D3514">
            <w:pPr>
              <w:pStyle w:val="tabletext"/>
              <w:jc w:val="center"/>
              <w:rPr>
                <w:rFonts w:cs="Arial"/>
                <w:b/>
                <w:bCs/>
                <w:sz w:val="22"/>
                <w:szCs w:val="22"/>
              </w:rPr>
            </w:pPr>
            <w:r w:rsidRPr="00D92CBC">
              <w:rPr>
                <w:rFonts w:cs="Arial"/>
                <w:b/>
                <w:bCs/>
                <w:sz w:val="22"/>
                <w:szCs w:val="22"/>
              </w:rPr>
              <w:t>N/A</w:t>
            </w:r>
          </w:p>
        </w:tc>
        <w:tc>
          <w:tcPr>
            <w:tcW w:w="1546" w:type="dxa"/>
            <w:shd w:val="clear" w:color="auto" w:fill="FF0000"/>
            <w:noWrap/>
            <w:vAlign w:val="center"/>
            <w:hideMark/>
          </w:tcPr>
          <w:p w14:paraId="4ADDCE4C"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Overcrowded</w:t>
            </w:r>
          </w:p>
        </w:tc>
        <w:tc>
          <w:tcPr>
            <w:tcW w:w="1546" w:type="dxa"/>
            <w:shd w:val="clear" w:color="auto" w:fill="00B0F0"/>
            <w:noWrap/>
            <w:vAlign w:val="center"/>
            <w:hideMark/>
          </w:tcPr>
          <w:p w14:paraId="3A401DB7"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Under-used</w:t>
            </w:r>
          </w:p>
        </w:tc>
      </w:tr>
      <w:tr w:rsidR="00D507EF" w:rsidRPr="00D92CBC" w14:paraId="48B882EF" w14:textId="77777777" w:rsidTr="001D3514">
        <w:trPr>
          <w:trHeight w:val="300"/>
        </w:trPr>
        <w:tc>
          <w:tcPr>
            <w:tcW w:w="2093" w:type="dxa"/>
            <w:noWrap/>
            <w:hideMark/>
          </w:tcPr>
          <w:p w14:paraId="25FB6431" w14:textId="77777777" w:rsidR="00D507EF" w:rsidRPr="00D92CBC" w:rsidRDefault="00D507EF" w:rsidP="001D3514">
            <w:pPr>
              <w:pStyle w:val="tabletext"/>
              <w:rPr>
                <w:rFonts w:cs="Arial"/>
                <w:sz w:val="22"/>
                <w:szCs w:val="22"/>
              </w:rPr>
            </w:pPr>
            <w:r w:rsidRPr="00D92CBC">
              <w:rPr>
                <w:rFonts w:cs="Arial"/>
                <w:sz w:val="22"/>
                <w:szCs w:val="22"/>
              </w:rPr>
              <w:t>Cefn Coed</w:t>
            </w:r>
          </w:p>
        </w:tc>
        <w:tc>
          <w:tcPr>
            <w:tcW w:w="1545" w:type="dxa"/>
            <w:noWrap/>
            <w:vAlign w:val="center"/>
            <w:hideMark/>
          </w:tcPr>
          <w:p w14:paraId="383F60A0" w14:textId="77777777" w:rsidR="00D507EF" w:rsidRPr="00D92CBC" w:rsidRDefault="00D507EF" w:rsidP="001D3514">
            <w:pPr>
              <w:pStyle w:val="tabletext"/>
              <w:jc w:val="center"/>
              <w:rPr>
                <w:rFonts w:cs="Arial"/>
                <w:sz w:val="22"/>
                <w:szCs w:val="22"/>
              </w:rPr>
            </w:pPr>
            <w:r w:rsidRPr="00D92CBC">
              <w:rPr>
                <w:rFonts w:cs="Arial"/>
                <w:sz w:val="22"/>
                <w:szCs w:val="22"/>
              </w:rPr>
              <w:t>5%</w:t>
            </w:r>
          </w:p>
        </w:tc>
        <w:tc>
          <w:tcPr>
            <w:tcW w:w="1546" w:type="dxa"/>
            <w:noWrap/>
            <w:vAlign w:val="center"/>
            <w:hideMark/>
          </w:tcPr>
          <w:p w14:paraId="726AB622" w14:textId="77777777" w:rsidR="00D507EF" w:rsidRPr="00D92CBC" w:rsidRDefault="00D507EF" w:rsidP="001D3514">
            <w:pPr>
              <w:pStyle w:val="tabletext"/>
              <w:jc w:val="center"/>
              <w:rPr>
                <w:rFonts w:cs="Arial"/>
                <w:sz w:val="22"/>
                <w:szCs w:val="22"/>
              </w:rPr>
            </w:pPr>
            <w:r w:rsidRPr="00D92CBC">
              <w:rPr>
                <w:rFonts w:cs="Arial"/>
                <w:sz w:val="22"/>
                <w:szCs w:val="22"/>
              </w:rPr>
              <w:t>60%</w:t>
            </w:r>
          </w:p>
        </w:tc>
        <w:tc>
          <w:tcPr>
            <w:tcW w:w="1545" w:type="dxa"/>
            <w:noWrap/>
            <w:vAlign w:val="center"/>
            <w:hideMark/>
          </w:tcPr>
          <w:p w14:paraId="02DA38A8" w14:textId="77777777" w:rsidR="00D507EF" w:rsidRPr="00D92CBC" w:rsidRDefault="00D507EF" w:rsidP="001D3514">
            <w:pPr>
              <w:pStyle w:val="tabletext"/>
              <w:jc w:val="center"/>
              <w:rPr>
                <w:rFonts w:cs="Arial"/>
                <w:sz w:val="22"/>
                <w:szCs w:val="22"/>
              </w:rPr>
            </w:pPr>
            <w:r w:rsidRPr="00D92CBC">
              <w:rPr>
                <w:rFonts w:cs="Arial"/>
                <w:sz w:val="22"/>
                <w:szCs w:val="22"/>
              </w:rPr>
              <w:t>3%</w:t>
            </w:r>
          </w:p>
        </w:tc>
        <w:tc>
          <w:tcPr>
            <w:tcW w:w="1546" w:type="dxa"/>
            <w:noWrap/>
            <w:vAlign w:val="center"/>
            <w:hideMark/>
          </w:tcPr>
          <w:p w14:paraId="08BC33B7" w14:textId="77777777" w:rsidR="00D507EF" w:rsidRPr="00D92CBC" w:rsidRDefault="00D507EF" w:rsidP="001D3514">
            <w:pPr>
              <w:pStyle w:val="tabletext"/>
              <w:jc w:val="center"/>
              <w:rPr>
                <w:rFonts w:cs="Arial"/>
                <w:sz w:val="22"/>
                <w:szCs w:val="22"/>
              </w:rPr>
            </w:pPr>
            <w:r w:rsidRPr="00D92CBC">
              <w:rPr>
                <w:rFonts w:cs="Arial"/>
                <w:sz w:val="22"/>
                <w:szCs w:val="22"/>
              </w:rPr>
              <w:t>32%</w:t>
            </w:r>
          </w:p>
        </w:tc>
        <w:tc>
          <w:tcPr>
            <w:tcW w:w="1546" w:type="dxa"/>
            <w:noWrap/>
            <w:vAlign w:val="center"/>
            <w:hideMark/>
          </w:tcPr>
          <w:p w14:paraId="3718AD2E" w14:textId="77777777" w:rsidR="00D507EF" w:rsidRPr="00D92CBC" w:rsidRDefault="00D507EF" w:rsidP="001D3514">
            <w:pPr>
              <w:pStyle w:val="tabletext"/>
              <w:jc w:val="center"/>
              <w:rPr>
                <w:rFonts w:cs="Arial"/>
                <w:sz w:val="22"/>
                <w:szCs w:val="22"/>
              </w:rPr>
            </w:pPr>
            <w:r w:rsidRPr="00D92CBC">
              <w:rPr>
                <w:rFonts w:cs="Arial"/>
                <w:sz w:val="22"/>
                <w:szCs w:val="22"/>
              </w:rPr>
              <w:t>0%</w:t>
            </w:r>
          </w:p>
        </w:tc>
      </w:tr>
      <w:tr w:rsidR="00D507EF" w:rsidRPr="00D92CBC" w14:paraId="19F89F99" w14:textId="77777777" w:rsidTr="001D3514">
        <w:trPr>
          <w:trHeight w:val="300"/>
        </w:trPr>
        <w:tc>
          <w:tcPr>
            <w:tcW w:w="2093" w:type="dxa"/>
            <w:noWrap/>
            <w:hideMark/>
          </w:tcPr>
          <w:p w14:paraId="6983F572" w14:textId="77777777" w:rsidR="00D507EF" w:rsidRPr="00D92CBC" w:rsidRDefault="00D507EF" w:rsidP="001D3514">
            <w:pPr>
              <w:pStyle w:val="tabletext"/>
              <w:rPr>
                <w:rFonts w:cs="Arial"/>
                <w:sz w:val="22"/>
                <w:szCs w:val="22"/>
              </w:rPr>
            </w:pPr>
            <w:r w:rsidRPr="00D92CBC">
              <w:rPr>
                <w:rFonts w:cs="Arial"/>
                <w:sz w:val="22"/>
                <w:szCs w:val="22"/>
              </w:rPr>
              <w:t xml:space="preserve">Gorseinon </w:t>
            </w:r>
          </w:p>
        </w:tc>
        <w:tc>
          <w:tcPr>
            <w:tcW w:w="1545" w:type="dxa"/>
            <w:noWrap/>
            <w:vAlign w:val="center"/>
            <w:hideMark/>
          </w:tcPr>
          <w:p w14:paraId="066C0277" w14:textId="77777777" w:rsidR="00D507EF" w:rsidRPr="00D92CBC" w:rsidRDefault="00D507EF" w:rsidP="001D3514">
            <w:pPr>
              <w:pStyle w:val="tabletext"/>
              <w:jc w:val="center"/>
              <w:rPr>
                <w:rFonts w:cs="Arial"/>
                <w:sz w:val="22"/>
                <w:szCs w:val="22"/>
              </w:rPr>
            </w:pPr>
            <w:r w:rsidRPr="00D92CBC">
              <w:rPr>
                <w:rFonts w:cs="Arial"/>
                <w:sz w:val="22"/>
                <w:szCs w:val="22"/>
              </w:rPr>
              <w:t>5%</w:t>
            </w:r>
          </w:p>
        </w:tc>
        <w:tc>
          <w:tcPr>
            <w:tcW w:w="1546" w:type="dxa"/>
            <w:noWrap/>
            <w:vAlign w:val="center"/>
            <w:hideMark/>
          </w:tcPr>
          <w:p w14:paraId="78A73FD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5" w:type="dxa"/>
            <w:noWrap/>
            <w:vAlign w:val="center"/>
            <w:hideMark/>
          </w:tcPr>
          <w:p w14:paraId="4349B057"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7CFED623" w14:textId="77777777" w:rsidR="00D507EF" w:rsidRPr="00D92CBC" w:rsidRDefault="00D507EF" w:rsidP="001D3514">
            <w:pPr>
              <w:pStyle w:val="tabletext"/>
              <w:jc w:val="center"/>
              <w:rPr>
                <w:rFonts w:cs="Arial"/>
                <w:sz w:val="22"/>
                <w:szCs w:val="22"/>
              </w:rPr>
            </w:pPr>
            <w:r w:rsidRPr="00D92CBC">
              <w:rPr>
                <w:rFonts w:cs="Arial"/>
                <w:sz w:val="22"/>
                <w:szCs w:val="22"/>
              </w:rPr>
              <w:t>95%</w:t>
            </w:r>
          </w:p>
        </w:tc>
        <w:tc>
          <w:tcPr>
            <w:tcW w:w="1546" w:type="dxa"/>
            <w:noWrap/>
            <w:vAlign w:val="center"/>
            <w:hideMark/>
          </w:tcPr>
          <w:p w14:paraId="576A096E" w14:textId="77777777" w:rsidR="00D507EF" w:rsidRPr="00D92CBC" w:rsidRDefault="00D507EF" w:rsidP="001D3514">
            <w:pPr>
              <w:pStyle w:val="tabletext"/>
              <w:jc w:val="center"/>
              <w:rPr>
                <w:rFonts w:cs="Arial"/>
                <w:sz w:val="22"/>
                <w:szCs w:val="22"/>
              </w:rPr>
            </w:pPr>
            <w:r w:rsidRPr="00D92CBC">
              <w:rPr>
                <w:rFonts w:cs="Arial"/>
                <w:sz w:val="22"/>
                <w:szCs w:val="22"/>
              </w:rPr>
              <w:t>0%</w:t>
            </w:r>
          </w:p>
        </w:tc>
      </w:tr>
      <w:tr w:rsidR="00D507EF" w:rsidRPr="00D92CBC" w14:paraId="3929158B" w14:textId="77777777" w:rsidTr="001D3514">
        <w:trPr>
          <w:trHeight w:val="300"/>
        </w:trPr>
        <w:tc>
          <w:tcPr>
            <w:tcW w:w="2093" w:type="dxa"/>
            <w:noWrap/>
            <w:hideMark/>
          </w:tcPr>
          <w:p w14:paraId="720F73DD" w14:textId="77777777" w:rsidR="00D507EF" w:rsidRPr="00D92CBC" w:rsidRDefault="00D507EF" w:rsidP="001D3514">
            <w:pPr>
              <w:pStyle w:val="tabletext"/>
              <w:rPr>
                <w:rFonts w:cs="Arial"/>
                <w:sz w:val="22"/>
                <w:szCs w:val="22"/>
              </w:rPr>
            </w:pPr>
            <w:r w:rsidRPr="00D92CBC">
              <w:rPr>
                <w:rFonts w:cs="Arial"/>
                <w:sz w:val="22"/>
                <w:szCs w:val="22"/>
              </w:rPr>
              <w:t>Neath Port Talbot</w:t>
            </w:r>
          </w:p>
        </w:tc>
        <w:tc>
          <w:tcPr>
            <w:tcW w:w="1545" w:type="dxa"/>
            <w:noWrap/>
            <w:vAlign w:val="center"/>
            <w:hideMark/>
          </w:tcPr>
          <w:p w14:paraId="55DCE9D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170376A9" w14:textId="77777777" w:rsidR="00D507EF" w:rsidRPr="00D92CBC" w:rsidRDefault="00D507EF" w:rsidP="001D3514">
            <w:pPr>
              <w:pStyle w:val="tabletext"/>
              <w:jc w:val="center"/>
              <w:rPr>
                <w:rFonts w:cs="Arial"/>
                <w:sz w:val="22"/>
                <w:szCs w:val="22"/>
              </w:rPr>
            </w:pPr>
            <w:r w:rsidRPr="00D92CBC">
              <w:rPr>
                <w:rFonts w:cs="Arial"/>
                <w:sz w:val="22"/>
                <w:szCs w:val="22"/>
              </w:rPr>
              <w:t>99%</w:t>
            </w:r>
          </w:p>
        </w:tc>
        <w:tc>
          <w:tcPr>
            <w:tcW w:w="1545" w:type="dxa"/>
            <w:noWrap/>
            <w:vAlign w:val="center"/>
            <w:hideMark/>
          </w:tcPr>
          <w:p w14:paraId="7AEBE28B" w14:textId="77777777" w:rsidR="00D507EF" w:rsidRPr="00D92CBC" w:rsidRDefault="00D507EF" w:rsidP="001D3514">
            <w:pPr>
              <w:pStyle w:val="tabletext"/>
              <w:jc w:val="center"/>
              <w:rPr>
                <w:rFonts w:cs="Arial"/>
                <w:sz w:val="22"/>
                <w:szCs w:val="22"/>
              </w:rPr>
            </w:pPr>
            <w:r w:rsidRPr="00D92CBC">
              <w:rPr>
                <w:rFonts w:cs="Arial"/>
                <w:sz w:val="22"/>
                <w:szCs w:val="22"/>
              </w:rPr>
              <w:t>1%</w:t>
            </w:r>
          </w:p>
        </w:tc>
        <w:tc>
          <w:tcPr>
            <w:tcW w:w="1546" w:type="dxa"/>
            <w:noWrap/>
            <w:vAlign w:val="center"/>
            <w:hideMark/>
          </w:tcPr>
          <w:p w14:paraId="465EF4B1"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43DE106E" w14:textId="77777777" w:rsidR="00D507EF" w:rsidRPr="00D92CBC" w:rsidRDefault="00D507EF" w:rsidP="001D3514">
            <w:pPr>
              <w:pStyle w:val="tabletext"/>
              <w:jc w:val="center"/>
              <w:rPr>
                <w:rFonts w:cs="Arial"/>
                <w:sz w:val="22"/>
                <w:szCs w:val="22"/>
              </w:rPr>
            </w:pPr>
            <w:r w:rsidRPr="00D92CBC">
              <w:rPr>
                <w:rFonts w:cs="Arial"/>
                <w:sz w:val="22"/>
                <w:szCs w:val="22"/>
              </w:rPr>
              <w:t>0%</w:t>
            </w:r>
          </w:p>
        </w:tc>
      </w:tr>
      <w:tr w:rsidR="00D507EF" w:rsidRPr="00D92CBC" w14:paraId="5830F5E8" w14:textId="77777777" w:rsidTr="001D3514">
        <w:trPr>
          <w:trHeight w:val="300"/>
        </w:trPr>
        <w:tc>
          <w:tcPr>
            <w:tcW w:w="2093" w:type="dxa"/>
            <w:noWrap/>
            <w:hideMark/>
          </w:tcPr>
          <w:p w14:paraId="782C3735" w14:textId="77777777" w:rsidR="00D507EF" w:rsidRPr="00D92CBC" w:rsidRDefault="00D507EF" w:rsidP="001D3514">
            <w:pPr>
              <w:pStyle w:val="tabletext"/>
              <w:rPr>
                <w:rFonts w:cs="Arial"/>
                <w:sz w:val="22"/>
                <w:szCs w:val="22"/>
              </w:rPr>
            </w:pPr>
            <w:r w:rsidRPr="00D92CBC">
              <w:rPr>
                <w:rFonts w:cs="Arial"/>
                <w:sz w:val="22"/>
                <w:szCs w:val="22"/>
              </w:rPr>
              <w:t>Tonna</w:t>
            </w:r>
          </w:p>
        </w:tc>
        <w:tc>
          <w:tcPr>
            <w:tcW w:w="1545" w:type="dxa"/>
            <w:noWrap/>
            <w:vAlign w:val="center"/>
            <w:hideMark/>
          </w:tcPr>
          <w:p w14:paraId="534ED18E" w14:textId="77777777" w:rsidR="00D507EF" w:rsidRPr="00D92CBC" w:rsidRDefault="00D507EF" w:rsidP="001D3514">
            <w:pPr>
              <w:pStyle w:val="tabletext"/>
              <w:jc w:val="center"/>
              <w:rPr>
                <w:rFonts w:cs="Arial"/>
                <w:sz w:val="22"/>
                <w:szCs w:val="22"/>
              </w:rPr>
            </w:pPr>
            <w:r w:rsidRPr="00D92CBC">
              <w:rPr>
                <w:rFonts w:cs="Arial"/>
                <w:sz w:val="22"/>
                <w:szCs w:val="22"/>
              </w:rPr>
              <w:t>1%</w:t>
            </w:r>
          </w:p>
        </w:tc>
        <w:tc>
          <w:tcPr>
            <w:tcW w:w="1546" w:type="dxa"/>
            <w:noWrap/>
            <w:vAlign w:val="center"/>
            <w:hideMark/>
          </w:tcPr>
          <w:p w14:paraId="11CA249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5" w:type="dxa"/>
            <w:noWrap/>
            <w:vAlign w:val="center"/>
            <w:hideMark/>
          </w:tcPr>
          <w:p w14:paraId="12EB16FE" w14:textId="77777777" w:rsidR="00D507EF" w:rsidRPr="00D92CBC" w:rsidRDefault="00D507EF" w:rsidP="001D3514">
            <w:pPr>
              <w:pStyle w:val="tabletext"/>
              <w:jc w:val="center"/>
              <w:rPr>
                <w:rFonts w:cs="Arial"/>
                <w:sz w:val="22"/>
                <w:szCs w:val="22"/>
              </w:rPr>
            </w:pPr>
            <w:r w:rsidRPr="00D92CBC">
              <w:rPr>
                <w:rFonts w:cs="Arial"/>
                <w:sz w:val="22"/>
                <w:szCs w:val="22"/>
              </w:rPr>
              <w:t>1%</w:t>
            </w:r>
          </w:p>
        </w:tc>
        <w:tc>
          <w:tcPr>
            <w:tcW w:w="1546" w:type="dxa"/>
            <w:noWrap/>
            <w:vAlign w:val="center"/>
            <w:hideMark/>
          </w:tcPr>
          <w:p w14:paraId="5FDDC917"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5A7867BF" w14:textId="77777777" w:rsidR="00D507EF" w:rsidRPr="00D92CBC" w:rsidRDefault="00D507EF" w:rsidP="001D3514">
            <w:pPr>
              <w:pStyle w:val="tabletext"/>
              <w:jc w:val="center"/>
              <w:rPr>
                <w:rFonts w:cs="Arial"/>
                <w:sz w:val="22"/>
                <w:szCs w:val="22"/>
              </w:rPr>
            </w:pPr>
            <w:r w:rsidRPr="00D92CBC">
              <w:rPr>
                <w:rFonts w:cs="Arial"/>
                <w:sz w:val="22"/>
                <w:szCs w:val="22"/>
              </w:rPr>
              <w:t>98%</w:t>
            </w:r>
          </w:p>
        </w:tc>
      </w:tr>
      <w:tr w:rsidR="00D507EF" w:rsidRPr="00D92CBC" w14:paraId="45D9F5C2" w14:textId="77777777" w:rsidTr="001D3514">
        <w:trPr>
          <w:trHeight w:val="300"/>
        </w:trPr>
        <w:tc>
          <w:tcPr>
            <w:tcW w:w="2093" w:type="dxa"/>
            <w:noWrap/>
            <w:hideMark/>
          </w:tcPr>
          <w:p w14:paraId="6956B838" w14:textId="77777777" w:rsidR="00D507EF" w:rsidRPr="00D92CBC" w:rsidRDefault="00D507EF" w:rsidP="001D3514">
            <w:pPr>
              <w:pStyle w:val="tabletext"/>
              <w:rPr>
                <w:rFonts w:cs="Arial"/>
                <w:sz w:val="22"/>
                <w:szCs w:val="22"/>
              </w:rPr>
            </w:pPr>
            <w:r w:rsidRPr="00D92CBC">
              <w:rPr>
                <w:rFonts w:cs="Arial"/>
                <w:sz w:val="22"/>
                <w:szCs w:val="22"/>
              </w:rPr>
              <w:t>Morriston</w:t>
            </w:r>
          </w:p>
        </w:tc>
        <w:tc>
          <w:tcPr>
            <w:tcW w:w="1545" w:type="dxa"/>
            <w:noWrap/>
            <w:vAlign w:val="center"/>
            <w:hideMark/>
          </w:tcPr>
          <w:p w14:paraId="3EE62E9C"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1F96F097" w14:textId="77777777" w:rsidR="00D507EF" w:rsidRPr="00D92CBC" w:rsidRDefault="00D507EF" w:rsidP="001D3514">
            <w:pPr>
              <w:pStyle w:val="tabletext"/>
              <w:jc w:val="center"/>
              <w:rPr>
                <w:rFonts w:cs="Arial"/>
                <w:sz w:val="22"/>
                <w:szCs w:val="22"/>
              </w:rPr>
            </w:pPr>
            <w:r w:rsidRPr="00D92CBC">
              <w:rPr>
                <w:rFonts w:cs="Arial"/>
                <w:sz w:val="22"/>
                <w:szCs w:val="22"/>
              </w:rPr>
              <w:t>44%</w:t>
            </w:r>
          </w:p>
        </w:tc>
        <w:tc>
          <w:tcPr>
            <w:tcW w:w="1545" w:type="dxa"/>
            <w:noWrap/>
            <w:vAlign w:val="center"/>
            <w:hideMark/>
          </w:tcPr>
          <w:p w14:paraId="7C988321" w14:textId="77777777" w:rsidR="00D507EF" w:rsidRPr="00D92CBC" w:rsidRDefault="00D507EF" w:rsidP="001D3514">
            <w:pPr>
              <w:pStyle w:val="tabletext"/>
              <w:jc w:val="center"/>
              <w:rPr>
                <w:rFonts w:cs="Arial"/>
                <w:sz w:val="22"/>
                <w:szCs w:val="22"/>
              </w:rPr>
            </w:pPr>
            <w:r w:rsidRPr="00D92CBC">
              <w:rPr>
                <w:rFonts w:cs="Arial"/>
                <w:sz w:val="22"/>
                <w:szCs w:val="22"/>
              </w:rPr>
              <w:t>1%</w:t>
            </w:r>
          </w:p>
        </w:tc>
        <w:tc>
          <w:tcPr>
            <w:tcW w:w="1546" w:type="dxa"/>
            <w:noWrap/>
            <w:vAlign w:val="center"/>
            <w:hideMark/>
          </w:tcPr>
          <w:p w14:paraId="01EB84A0" w14:textId="77777777" w:rsidR="00D507EF" w:rsidRPr="00D92CBC" w:rsidRDefault="00D507EF" w:rsidP="001D3514">
            <w:pPr>
              <w:pStyle w:val="tabletext"/>
              <w:jc w:val="center"/>
              <w:rPr>
                <w:rFonts w:cs="Arial"/>
                <w:sz w:val="22"/>
                <w:szCs w:val="22"/>
              </w:rPr>
            </w:pPr>
            <w:r w:rsidRPr="00D92CBC">
              <w:rPr>
                <w:rFonts w:cs="Arial"/>
                <w:sz w:val="22"/>
                <w:szCs w:val="22"/>
              </w:rPr>
              <w:t>52%</w:t>
            </w:r>
          </w:p>
        </w:tc>
        <w:tc>
          <w:tcPr>
            <w:tcW w:w="1546" w:type="dxa"/>
            <w:noWrap/>
            <w:vAlign w:val="center"/>
            <w:hideMark/>
          </w:tcPr>
          <w:p w14:paraId="434B9683" w14:textId="77777777" w:rsidR="00D507EF" w:rsidRPr="00D92CBC" w:rsidRDefault="00D507EF" w:rsidP="001D3514">
            <w:pPr>
              <w:pStyle w:val="tabletext"/>
              <w:jc w:val="center"/>
              <w:rPr>
                <w:rFonts w:cs="Arial"/>
                <w:sz w:val="22"/>
                <w:szCs w:val="22"/>
              </w:rPr>
            </w:pPr>
            <w:r w:rsidRPr="00D92CBC">
              <w:rPr>
                <w:rFonts w:cs="Arial"/>
                <w:sz w:val="22"/>
                <w:szCs w:val="22"/>
              </w:rPr>
              <w:t>3%</w:t>
            </w:r>
          </w:p>
        </w:tc>
      </w:tr>
      <w:tr w:rsidR="00D507EF" w:rsidRPr="00D92CBC" w14:paraId="69ACEB9D" w14:textId="77777777" w:rsidTr="001D3514">
        <w:trPr>
          <w:trHeight w:val="300"/>
        </w:trPr>
        <w:tc>
          <w:tcPr>
            <w:tcW w:w="2093" w:type="dxa"/>
            <w:noWrap/>
            <w:hideMark/>
          </w:tcPr>
          <w:p w14:paraId="55B5FFF9" w14:textId="77777777" w:rsidR="00D507EF" w:rsidRPr="00D92CBC" w:rsidRDefault="00D507EF" w:rsidP="001D3514">
            <w:pPr>
              <w:pStyle w:val="tabletext"/>
              <w:rPr>
                <w:rFonts w:cs="Arial"/>
                <w:sz w:val="22"/>
                <w:szCs w:val="22"/>
              </w:rPr>
            </w:pPr>
            <w:r w:rsidRPr="00D92CBC">
              <w:rPr>
                <w:rFonts w:cs="Arial"/>
                <w:sz w:val="22"/>
                <w:szCs w:val="22"/>
              </w:rPr>
              <w:t>Singleton</w:t>
            </w:r>
          </w:p>
        </w:tc>
        <w:tc>
          <w:tcPr>
            <w:tcW w:w="1545" w:type="dxa"/>
            <w:noWrap/>
            <w:vAlign w:val="center"/>
            <w:hideMark/>
          </w:tcPr>
          <w:p w14:paraId="4229CDE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58CCAD3F" w14:textId="77777777" w:rsidR="00D507EF" w:rsidRPr="00D92CBC" w:rsidRDefault="00D507EF" w:rsidP="001D3514">
            <w:pPr>
              <w:pStyle w:val="tabletext"/>
              <w:jc w:val="center"/>
              <w:rPr>
                <w:rFonts w:cs="Arial"/>
                <w:sz w:val="22"/>
                <w:szCs w:val="22"/>
              </w:rPr>
            </w:pPr>
            <w:r w:rsidRPr="00D92CBC">
              <w:rPr>
                <w:rFonts w:cs="Arial"/>
                <w:sz w:val="22"/>
                <w:szCs w:val="22"/>
              </w:rPr>
              <w:t>91%</w:t>
            </w:r>
          </w:p>
        </w:tc>
        <w:tc>
          <w:tcPr>
            <w:tcW w:w="1545" w:type="dxa"/>
            <w:noWrap/>
            <w:vAlign w:val="center"/>
            <w:hideMark/>
          </w:tcPr>
          <w:p w14:paraId="3F1F28AC"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1546" w:type="dxa"/>
            <w:noWrap/>
            <w:vAlign w:val="center"/>
            <w:hideMark/>
          </w:tcPr>
          <w:p w14:paraId="29681FB5" w14:textId="77777777" w:rsidR="00D507EF" w:rsidRPr="00D92CBC" w:rsidRDefault="00D507EF" w:rsidP="001D3514">
            <w:pPr>
              <w:pStyle w:val="tabletext"/>
              <w:jc w:val="center"/>
              <w:rPr>
                <w:rFonts w:cs="Arial"/>
                <w:sz w:val="22"/>
                <w:szCs w:val="22"/>
              </w:rPr>
            </w:pPr>
            <w:r w:rsidRPr="00D92CBC">
              <w:rPr>
                <w:rFonts w:cs="Arial"/>
                <w:sz w:val="22"/>
                <w:szCs w:val="22"/>
              </w:rPr>
              <w:t>8%</w:t>
            </w:r>
          </w:p>
        </w:tc>
        <w:tc>
          <w:tcPr>
            <w:tcW w:w="1546" w:type="dxa"/>
            <w:noWrap/>
            <w:vAlign w:val="center"/>
            <w:hideMark/>
          </w:tcPr>
          <w:p w14:paraId="1A9538B3" w14:textId="77777777" w:rsidR="00D507EF" w:rsidRPr="00D92CBC" w:rsidRDefault="00D507EF" w:rsidP="001D3514">
            <w:pPr>
              <w:pStyle w:val="tabletext"/>
              <w:jc w:val="center"/>
              <w:rPr>
                <w:rFonts w:cs="Arial"/>
                <w:sz w:val="22"/>
                <w:szCs w:val="22"/>
              </w:rPr>
            </w:pPr>
            <w:r w:rsidRPr="00D92CBC">
              <w:rPr>
                <w:rFonts w:cs="Arial"/>
                <w:sz w:val="22"/>
                <w:szCs w:val="22"/>
              </w:rPr>
              <w:t>1%</w:t>
            </w:r>
          </w:p>
        </w:tc>
      </w:tr>
      <w:tr w:rsidR="00D507EF" w:rsidRPr="00D92CBC" w14:paraId="16FF7289" w14:textId="77777777" w:rsidTr="001D3514">
        <w:trPr>
          <w:trHeight w:val="300"/>
        </w:trPr>
        <w:tc>
          <w:tcPr>
            <w:tcW w:w="2093" w:type="dxa"/>
            <w:shd w:val="clear" w:color="auto" w:fill="F2F2F2" w:themeFill="background1" w:themeFillShade="F2"/>
            <w:noWrap/>
            <w:hideMark/>
          </w:tcPr>
          <w:p w14:paraId="29D7D5E8" w14:textId="77777777" w:rsidR="00D507EF" w:rsidRPr="00D92CBC" w:rsidRDefault="00D507EF" w:rsidP="001D3514">
            <w:pPr>
              <w:pStyle w:val="tabletext"/>
              <w:rPr>
                <w:rFonts w:cs="Arial"/>
                <w:b/>
                <w:bCs/>
                <w:sz w:val="22"/>
                <w:szCs w:val="22"/>
              </w:rPr>
            </w:pPr>
            <w:r w:rsidRPr="00D92CBC">
              <w:rPr>
                <w:rFonts w:cs="Arial"/>
                <w:b/>
                <w:bCs/>
                <w:sz w:val="22"/>
                <w:szCs w:val="22"/>
              </w:rPr>
              <w:t>All sites</w:t>
            </w:r>
          </w:p>
        </w:tc>
        <w:tc>
          <w:tcPr>
            <w:tcW w:w="1545" w:type="dxa"/>
            <w:shd w:val="clear" w:color="auto" w:fill="F2F2F2" w:themeFill="background1" w:themeFillShade="F2"/>
            <w:noWrap/>
            <w:vAlign w:val="center"/>
            <w:hideMark/>
          </w:tcPr>
          <w:p w14:paraId="5835E006" w14:textId="77777777" w:rsidR="00D507EF" w:rsidRPr="00D92CBC" w:rsidRDefault="00D507EF" w:rsidP="001D3514">
            <w:pPr>
              <w:pStyle w:val="tabletext"/>
              <w:jc w:val="center"/>
              <w:rPr>
                <w:rFonts w:cs="Arial"/>
                <w:b/>
                <w:bCs/>
                <w:sz w:val="22"/>
                <w:szCs w:val="22"/>
              </w:rPr>
            </w:pPr>
            <w:r w:rsidRPr="00D92CBC">
              <w:rPr>
                <w:rFonts w:cs="Arial"/>
                <w:b/>
                <w:bCs/>
                <w:sz w:val="22"/>
                <w:szCs w:val="22"/>
              </w:rPr>
              <w:t>0%</w:t>
            </w:r>
          </w:p>
        </w:tc>
        <w:tc>
          <w:tcPr>
            <w:tcW w:w="1546" w:type="dxa"/>
            <w:shd w:val="clear" w:color="auto" w:fill="F2F2F2" w:themeFill="background1" w:themeFillShade="F2"/>
            <w:noWrap/>
            <w:vAlign w:val="center"/>
            <w:hideMark/>
          </w:tcPr>
          <w:p w14:paraId="25E02F9B" w14:textId="77777777" w:rsidR="00D507EF" w:rsidRPr="00D92CBC" w:rsidRDefault="00D507EF" w:rsidP="001D3514">
            <w:pPr>
              <w:pStyle w:val="tabletext"/>
              <w:jc w:val="center"/>
              <w:rPr>
                <w:rFonts w:cs="Arial"/>
                <w:b/>
                <w:bCs/>
                <w:sz w:val="22"/>
                <w:szCs w:val="22"/>
              </w:rPr>
            </w:pPr>
            <w:r w:rsidRPr="00D92CBC">
              <w:rPr>
                <w:rFonts w:cs="Arial"/>
                <w:b/>
                <w:bCs/>
                <w:sz w:val="22"/>
                <w:szCs w:val="22"/>
              </w:rPr>
              <w:t>62%</w:t>
            </w:r>
          </w:p>
        </w:tc>
        <w:tc>
          <w:tcPr>
            <w:tcW w:w="1545" w:type="dxa"/>
            <w:shd w:val="clear" w:color="auto" w:fill="F2F2F2" w:themeFill="background1" w:themeFillShade="F2"/>
            <w:noWrap/>
            <w:vAlign w:val="center"/>
            <w:hideMark/>
          </w:tcPr>
          <w:p w14:paraId="248F1697" w14:textId="77777777" w:rsidR="00D507EF" w:rsidRPr="00D92CBC" w:rsidRDefault="00D507EF" w:rsidP="001D3514">
            <w:pPr>
              <w:pStyle w:val="tabletext"/>
              <w:jc w:val="center"/>
              <w:rPr>
                <w:rFonts w:cs="Arial"/>
                <w:b/>
                <w:bCs/>
                <w:sz w:val="22"/>
                <w:szCs w:val="22"/>
              </w:rPr>
            </w:pPr>
            <w:r w:rsidRPr="00D92CBC">
              <w:rPr>
                <w:rFonts w:cs="Arial"/>
                <w:b/>
                <w:bCs/>
                <w:sz w:val="22"/>
                <w:szCs w:val="22"/>
              </w:rPr>
              <w:t>1%</w:t>
            </w:r>
          </w:p>
        </w:tc>
        <w:tc>
          <w:tcPr>
            <w:tcW w:w="1546" w:type="dxa"/>
            <w:shd w:val="clear" w:color="auto" w:fill="F2F2F2" w:themeFill="background1" w:themeFillShade="F2"/>
            <w:noWrap/>
            <w:vAlign w:val="center"/>
            <w:hideMark/>
          </w:tcPr>
          <w:p w14:paraId="20626B0F" w14:textId="77777777" w:rsidR="00D507EF" w:rsidRPr="00D92CBC" w:rsidRDefault="00D507EF" w:rsidP="001D3514">
            <w:pPr>
              <w:pStyle w:val="tabletext"/>
              <w:jc w:val="center"/>
              <w:rPr>
                <w:rFonts w:cs="Arial"/>
                <w:b/>
                <w:bCs/>
                <w:sz w:val="22"/>
                <w:szCs w:val="22"/>
              </w:rPr>
            </w:pPr>
            <w:r w:rsidRPr="00D92CBC">
              <w:rPr>
                <w:rFonts w:cs="Arial"/>
                <w:b/>
                <w:bCs/>
                <w:sz w:val="22"/>
                <w:szCs w:val="22"/>
              </w:rPr>
              <w:t>28%</w:t>
            </w:r>
          </w:p>
        </w:tc>
        <w:tc>
          <w:tcPr>
            <w:tcW w:w="1546" w:type="dxa"/>
            <w:shd w:val="clear" w:color="auto" w:fill="F2F2F2" w:themeFill="background1" w:themeFillShade="F2"/>
            <w:noWrap/>
            <w:vAlign w:val="center"/>
            <w:hideMark/>
          </w:tcPr>
          <w:p w14:paraId="7AB1EDDF" w14:textId="77777777" w:rsidR="00D507EF" w:rsidRPr="00D92CBC" w:rsidRDefault="00D507EF" w:rsidP="001D3514">
            <w:pPr>
              <w:pStyle w:val="tabletext"/>
              <w:jc w:val="center"/>
              <w:rPr>
                <w:rFonts w:cs="Arial"/>
                <w:b/>
                <w:bCs/>
                <w:sz w:val="22"/>
                <w:szCs w:val="22"/>
              </w:rPr>
            </w:pPr>
            <w:r w:rsidRPr="00D92CBC">
              <w:rPr>
                <w:rFonts w:cs="Arial"/>
                <w:b/>
                <w:bCs/>
                <w:sz w:val="22"/>
                <w:szCs w:val="22"/>
              </w:rPr>
              <w:t>9%</w:t>
            </w:r>
          </w:p>
        </w:tc>
      </w:tr>
    </w:tbl>
    <w:p w14:paraId="60D9A23F" w14:textId="77777777" w:rsidR="00D507EF" w:rsidRPr="00D92CBC" w:rsidRDefault="00D507EF" w:rsidP="00D507EF">
      <w:pPr>
        <w:rPr>
          <w:rFonts w:ascii="Arial" w:hAnsi="Arial" w:cs="Arial"/>
        </w:rPr>
      </w:pPr>
    </w:p>
    <w:tbl>
      <w:tblPr>
        <w:tblStyle w:val="TableGrid"/>
        <w:tblW w:w="5100" w:type="pc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1"/>
        <w:gridCol w:w="4764"/>
      </w:tblGrid>
      <w:tr w:rsidR="00D507EF" w:rsidRPr="00D92CBC" w14:paraId="5C0BC012" w14:textId="77777777" w:rsidTr="001D3514">
        <w:tc>
          <w:tcPr>
            <w:tcW w:w="4915" w:type="dxa"/>
          </w:tcPr>
          <w:p w14:paraId="183238BC" w14:textId="77777777" w:rsidR="00D507EF" w:rsidRPr="00D92CBC" w:rsidRDefault="00D507EF" w:rsidP="001D3514">
            <w:pPr>
              <w:pStyle w:val="NoSpacing"/>
              <w:rPr>
                <w:rFonts w:ascii="Arial" w:hAnsi="Arial" w:cs="Arial"/>
              </w:rPr>
            </w:pPr>
            <w:r w:rsidRPr="00D92CBC">
              <w:rPr>
                <w:rFonts w:ascii="Arial" w:hAnsi="Arial" w:cs="Arial"/>
                <w:noProof/>
                <w:lang w:eastAsia="en-GB"/>
              </w:rPr>
              <w:drawing>
                <wp:inline distT="0" distB="0" distL="0" distR="0" wp14:anchorId="7FD359DD" wp14:editId="6A2B6DCA">
                  <wp:extent cx="2789775" cy="2276475"/>
                  <wp:effectExtent l="0" t="0" r="0" b="0"/>
                  <wp:docPr id="1896152659" name="Picture 1896152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2805895" cy="2289629"/>
                          </a:xfrm>
                          <a:prstGeom prst="rect">
                            <a:avLst/>
                          </a:prstGeom>
                          <a:noFill/>
                        </pic:spPr>
                      </pic:pic>
                    </a:graphicData>
                  </a:graphic>
                </wp:inline>
              </w:drawing>
            </w:r>
          </w:p>
        </w:tc>
        <w:tc>
          <w:tcPr>
            <w:tcW w:w="4916" w:type="dxa"/>
            <w:vAlign w:val="center"/>
          </w:tcPr>
          <w:p w14:paraId="59B742B6" w14:textId="77777777" w:rsidR="00D507EF" w:rsidRPr="00D92CBC" w:rsidRDefault="00D507EF" w:rsidP="001D3514">
            <w:pPr>
              <w:rPr>
                <w:rFonts w:ascii="Arial" w:hAnsi="Arial" w:cs="Arial"/>
              </w:rPr>
            </w:pPr>
            <w:r w:rsidRPr="00D92CBC">
              <w:rPr>
                <w:rFonts w:ascii="Arial" w:hAnsi="Arial" w:cs="Arial"/>
              </w:rPr>
              <w:t>Overall, the combined Space Utilisation rating shows that the majority of the estate is fully used, however this does not portray the scale of overcrowding within the estate.</w:t>
            </w:r>
          </w:p>
          <w:p w14:paraId="668725B8" w14:textId="77777777" w:rsidR="00D507EF" w:rsidRPr="00D92CBC" w:rsidRDefault="00D507EF" w:rsidP="001D3514">
            <w:pPr>
              <w:rPr>
                <w:rFonts w:ascii="Arial" w:hAnsi="Arial" w:cs="Arial"/>
              </w:rPr>
            </w:pPr>
          </w:p>
          <w:p w14:paraId="69BEE95F" w14:textId="77777777" w:rsidR="00D507EF" w:rsidRPr="00D92CBC" w:rsidRDefault="00D507EF" w:rsidP="001D3514">
            <w:pPr>
              <w:rPr>
                <w:rFonts w:ascii="Arial" w:hAnsi="Arial" w:cs="Arial"/>
              </w:rPr>
            </w:pPr>
          </w:p>
        </w:tc>
      </w:tr>
    </w:tbl>
    <w:p w14:paraId="49D45538" w14:textId="77777777" w:rsidR="00D507EF" w:rsidRPr="00D92CBC" w:rsidRDefault="00D507EF" w:rsidP="00D507EF">
      <w:pPr>
        <w:rPr>
          <w:rFonts w:ascii="Arial" w:hAnsi="Arial" w:cs="Arial"/>
        </w:rPr>
      </w:pPr>
    </w:p>
    <w:p w14:paraId="71D627A6" w14:textId="2BA7366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lastRenderedPageBreak/>
        <w:t>acet 4 – Quality Audit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
        <w:gridCol w:w="3546"/>
        <w:gridCol w:w="412"/>
        <w:gridCol w:w="5138"/>
      </w:tblGrid>
      <w:tr w:rsidR="00D507EF" w:rsidRPr="00D92CBC" w14:paraId="18DF3026" w14:textId="77777777" w:rsidTr="001D3514">
        <w:tc>
          <w:tcPr>
            <w:tcW w:w="379" w:type="dxa"/>
            <w:shd w:val="clear" w:color="auto" w:fill="92D050"/>
          </w:tcPr>
          <w:p w14:paraId="3FBBF122"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A</w:t>
            </w:r>
          </w:p>
        </w:tc>
        <w:tc>
          <w:tcPr>
            <w:tcW w:w="3603" w:type="dxa"/>
          </w:tcPr>
          <w:p w14:paraId="281E797F" w14:textId="77777777" w:rsidR="00D507EF" w:rsidRPr="00D92CBC" w:rsidRDefault="00D507EF" w:rsidP="001D3514">
            <w:pPr>
              <w:pStyle w:val="tabletext"/>
              <w:rPr>
                <w:rFonts w:cs="Arial"/>
                <w:sz w:val="22"/>
                <w:szCs w:val="22"/>
              </w:rPr>
            </w:pPr>
            <w:r w:rsidRPr="00D92CBC">
              <w:rPr>
                <w:rFonts w:cs="Arial"/>
                <w:sz w:val="22"/>
                <w:szCs w:val="22"/>
              </w:rPr>
              <w:t>Excellent</w:t>
            </w:r>
          </w:p>
        </w:tc>
        <w:tc>
          <w:tcPr>
            <w:tcW w:w="413" w:type="dxa"/>
            <w:shd w:val="clear" w:color="auto" w:fill="FFC000"/>
          </w:tcPr>
          <w:p w14:paraId="3427D64D" w14:textId="77777777" w:rsidR="00D507EF" w:rsidRPr="00D92CBC" w:rsidRDefault="00D507EF" w:rsidP="001D3514">
            <w:pPr>
              <w:pStyle w:val="tabletext"/>
              <w:rPr>
                <w:rFonts w:cs="Arial"/>
                <w:sz w:val="22"/>
                <w:szCs w:val="22"/>
              </w:rPr>
            </w:pPr>
            <w:r w:rsidRPr="00D92CBC">
              <w:rPr>
                <w:rFonts w:cs="Arial"/>
                <w:sz w:val="22"/>
                <w:szCs w:val="22"/>
              </w:rPr>
              <w:t>C</w:t>
            </w:r>
          </w:p>
        </w:tc>
        <w:tc>
          <w:tcPr>
            <w:tcW w:w="5243" w:type="dxa"/>
          </w:tcPr>
          <w:p w14:paraId="775527A7" w14:textId="77777777" w:rsidR="00D507EF" w:rsidRPr="00D92CBC" w:rsidRDefault="00D507EF" w:rsidP="001D3514">
            <w:pPr>
              <w:pStyle w:val="tabletext"/>
              <w:rPr>
                <w:rFonts w:cs="Arial"/>
                <w:sz w:val="22"/>
                <w:szCs w:val="22"/>
              </w:rPr>
            </w:pPr>
            <w:r w:rsidRPr="00D92CBC">
              <w:rPr>
                <w:rFonts w:cs="Arial"/>
                <w:sz w:val="22"/>
                <w:szCs w:val="22"/>
              </w:rPr>
              <w:t>Capital Investment Required</w:t>
            </w:r>
          </w:p>
        </w:tc>
      </w:tr>
      <w:tr w:rsidR="00D507EF" w:rsidRPr="00D92CBC" w14:paraId="4FFEE19B" w14:textId="77777777" w:rsidTr="001D3514">
        <w:tc>
          <w:tcPr>
            <w:tcW w:w="379" w:type="dxa"/>
            <w:shd w:val="clear" w:color="auto" w:fill="FFFF00"/>
          </w:tcPr>
          <w:p w14:paraId="4546ECA8" w14:textId="77777777" w:rsidR="00D507EF" w:rsidRPr="00D92CBC" w:rsidRDefault="00D507EF" w:rsidP="001D3514">
            <w:pPr>
              <w:pStyle w:val="tabletext"/>
              <w:jc w:val="center"/>
              <w:rPr>
                <w:rFonts w:cs="Arial"/>
                <w:sz w:val="22"/>
                <w:szCs w:val="22"/>
              </w:rPr>
            </w:pPr>
            <w:r w:rsidRPr="00D92CBC">
              <w:rPr>
                <w:rFonts w:cs="Arial"/>
                <w:sz w:val="22"/>
                <w:szCs w:val="22"/>
              </w:rPr>
              <w:t>B</w:t>
            </w:r>
          </w:p>
        </w:tc>
        <w:tc>
          <w:tcPr>
            <w:tcW w:w="3603" w:type="dxa"/>
          </w:tcPr>
          <w:p w14:paraId="4CF1D47A" w14:textId="77777777" w:rsidR="00D507EF" w:rsidRPr="00D92CBC" w:rsidRDefault="00D507EF" w:rsidP="001D3514">
            <w:pPr>
              <w:pStyle w:val="tabletext"/>
              <w:rPr>
                <w:rFonts w:cs="Arial"/>
                <w:sz w:val="22"/>
                <w:szCs w:val="22"/>
              </w:rPr>
            </w:pPr>
            <w:r w:rsidRPr="00D92CBC">
              <w:rPr>
                <w:rFonts w:cs="Arial"/>
                <w:sz w:val="22"/>
                <w:szCs w:val="22"/>
              </w:rPr>
              <w:t>Maintenance Required</w:t>
            </w:r>
          </w:p>
        </w:tc>
        <w:tc>
          <w:tcPr>
            <w:tcW w:w="413" w:type="dxa"/>
            <w:shd w:val="clear" w:color="auto" w:fill="FF0000"/>
          </w:tcPr>
          <w:p w14:paraId="7471384A" w14:textId="77777777" w:rsidR="00D507EF" w:rsidRPr="00D92CBC" w:rsidRDefault="00D507EF" w:rsidP="001D3514">
            <w:pPr>
              <w:pStyle w:val="tabletext"/>
              <w:rPr>
                <w:rFonts w:cs="Arial"/>
                <w:sz w:val="22"/>
                <w:szCs w:val="22"/>
              </w:rPr>
            </w:pPr>
            <w:r w:rsidRPr="00D92CBC">
              <w:rPr>
                <w:rFonts w:cs="Arial"/>
                <w:b/>
                <w:bCs/>
                <w:color w:val="FFFFFF" w:themeColor="background1"/>
                <w:sz w:val="22"/>
                <w:szCs w:val="22"/>
              </w:rPr>
              <w:t>D</w:t>
            </w:r>
          </w:p>
        </w:tc>
        <w:tc>
          <w:tcPr>
            <w:tcW w:w="5243" w:type="dxa"/>
          </w:tcPr>
          <w:p w14:paraId="36896545" w14:textId="77777777" w:rsidR="00D507EF" w:rsidRPr="00D92CBC" w:rsidRDefault="00D507EF" w:rsidP="001D3514">
            <w:pPr>
              <w:pStyle w:val="tabletext"/>
              <w:rPr>
                <w:rFonts w:cs="Arial"/>
                <w:sz w:val="22"/>
                <w:szCs w:val="22"/>
              </w:rPr>
            </w:pPr>
            <w:r w:rsidRPr="00D92CBC">
              <w:rPr>
                <w:rFonts w:cs="Arial"/>
                <w:sz w:val="22"/>
                <w:szCs w:val="22"/>
              </w:rPr>
              <w:t>Very Poor</w:t>
            </w:r>
          </w:p>
        </w:tc>
      </w:tr>
    </w:tbl>
    <w:p w14:paraId="0021D37A" w14:textId="77777777" w:rsidR="00D507EF" w:rsidRDefault="00D507EF" w:rsidP="00D507EF">
      <w:pPr>
        <w:pStyle w:val="NoSpacing"/>
        <w:rPr>
          <w:rFonts w:ascii="Arial" w:hAnsi="Arial" w:cs="Arial"/>
        </w:rPr>
      </w:pPr>
    </w:p>
    <w:p w14:paraId="2CBA8C78" w14:textId="77777777" w:rsidR="00D507EF" w:rsidRDefault="00D507EF" w:rsidP="00D507EF">
      <w:pPr>
        <w:pStyle w:val="NoSpacing"/>
        <w:rPr>
          <w:rFonts w:ascii="Arial" w:hAnsi="Arial" w:cs="Arial"/>
        </w:rPr>
      </w:pPr>
    </w:p>
    <w:p w14:paraId="0BABA453" w14:textId="77777777" w:rsidR="00D507EF" w:rsidRPr="00D92CBC" w:rsidRDefault="00D507EF" w:rsidP="00D507EF">
      <w:pPr>
        <w:pStyle w:val="Caption"/>
        <w:rPr>
          <w:rFonts w:cs="Arial"/>
          <w:i w:val="0"/>
          <w:szCs w:val="22"/>
        </w:rPr>
      </w:pPr>
      <w:r w:rsidRPr="00D92CBC">
        <w:rPr>
          <w:rFonts w:cs="Arial"/>
          <w:i w:val="0"/>
          <w:szCs w:val="22"/>
        </w:rPr>
        <w:t>Overall Quality Grade % by Site</w:t>
      </w:r>
    </w:p>
    <w:tbl>
      <w:tblPr>
        <w:tblStyle w:val="TableGrid"/>
        <w:tblW w:w="4686" w:type="pct"/>
        <w:tblInd w:w="-113" w:type="dxa"/>
        <w:tblBorders>
          <w:top w:val="single" w:sz="4" w:space="0" w:color="ADB8D7"/>
          <w:left w:val="single" w:sz="4" w:space="0" w:color="ADB8D7"/>
          <w:bottom w:val="single" w:sz="4" w:space="0" w:color="ADB8D7"/>
          <w:right w:val="single" w:sz="4" w:space="0" w:color="ADB8D7"/>
          <w:insideH w:val="single" w:sz="4" w:space="0" w:color="ADB8D7"/>
          <w:insideV w:val="single" w:sz="4" w:space="0" w:color="ADB8D7"/>
        </w:tblBorders>
        <w:tblLayout w:type="fixed"/>
        <w:tblLook w:val="04A0" w:firstRow="1" w:lastRow="0" w:firstColumn="1" w:lastColumn="0" w:noHBand="0" w:noVBand="1"/>
      </w:tblPr>
      <w:tblGrid>
        <w:gridCol w:w="1764"/>
        <w:gridCol w:w="785"/>
        <w:gridCol w:w="784"/>
        <w:gridCol w:w="784"/>
        <w:gridCol w:w="785"/>
        <w:gridCol w:w="3969"/>
      </w:tblGrid>
      <w:tr w:rsidR="00D507EF" w:rsidRPr="00D92CBC" w14:paraId="4C6C34D4" w14:textId="77777777" w:rsidTr="001D3514">
        <w:trPr>
          <w:trHeight w:val="384"/>
        </w:trPr>
        <w:tc>
          <w:tcPr>
            <w:tcW w:w="1763" w:type="dxa"/>
            <w:shd w:val="clear" w:color="auto" w:fill="3F5181"/>
            <w:noWrap/>
            <w:vAlign w:val="center"/>
            <w:hideMark/>
          </w:tcPr>
          <w:p w14:paraId="52CBC603" w14:textId="77777777" w:rsidR="00D507EF" w:rsidRPr="00D92CBC" w:rsidRDefault="00D507EF" w:rsidP="001D3514">
            <w:pPr>
              <w:pStyle w:val="tabletext"/>
              <w:rPr>
                <w:rFonts w:cs="Arial"/>
                <w:b/>
                <w:bCs/>
                <w:sz w:val="22"/>
                <w:szCs w:val="22"/>
              </w:rPr>
            </w:pPr>
            <w:r w:rsidRPr="00D92CBC">
              <w:rPr>
                <w:rFonts w:cs="Arial"/>
                <w:b/>
                <w:bCs/>
                <w:color w:val="FFFFFF" w:themeColor="background1"/>
                <w:sz w:val="22"/>
                <w:szCs w:val="22"/>
              </w:rPr>
              <w:t>Site</w:t>
            </w:r>
          </w:p>
        </w:tc>
        <w:tc>
          <w:tcPr>
            <w:tcW w:w="785" w:type="dxa"/>
            <w:shd w:val="clear" w:color="auto" w:fill="92D050"/>
            <w:noWrap/>
            <w:vAlign w:val="center"/>
            <w:hideMark/>
          </w:tcPr>
          <w:p w14:paraId="6E785454" w14:textId="77777777" w:rsidR="00D507EF" w:rsidRPr="00D92CBC" w:rsidRDefault="00D507EF" w:rsidP="001D3514">
            <w:pPr>
              <w:pStyle w:val="tabletext"/>
              <w:jc w:val="center"/>
              <w:rPr>
                <w:rFonts w:cs="Arial"/>
                <w:b/>
                <w:bCs/>
                <w:sz w:val="22"/>
                <w:szCs w:val="22"/>
              </w:rPr>
            </w:pPr>
            <w:r w:rsidRPr="00D92CBC">
              <w:rPr>
                <w:rFonts w:cs="Arial"/>
                <w:b/>
                <w:bCs/>
                <w:sz w:val="22"/>
                <w:szCs w:val="22"/>
              </w:rPr>
              <w:t>A</w:t>
            </w:r>
          </w:p>
        </w:tc>
        <w:tc>
          <w:tcPr>
            <w:tcW w:w="784" w:type="dxa"/>
            <w:shd w:val="clear" w:color="auto" w:fill="FFFF00"/>
            <w:noWrap/>
            <w:vAlign w:val="center"/>
            <w:hideMark/>
          </w:tcPr>
          <w:p w14:paraId="1948024B" w14:textId="77777777" w:rsidR="00D507EF" w:rsidRPr="00D92CBC" w:rsidRDefault="00D507EF" w:rsidP="001D3514">
            <w:pPr>
              <w:pStyle w:val="tabletext"/>
              <w:jc w:val="center"/>
              <w:rPr>
                <w:rFonts w:cs="Arial"/>
                <w:b/>
                <w:bCs/>
                <w:sz w:val="22"/>
                <w:szCs w:val="22"/>
              </w:rPr>
            </w:pPr>
            <w:r w:rsidRPr="00D92CBC">
              <w:rPr>
                <w:rFonts w:cs="Arial"/>
                <w:b/>
                <w:bCs/>
                <w:sz w:val="22"/>
                <w:szCs w:val="22"/>
              </w:rPr>
              <w:t>B</w:t>
            </w:r>
          </w:p>
        </w:tc>
        <w:tc>
          <w:tcPr>
            <w:tcW w:w="784" w:type="dxa"/>
            <w:shd w:val="clear" w:color="auto" w:fill="FFC000"/>
            <w:noWrap/>
            <w:vAlign w:val="center"/>
            <w:hideMark/>
          </w:tcPr>
          <w:p w14:paraId="7A8CC0BF" w14:textId="77777777" w:rsidR="00D507EF" w:rsidRPr="00D92CBC" w:rsidRDefault="00D507EF" w:rsidP="001D3514">
            <w:pPr>
              <w:pStyle w:val="tabletext"/>
              <w:jc w:val="center"/>
              <w:rPr>
                <w:rFonts w:cs="Arial"/>
                <w:b/>
                <w:bCs/>
                <w:sz w:val="22"/>
                <w:szCs w:val="22"/>
              </w:rPr>
            </w:pPr>
            <w:r w:rsidRPr="00D92CBC">
              <w:rPr>
                <w:rFonts w:cs="Arial"/>
                <w:b/>
                <w:bCs/>
                <w:sz w:val="22"/>
                <w:szCs w:val="22"/>
              </w:rPr>
              <w:t>C</w:t>
            </w:r>
          </w:p>
        </w:tc>
        <w:tc>
          <w:tcPr>
            <w:tcW w:w="785" w:type="dxa"/>
            <w:shd w:val="clear" w:color="auto" w:fill="FF0000"/>
            <w:noWrap/>
            <w:vAlign w:val="center"/>
            <w:hideMark/>
          </w:tcPr>
          <w:p w14:paraId="04CB66DC" w14:textId="77777777" w:rsidR="00D507EF" w:rsidRPr="00D92CBC" w:rsidRDefault="00D507EF" w:rsidP="001D3514">
            <w:pPr>
              <w:pStyle w:val="tabletext"/>
              <w:jc w:val="center"/>
              <w:rPr>
                <w:rFonts w:cs="Arial"/>
                <w:b/>
                <w:bCs/>
                <w:sz w:val="22"/>
                <w:szCs w:val="22"/>
              </w:rPr>
            </w:pPr>
            <w:r w:rsidRPr="00D92CBC">
              <w:rPr>
                <w:rFonts w:cs="Arial"/>
                <w:b/>
                <w:bCs/>
                <w:sz w:val="22"/>
                <w:szCs w:val="22"/>
              </w:rPr>
              <w:t>D</w:t>
            </w:r>
          </w:p>
        </w:tc>
        <w:tc>
          <w:tcPr>
            <w:tcW w:w="3969" w:type="dxa"/>
            <w:vMerge w:val="restart"/>
            <w:shd w:val="clear" w:color="auto" w:fill="auto"/>
            <w:vAlign w:val="center"/>
          </w:tcPr>
          <w:p w14:paraId="0A35C8FC" w14:textId="77777777" w:rsidR="00D507EF" w:rsidRPr="00D92CBC" w:rsidRDefault="00D507EF" w:rsidP="001D3514">
            <w:pPr>
              <w:pStyle w:val="tabletext"/>
              <w:jc w:val="right"/>
              <w:rPr>
                <w:rFonts w:cs="Arial"/>
                <w:b/>
                <w:bCs/>
                <w:sz w:val="22"/>
                <w:szCs w:val="22"/>
              </w:rPr>
            </w:pPr>
            <w:r w:rsidRPr="00D92CBC">
              <w:rPr>
                <w:rFonts w:cs="Arial"/>
                <w:b/>
                <w:bCs/>
                <w:noProof/>
                <w:sz w:val="22"/>
                <w:szCs w:val="22"/>
                <w:lang w:eastAsia="en-GB"/>
              </w:rPr>
              <w:drawing>
                <wp:inline distT="0" distB="0" distL="0" distR="0" wp14:anchorId="1F1FDDFD" wp14:editId="2493F333">
                  <wp:extent cx="2643839" cy="2101850"/>
                  <wp:effectExtent l="0" t="0" r="4445" b="0"/>
                  <wp:docPr id="1896152661" name="Picture 1896152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2651952" cy="2108300"/>
                          </a:xfrm>
                          <a:prstGeom prst="rect">
                            <a:avLst/>
                          </a:prstGeom>
                          <a:noFill/>
                        </pic:spPr>
                      </pic:pic>
                    </a:graphicData>
                  </a:graphic>
                </wp:inline>
              </w:drawing>
            </w:r>
          </w:p>
        </w:tc>
      </w:tr>
      <w:tr w:rsidR="00D507EF" w:rsidRPr="00D92CBC" w14:paraId="48332F0F" w14:textId="77777777" w:rsidTr="001D3514">
        <w:trPr>
          <w:trHeight w:val="384"/>
        </w:trPr>
        <w:tc>
          <w:tcPr>
            <w:tcW w:w="1763" w:type="dxa"/>
            <w:noWrap/>
            <w:vAlign w:val="center"/>
            <w:hideMark/>
          </w:tcPr>
          <w:p w14:paraId="6E337537" w14:textId="77777777" w:rsidR="00D507EF" w:rsidRPr="00D92CBC" w:rsidRDefault="00D507EF" w:rsidP="001D3514">
            <w:pPr>
              <w:pStyle w:val="tabletext"/>
              <w:rPr>
                <w:rFonts w:cs="Arial"/>
                <w:sz w:val="22"/>
                <w:szCs w:val="22"/>
              </w:rPr>
            </w:pPr>
            <w:r w:rsidRPr="00D92CBC">
              <w:rPr>
                <w:rFonts w:cs="Arial"/>
                <w:sz w:val="22"/>
                <w:szCs w:val="22"/>
              </w:rPr>
              <w:t>Cefn Coed</w:t>
            </w:r>
          </w:p>
        </w:tc>
        <w:tc>
          <w:tcPr>
            <w:tcW w:w="785" w:type="dxa"/>
            <w:noWrap/>
            <w:vAlign w:val="center"/>
          </w:tcPr>
          <w:p w14:paraId="4724B4C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4" w:type="dxa"/>
            <w:noWrap/>
            <w:vAlign w:val="center"/>
          </w:tcPr>
          <w:p w14:paraId="6637B1B8" w14:textId="77777777" w:rsidR="00D507EF" w:rsidRPr="00D92CBC" w:rsidRDefault="00D507EF" w:rsidP="001D3514">
            <w:pPr>
              <w:pStyle w:val="tabletext"/>
              <w:jc w:val="center"/>
              <w:rPr>
                <w:rFonts w:cs="Arial"/>
                <w:sz w:val="22"/>
                <w:szCs w:val="22"/>
              </w:rPr>
            </w:pPr>
            <w:r w:rsidRPr="00D92CBC">
              <w:rPr>
                <w:rFonts w:cs="Arial"/>
                <w:sz w:val="22"/>
                <w:szCs w:val="22"/>
              </w:rPr>
              <w:t>62%</w:t>
            </w:r>
          </w:p>
        </w:tc>
        <w:tc>
          <w:tcPr>
            <w:tcW w:w="784" w:type="dxa"/>
            <w:noWrap/>
            <w:vAlign w:val="center"/>
          </w:tcPr>
          <w:p w14:paraId="01A9DCFA" w14:textId="77777777" w:rsidR="00D507EF" w:rsidRPr="00D92CBC" w:rsidRDefault="00D507EF" w:rsidP="001D3514">
            <w:pPr>
              <w:pStyle w:val="tabletext"/>
              <w:jc w:val="center"/>
              <w:rPr>
                <w:rFonts w:cs="Arial"/>
                <w:sz w:val="22"/>
                <w:szCs w:val="22"/>
              </w:rPr>
            </w:pPr>
            <w:r w:rsidRPr="00D92CBC">
              <w:rPr>
                <w:rFonts w:cs="Arial"/>
                <w:sz w:val="22"/>
                <w:szCs w:val="22"/>
              </w:rPr>
              <w:t>38%</w:t>
            </w:r>
          </w:p>
        </w:tc>
        <w:tc>
          <w:tcPr>
            <w:tcW w:w="785" w:type="dxa"/>
            <w:noWrap/>
            <w:vAlign w:val="center"/>
          </w:tcPr>
          <w:p w14:paraId="6C8F235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3969" w:type="dxa"/>
            <w:vMerge/>
            <w:shd w:val="clear" w:color="auto" w:fill="auto"/>
            <w:vAlign w:val="center"/>
          </w:tcPr>
          <w:p w14:paraId="4A4B5CC8" w14:textId="77777777" w:rsidR="00D507EF" w:rsidRPr="00D92CBC" w:rsidRDefault="00D507EF" w:rsidP="001D3514">
            <w:pPr>
              <w:pStyle w:val="tabletext"/>
              <w:rPr>
                <w:rFonts w:cs="Arial"/>
                <w:sz w:val="22"/>
                <w:szCs w:val="22"/>
              </w:rPr>
            </w:pPr>
          </w:p>
        </w:tc>
      </w:tr>
      <w:tr w:rsidR="00D507EF" w:rsidRPr="00D92CBC" w14:paraId="4CF13008" w14:textId="77777777" w:rsidTr="001D3514">
        <w:trPr>
          <w:trHeight w:val="384"/>
        </w:trPr>
        <w:tc>
          <w:tcPr>
            <w:tcW w:w="1763" w:type="dxa"/>
            <w:noWrap/>
            <w:vAlign w:val="center"/>
            <w:hideMark/>
          </w:tcPr>
          <w:p w14:paraId="6EA13A72" w14:textId="77777777" w:rsidR="00D507EF" w:rsidRPr="00D92CBC" w:rsidRDefault="00D507EF" w:rsidP="001D3514">
            <w:pPr>
              <w:pStyle w:val="tabletext"/>
              <w:rPr>
                <w:rFonts w:cs="Arial"/>
                <w:sz w:val="22"/>
                <w:szCs w:val="22"/>
              </w:rPr>
            </w:pPr>
            <w:r w:rsidRPr="00D92CBC">
              <w:rPr>
                <w:rFonts w:cs="Arial"/>
                <w:sz w:val="22"/>
                <w:szCs w:val="22"/>
              </w:rPr>
              <w:t xml:space="preserve">Gorseinon </w:t>
            </w:r>
          </w:p>
        </w:tc>
        <w:tc>
          <w:tcPr>
            <w:tcW w:w="785" w:type="dxa"/>
            <w:noWrap/>
            <w:vAlign w:val="center"/>
          </w:tcPr>
          <w:p w14:paraId="3A4C2C1D"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4" w:type="dxa"/>
            <w:noWrap/>
            <w:vAlign w:val="center"/>
          </w:tcPr>
          <w:p w14:paraId="17452263" w14:textId="77777777" w:rsidR="00D507EF" w:rsidRPr="00D92CBC" w:rsidRDefault="00D507EF" w:rsidP="001D3514">
            <w:pPr>
              <w:pStyle w:val="tabletext"/>
              <w:jc w:val="center"/>
              <w:rPr>
                <w:rFonts w:cs="Arial"/>
                <w:sz w:val="22"/>
                <w:szCs w:val="22"/>
              </w:rPr>
            </w:pPr>
            <w:r w:rsidRPr="00D92CBC">
              <w:rPr>
                <w:rFonts w:cs="Arial"/>
                <w:sz w:val="22"/>
                <w:szCs w:val="22"/>
              </w:rPr>
              <w:t>96%</w:t>
            </w:r>
          </w:p>
        </w:tc>
        <w:tc>
          <w:tcPr>
            <w:tcW w:w="784" w:type="dxa"/>
            <w:noWrap/>
            <w:vAlign w:val="center"/>
          </w:tcPr>
          <w:p w14:paraId="5244FF3D"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5" w:type="dxa"/>
            <w:noWrap/>
            <w:vAlign w:val="center"/>
          </w:tcPr>
          <w:p w14:paraId="3C00A7BE" w14:textId="77777777" w:rsidR="00D507EF" w:rsidRPr="00D92CBC" w:rsidRDefault="00D507EF" w:rsidP="001D3514">
            <w:pPr>
              <w:pStyle w:val="tabletext"/>
              <w:jc w:val="center"/>
              <w:rPr>
                <w:rFonts w:cs="Arial"/>
                <w:sz w:val="22"/>
                <w:szCs w:val="22"/>
              </w:rPr>
            </w:pPr>
            <w:r w:rsidRPr="00D92CBC">
              <w:rPr>
                <w:rFonts w:cs="Arial"/>
                <w:sz w:val="22"/>
                <w:szCs w:val="22"/>
              </w:rPr>
              <w:t>4%</w:t>
            </w:r>
          </w:p>
        </w:tc>
        <w:tc>
          <w:tcPr>
            <w:tcW w:w="3969" w:type="dxa"/>
            <w:vMerge/>
            <w:shd w:val="clear" w:color="auto" w:fill="auto"/>
            <w:vAlign w:val="center"/>
          </w:tcPr>
          <w:p w14:paraId="00300309" w14:textId="77777777" w:rsidR="00D507EF" w:rsidRPr="00D92CBC" w:rsidRDefault="00D507EF" w:rsidP="001D3514">
            <w:pPr>
              <w:pStyle w:val="tabletext"/>
              <w:rPr>
                <w:rFonts w:cs="Arial"/>
                <w:sz w:val="22"/>
                <w:szCs w:val="22"/>
              </w:rPr>
            </w:pPr>
          </w:p>
        </w:tc>
      </w:tr>
      <w:tr w:rsidR="00D507EF" w:rsidRPr="00D92CBC" w14:paraId="6CFD027F" w14:textId="77777777" w:rsidTr="001D3514">
        <w:trPr>
          <w:trHeight w:val="384"/>
        </w:trPr>
        <w:tc>
          <w:tcPr>
            <w:tcW w:w="1763" w:type="dxa"/>
            <w:noWrap/>
            <w:vAlign w:val="center"/>
            <w:hideMark/>
          </w:tcPr>
          <w:p w14:paraId="5BCC92D9" w14:textId="77777777" w:rsidR="00D507EF" w:rsidRPr="00D92CBC" w:rsidRDefault="00D507EF" w:rsidP="001D3514">
            <w:pPr>
              <w:pStyle w:val="tabletext"/>
              <w:rPr>
                <w:rFonts w:cs="Arial"/>
                <w:sz w:val="22"/>
                <w:szCs w:val="22"/>
              </w:rPr>
            </w:pPr>
            <w:r w:rsidRPr="00D92CBC">
              <w:rPr>
                <w:rFonts w:cs="Arial"/>
                <w:sz w:val="22"/>
                <w:szCs w:val="22"/>
              </w:rPr>
              <w:t>Neath Port Talbot</w:t>
            </w:r>
          </w:p>
        </w:tc>
        <w:tc>
          <w:tcPr>
            <w:tcW w:w="785" w:type="dxa"/>
            <w:noWrap/>
            <w:vAlign w:val="center"/>
          </w:tcPr>
          <w:p w14:paraId="522A854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4" w:type="dxa"/>
            <w:noWrap/>
            <w:vAlign w:val="center"/>
          </w:tcPr>
          <w:p w14:paraId="44486EC1" w14:textId="77777777" w:rsidR="00D507EF" w:rsidRPr="00D92CBC" w:rsidRDefault="00D507EF" w:rsidP="001D3514">
            <w:pPr>
              <w:pStyle w:val="tabletext"/>
              <w:jc w:val="center"/>
              <w:rPr>
                <w:rFonts w:cs="Arial"/>
                <w:sz w:val="22"/>
                <w:szCs w:val="22"/>
              </w:rPr>
            </w:pPr>
            <w:r w:rsidRPr="00D92CBC">
              <w:rPr>
                <w:rFonts w:cs="Arial"/>
                <w:sz w:val="22"/>
                <w:szCs w:val="22"/>
              </w:rPr>
              <w:t>100%</w:t>
            </w:r>
          </w:p>
        </w:tc>
        <w:tc>
          <w:tcPr>
            <w:tcW w:w="784" w:type="dxa"/>
            <w:noWrap/>
            <w:vAlign w:val="center"/>
          </w:tcPr>
          <w:p w14:paraId="29CDBA28"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5" w:type="dxa"/>
            <w:noWrap/>
            <w:vAlign w:val="center"/>
          </w:tcPr>
          <w:p w14:paraId="546B546A"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3969" w:type="dxa"/>
            <w:vMerge/>
            <w:shd w:val="clear" w:color="auto" w:fill="auto"/>
            <w:vAlign w:val="center"/>
          </w:tcPr>
          <w:p w14:paraId="34925614" w14:textId="77777777" w:rsidR="00D507EF" w:rsidRPr="00D92CBC" w:rsidRDefault="00D507EF" w:rsidP="001D3514">
            <w:pPr>
              <w:pStyle w:val="tabletext"/>
              <w:rPr>
                <w:rFonts w:cs="Arial"/>
                <w:sz w:val="22"/>
                <w:szCs w:val="22"/>
              </w:rPr>
            </w:pPr>
          </w:p>
        </w:tc>
      </w:tr>
      <w:tr w:rsidR="00D507EF" w:rsidRPr="00D92CBC" w14:paraId="5A2A5290" w14:textId="77777777" w:rsidTr="001D3514">
        <w:trPr>
          <w:trHeight w:val="384"/>
        </w:trPr>
        <w:tc>
          <w:tcPr>
            <w:tcW w:w="1763" w:type="dxa"/>
            <w:noWrap/>
            <w:vAlign w:val="center"/>
            <w:hideMark/>
          </w:tcPr>
          <w:p w14:paraId="4155BC0C" w14:textId="77777777" w:rsidR="00D507EF" w:rsidRPr="00D92CBC" w:rsidRDefault="00D507EF" w:rsidP="001D3514">
            <w:pPr>
              <w:pStyle w:val="tabletext"/>
              <w:rPr>
                <w:rFonts w:cs="Arial"/>
                <w:sz w:val="22"/>
                <w:szCs w:val="22"/>
              </w:rPr>
            </w:pPr>
            <w:r w:rsidRPr="00D92CBC">
              <w:rPr>
                <w:rFonts w:cs="Arial"/>
                <w:sz w:val="22"/>
                <w:szCs w:val="22"/>
              </w:rPr>
              <w:t>Tonna</w:t>
            </w:r>
          </w:p>
        </w:tc>
        <w:tc>
          <w:tcPr>
            <w:tcW w:w="785" w:type="dxa"/>
            <w:noWrap/>
            <w:vAlign w:val="center"/>
          </w:tcPr>
          <w:p w14:paraId="111BE038"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4" w:type="dxa"/>
            <w:noWrap/>
            <w:vAlign w:val="center"/>
          </w:tcPr>
          <w:p w14:paraId="75757F3C" w14:textId="77777777" w:rsidR="00D507EF" w:rsidRPr="00D92CBC" w:rsidRDefault="00D507EF" w:rsidP="001D3514">
            <w:pPr>
              <w:pStyle w:val="tabletext"/>
              <w:jc w:val="center"/>
              <w:rPr>
                <w:rFonts w:cs="Arial"/>
                <w:sz w:val="22"/>
                <w:szCs w:val="22"/>
              </w:rPr>
            </w:pPr>
            <w:r w:rsidRPr="00D92CBC">
              <w:rPr>
                <w:rFonts w:cs="Arial"/>
                <w:sz w:val="22"/>
                <w:szCs w:val="22"/>
              </w:rPr>
              <w:t>6%</w:t>
            </w:r>
          </w:p>
        </w:tc>
        <w:tc>
          <w:tcPr>
            <w:tcW w:w="784" w:type="dxa"/>
            <w:noWrap/>
            <w:vAlign w:val="center"/>
          </w:tcPr>
          <w:p w14:paraId="379F1829" w14:textId="77777777" w:rsidR="00D507EF" w:rsidRPr="00D92CBC" w:rsidRDefault="00D507EF" w:rsidP="001D3514">
            <w:pPr>
              <w:pStyle w:val="tabletext"/>
              <w:jc w:val="center"/>
              <w:rPr>
                <w:rFonts w:cs="Arial"/>
                <w:sz w:val="22"/>
                <w:szCs w:val="22"/>
              </w:rPr>
            </w:pPr>
            <w:r w:rsidRPr="00D92CBC">
              <w:rPr>
                <w:rFonts w:cs="Arial"/>
                <w:sz w:val="22"/>
                <w:szCs w:val="22"/>
              </w:rPr>
              <w:t>94%</w:t>
            </w:r>
          </w:p>
        </w:tc>
        <w:tc>
          <w:tcPr>
            <w:tcW w:w="785" w:type="dxa"/>
            <w:noWrap/>
            <w:vAlign w:val="center"/>
          </w:tcPr>
          <w:p w14:paraId="6D6E9E01"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3969" w:type="dxa"/>
            <w:vMerge/>
            <w:shd w:val="clear" w:color="auto" w:fill="auto"/>
            <w:vAlign w:val="center"/>
          </w:tcPr>
          <w:p w14:paraId="47B086A5" w14:textId="77777777" w:rsidR="00D507EF" w:rsidRPr="00D92CBC" w:rsidRDefault="00D507EF" w:rsidP="001D3514">
            <w:pPr>
              <w:pStyle w:val="tabletext"/>
              <w:rPr>
                <w:rFonts w:cs="Arial"/>
                <w:sz w:val="22"/>
                <w:szCs w:val="22"/>
              </w:rPr>
            </w:pPr>
          </w:p>
        </w:tc>
      </w:tr>
      <w:tr w:rsidR="00D507EF" w:rsidRPr="00D92CBC" w14:paraId="636B9996" w14:textId="77777777" w:rsidTr="001D3514">
        <w:trPr>
          <w:trHeight w:val="384"/>
        </w:trPr>
        <w:tc>
          <w:tcPr>
            <w:tcW w:w="1763" w:type="dxa"/>
            <w:noWrap/>
            <w:vAlign w:val="center"/>
            <w:hideMark/>
          </w:tcPr>
          <w:p w14:paraId="24AE4A5C" w14:textId="77777777" w:rsidR="00D507EF" w:rsidRPr="00D92CBC" w:rsidRDefault="00D507EF" w:rsidP="001D3514">
            <w:pPr>
              <w:pStyle w:val="tabletext"/>
              <w:rPr>
                <w:rFonts w:cs="Arial"/>
                <w:sz w:val="22"/>
                <w:szCs w:val="22"/>
              </w:rPr>
            </w:pPr>
            <w:r w:rsidRPr="00D92CBC">
              <w:rPr>
                <w:rFonts w:cs="Arial"/>
                <w:sz w:val="22"/>
                <w:szCs w:val="22"/>
              </w:rPr>
              <w:t>Morriston</w:t>
            </w:r>
          </w:p>
        </w:tc>
        <w:tc>
          <w:tcPr>
            <w:tcW w:w="785" w:type="dxa"/>
            <w:noWrap/>
            <w:vAlign w:val="center"/>
          </w:tcPr>
          <w:p w14:paraId="4D67826A" w14:textId="77777777" w:rsidR="00D507EF" w:rsidRPr="00D92CBC" w:rsidRDefault="00D507EF" w:rsidP="001D3514">
            <w:pPr>
              <w:pStyle w:val="tabletext"/>
              <w:jc w:val="center"/>
              <w:rPr>
                <w:rFonts w:cs="Arial"/>
                <w:sz w:val="22"/>
                <w:szCs w:val="22"/>
              </w:rPr>
            </w:pPr>
            <w:r w:rsidRPr="00D92CBC">
              <w:rPr>
                <w:rFonts w:cs="Arial"/>
                <w:sz w:val="22"/>
                <w:szCs w:val="22"/>
              </w:rPr>
              <w:t>17%</w:t>
            </w:r>
          </w:p>
        </w:tc>
        <w:tc>
          <w:tcPr>
            <w:tcW w:w="784" w:type="dxa"/>
            <w:noWrap/>
            <w:vAlign w:val="center"/>
          </w:tcPr>
          <w:p w14:paraId="1702F1EE" w14:textId="77777777" w:rsidR="00D507EF" w:rsidRPr="00D92CBC" w:rsidRDefault="00D507EF" w:rsidP="001D3514">
            <w:pPr>
              <w:pStyle w:val="tabletext"/>
              <w:jc w:val="center"/>
              <w:rPr>
                <w:rFonts w:cs="Arial"/>
                <w:sz w:val="22"/>
                <w:szCs w:val="22"/>
              </w:rPr>
            </w:pPr>
            <w:r w:rsidRPr="00D92CBC">
              <w:rPr>
                <w:rFonts w:cs="Arial"/>
                <w:sz w:val="22"/>
                <w:szCs w:val="22"/>
              </w:rPr>
              <w:t>41%</w:t>
            </w:r>
          </w:p>
        </w:tc>
        <w:tc>
          <w:tcPr>
            <w:tcW w:w="784" w:type="dxa"/>
            <w:noWrap/>
            <w:vAlign w:val="center"/>
          </w:tcPr>
          <w:p w14:paraId="6707EDA2" w14:textId="77777777" w:rsidR="00D507EF" w:rsidRPr="00D92CBC" w:rsidRDefault="00D507EF" w:rsidP="001D3514">
            <w:pPr>
              <w:pStyle w:val="tabletext"/>
              <w:jc w:val="center"/>
              <w:rPr>
                <w:rFonts w:cs="Arial"/>
                <w:sz w:val="22"/>
                <w:szCs w:val="22"/>
              </w:rPr>
            </w:pPr>
            <w:r w:rsidRPr="00D92CBC">
              <w:rPr>
                <w:rFonts w:cs="Arial"/>
                <w:sz w:val="22"/>
                <w:szCs w:val="22"/>
              </w:rPr>
              <w:t>42%</w:t>
            </w:r>
          </w:p>
        </w:tc>
        <w:tc>
          <w:tcPr>
            <w:tcW w:w="785" w:type="dxa"/>
            <w:noWrap/>
            <w:vAlign w:val="center"/>
          </w:tcPr>
          <w:p w14:paraId="36344634"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3969" w:type="dxa"/>
            <w:vMerge/>
            <w:shd w:val="clear" w:color="auto" w:fill="auto"/>
            <w:vAlign w:val="center"/>
          </w:tcPr>
          <w:p w14:paraId="0E761761" w14:textId="77777777" w:rsidR="00D507EF" w:rsidRPr="00D92CBC" w:rsidRDefault="00D507EF" w:rsidP="001D3514">
            <w:pPr>
              <w:pStyle w:val="tabletext"/>
              <w:rPr>
                <w:rFonts w:cs="Arial"/>
                <w:sz w:val="22"/>
                <w:szCs w:val="22"/>
              </w:rPr>
            </w:pPr>
          </w:p>
        </w:tc>
      </w:tr>
      <w:tr w:rsidR="00D507EF" w:rsidRPr="00D92CBC" w14:paraId="349CFB7F" w14:textId="77777777" w:rsidTr="001D3514">
        <w:trPr>
          <w:trHeight w:val="384"/>
        </w:trPr>
        <w:tc>
          <w:tcPr>
            <w:tcW w:w="1763" w:type="dxa"/>
            <w:noWrap/>
            <w:vAlign w:val="center"/>
            <w:hideMark/>
          </w:tcPr>
          <w:p w14:paraId="31EFF5EC" w14:textId="77777777" w:rsidR="00D507EF" w:rsidRPr="00D92CBC" w:rsidRDefault="00D507EF" w:rsidP="001D3514">
            <w:pPr>
              <w:pStyle w:val="tabletext"/>
              <w:rPr>
                <w:rFonts w:cs="Arial"/>
                <w:sz w:val="22"/>
                <w:szCs w:val="22"/>
              </w:rPr>
            </w:pPr>
            <w:r w:rsidRPr="00D92CBC">
              <w:rPr>
                <w:rFonts w:cs="Arial"/>
                <w:sz w:val="22"/>
                <w:szCs w:val="22"/>
              </w:rPr>
              <w:t>Singleton</w:t>
            </w:r>
          </w:p>
        </w:tc>
        <w:tc>
          <w:tcPr>
            <w:tcW w:w="785" w:type="dxa"/>
            <w:noWrap/>
            <w:vAlign w:val="center"/>
          </w:tcPr>
          <w:p w14:paraId="5DBA1DD3"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784" w:type="dxa"/>
            <w:noWrap/>
            <w:vAlign w:val="center"/>
          </w:tcPr>
          <w:p w14:paraId="4816FF3E" w14:textId="77777777" w:rsidR="00D507EF" w:rsidRPr="00D92CBC" w:rsidRDefault="00D507EF" w:rsidP="001D3514">
            <w:pPr>
              <w:pStyle w:val="tabletext"/>
              <w:jc w:val="center"/>
              <w:rPr>
                <w:rFonts w:cs="Arial"/>
                <w:sz w:val="22"/>
                <w:szCs w:val="22"/>
              </w:rPr>
            </w:pPr>
            <w:r w:rsidRPr="00D92CBC">
              <w:rPr>
                <w:rFonts w:cs="Arial"/>
                <w:sz w:val="22"/>
                <w:szCs w:val="22"/>
              </w:rPr>
              <w:t>29%</w:t>
            </w:r>
          </w:p>
        </w:tc>
        <w:tc>
          <w:tcPr>
            <w:tcW w:w="784" w:type="dxa"/>
            <w:noWrap/>
            <w:vAlign w:val="center"/>
          </w:tcPr>
          <w:p w14:paraId="354AD453" w14:textId="77777777" w:rsidR="00D507EF" w:rsidRPr="00D92CBC" w:rsidRDefault="00D507EF" w:rsidP="001D3514">
            <w:pPr>
              <w:pStyle w:val="tabletext"/>
              <w:jc w:val="center"/>
              <w:rPr>
                <w:rFonts w:cs="Arial"/>
                <w:sz w:val="22"/>
                <w:szCs w:val="22"/>
              </w:rPr>
            </w:pPr>
            <w:r w:rsidRPr="00D92CBC">
              <w:rPr>
                <w:rFonts w:cs="Arial"/>
                <w:sz w:val="22"/>
                <w:szCs w:val="22"/>
              </w:rPr>
              <w:t>71%</w:t>
            </w:r>
          </w:p>
        </w:tc>
        <w:tc>
          <w:tcPr>
            <w:tcW w:w="785" w:type="dxa"/>
            <w:noWrap/>
            <w:vAlign w:val="center"/>
          </w:tcPr>
          <w:p w14:paraId="12C05616"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3969" w:type="dxa"/>
            <w:vMerge/>
            <w:shd w:val="clear" w:color="auto" w:fill="auto"/>
            <w:vAlign w:val="center"/>
          </w:tcPr>
          <w:p w14:paraId="77B34CFA" w14:textId="77777777" w:rsidR="00D507EF" w:rsidRPr="00D92CBC" w:rsidRDefault="00D507EF" w:rsidP="001D3514">
            <w:pPr>
              <w:pStyle w:val="tabletext"/>
              <w:rPr>
                <w:rFonts w:cs="Arial"/>
                <w:sz w:val="22"/>
                <w:szCs w:val="22"/>
              </w:rPr>
            </w:pPr>
          </w:p>
        </w:tc>
      </w:tr>
      <w:tr w:rsidR="00D507EF" w:rsidRPr="00D92CBC" w14:paraId="631910FA" w14:textId="77777777" w:rsidTr="001D3514">
        <w:trPr>
          <w:trHeight w:val="384"/>
        </w:trPr>
        <w:tc>
          <w:tcPr>
            <w:tcW w:w="1763" w:type="dxa"/>
            <w:shd w:val="clear" w:color="auto" w:fill="F2F2F2" w:themeFill="background1" w:themeFillShade="F2"/>
            <w:noWrap/>
            <w:vAlign w:val="center"/>
            <w:hideMark/>
          </w:tcPr>
          <w:p w14:paraId="0569078A" w14:textId="77777777" w:rsidR="00D507EF" w:rsidRPr="00D92CBC" w:rsidRDefault="00D507EF" w:rsidP="001D3514">
            <w:pPr>
              <w:pStyle w:val="tabletext"/>
              <w:spacing w:after="0"/>
              <w:rPr>
                <w:rFonts w:cs="Arial"/>
                <w:sz w:val="22"/>
                <w:szCs w:val="22"/>
              </w:rPr>
            </w:pPr>
            <w:r w:rsidRPr="00D92CBC">
              <w:rPr>
                <w:rFonts w:cs="Arial"/>
                <w:sz w:val="22"/>
                <w:szCs w:val="22"/>
              </w:rPr>
              <w:t>All sites</w:t>
            </w:r>
          </w:p>
        </w:tc>
        <w:tc>
          <w:tcPr>
            <w:tcW w:w="785" w:type="dxa"/>
            <w:shd w:val="clear" w:color="auto" w:fill="F2F2F2" w:themeFill="background1" w:themeFillShade="F2"/>
            <w:noWrap/>
            <w:vAlign w:val="center"/>
          </w:tcPr>
          <w:p w14:paraId="2952E8CA" w14:textId="77777777" w:rsidR="00D507EF" w:rsidRPr="00D92CBC" w:rsidRDefault="00D507EF" w:rsidP="001D3514">
            <w:pPr>
              <w:pStyle w:val="tabletext"/>
              <w:jc w:val="center"/>
              <w:rPr>
                <w:rFonts w:cs="Arial"/>
                <w:b/>
                <w:bCs/>
                <w:sz w:val="22"/>
                <w:szCs w:val="22"/>
              </w:rPr>
            </w:pPr>
            <w:r w:rsidRPr="00D92CBC">
              <w:rPr>
                <w:rFonts w:cs="Arial"/>
                <w:b/>
                <w:bCs/>
                <w:sz w:val="22"/>
                <w:szCs w:val="22"/>
              </w:rPr>
              <w:t>8%</w:t>
            </w:r>
          </w:p>
        </w:tc>
        <w:tc>
          <w:tcPr>
            <w:tcW w:w="784" w:type="dxa"/>
            <w:shd w:val="clear" w:color="auto" w:fill="F2F2F2" w:themeFill="background1" w:themeFillShade="F2"/>
            <w:noWrap/>
            <w:vAlign w:val="center"/>
          </w:tcPr>
          <w:p w14:paraId="6CB954F0" w14:textId="77777777" w:rsidR="00D507EF" w:rsidRPr="00D92CBC" w:rsidRDefault="00D507EF" w:rsidP="001D3514">
            <w:pPr>
              <w:pStyle w:val="tabletext"/>
              <w:jc w:val="center"/>
              <w:rPr>
                <w:rFonts w:cs="Arial"/>
                <w:b/>
                <w:bCs/>
                <w:sz w:val="22"/>
                <w:szCs w:val="22"/>
              </w:rPr>
            </w:pPr>
            <w:r w:rsidRPr="00D92CBC">
              <w:rPr>
                <w:rFonts w:cs="Arial"/>
                <w:b/>
                <w:bCs/>
                <w:sz w:val="22"/>
                <w:szCs w:val="22"/>
              </w:rPr>
              <w:t>40%</w:t>
            </w:r>
          </w:p>
        </w:tc>
        <w:tc>
          <w:tcPr>
            <w:tcW w:w="784" w:type="dxa"/>
            <w:shd w:val="clear" w:color="auto" w:fill="F2F2F2" w:themeFill="background1" w:themeFillShade="F2"/>
            <w:noWrap/>
            <w:vAlign w:val="center"/>
          </w:tcPr>
          <w:p w14:paraId="1CFC66F0" w14:textId="77777777" w:rsidR="00D507EF" w:rsidRPr="00D92CBC" w:rsidRDefault="00D507EF" w:rsidP="001D3514">
            <w:pPr>
              <w:pStyle w:val="tabletext"/>
              <w:jc w:val="center"/>
              <w:rPr>
                <w:rFonts w:cs="Arial"/>
                <w:b/>
                <w:bCs/>
                <w:sz w:val="22"/>
                <w:szCs w:val="22"/>
              </w:rPr>
            </w:pPr>
            <w:r w:rsidRPr="00D92CBC">
              <w:rPr>
                <w:rFonts w:cs="Arial"/>
                <w:b/>
                <w:bCs/>
                <w:sz w:val="22"/>
                <w:szCs w:val="22"/>
              </w:rPr>
              <w:t>52%</w:t>
            </w:r>
          </w:p>
        </w:tc>
        <w:tc>
          <w:tcPr>
            <w:tcW w:w="785" w:type="dxa"/>
            <w:shd w:val="clear" w:color="auto" w:fill="F2F2F2" w:themeFill="background1" w:themeFillShade="F2"/>
            <w:noWrap/>
            <w:vAlign w:val="center"/>
          </w:tcPr>
          <w:p w14:paraId="1A05C075" w14:textId="77777777" w:rsidR="00D507EF" w:rsidRPr="00D92CBC" w:rsidRDefault="00D507EF" w:rsidP="001D3514">
            <w:pPr>
              <w:pStyle w:val="tabletext"/>
              <w:jc w:val="center"/>
              <w:rPr>
                <w:rFonts w:cs="Arial"/>
                <w:b/>
                <w:bCs/>
                <w:sz w:val="22"/>
                <w:szCs w:val="22"/>
              </w:rPr>
            </w:pPr>
            <w:r w:rsidRPr="00D92CBC">
              <w:rPr>
                <w:rFonts w:cs="Arial"/>
                <w:b/>
                <w:bCs/>
                <w:sz w:val="22"/>
                <w:szCs w:val="22"/>
              </w:rPr>
              <w:t>0%</w:t>
            </w:r>
          </w:p>
        </w:tc>
        <w:tc>
          <w:tcPr>
            <w:tcW w:w="3969" w:type="dxa"/>
            <w:vMerge/>
            <w:shd w:val="clear" w:color="auto" w:fill="auto"/>
            <w:vAlign w:val="center"/>
          </w:tcPr>
          <w:p w14:paraId="69B515FA" w14:textId="77777777" w:rsidR="00D507EF" w:rsidRPr="00D92CBC" w:rsidRDefault="00D507EF" w:rsidP="001D3514">
            <w:pPr>
              <w:pStyle w:val="tabletext"/>
              <w:rPr>
                <w:rFonts w:cs="Arial"/>
                <w:sz w:val="22"/>
                <w:szCs w:val="22"/>
              </w:rPr>
            </w:pPr>
          </w:p>
        </w:tc>
      </w:tr>
    </w:tbl>
    <w:p w14:paraId="53AD3C02" w14:textId="77777777" w:rsidR="00D507EF" w:rsidRDefault="00D507EF" w:rsidP="00D507EF">
      <w:pPr>
        <w:jc w:val="both"/>
        <w:rPr>
          <w:rFonts w:ascii="Arial" w:hAnsi="Arial" w:cs="Arial"/>
        </w:rPr>
      </w:pPr>
    </w:p>
    <w:p w14:paraId="37E3F5DD" w14:textId="77777777" w:rsidR="00D507EF" w:rsidRPr="00D92CBC" w:rsidRDefault="00D507EF" w:rsidP="00D507EF">
      <w:pPr>
        <w:jc w:val="both"/>
        <w:rPr>
          <w:rFonts w:ascii="Arial" w:hAnsi="Arial" w:cs="Arial"/>
        </w:rPr>
      </w:pPr>
      <w:r w:rsidRPr="00D92CBC">
        <w:rPr>
          <w:rFonts w:ascii="Arial" w:hAnsi="Arial" w:cs="Arial"/>
        </w:rPr>
        <w:t xml:space="preserve">Overall, the combined Quality Grade shows that </w:t>
      </w:r>
      <w:bookmarkStart w:id="2" w:name="_Int_mq81UG8p"/>
      <w:r w:rsidRPr="00D92CBC">
        <w:rPr>
          <w:rFonts w:ascii="Arial" w:hAnsi="Arial" w:cs="Arial"/>
        </w:rPr>
        <w:t>the majority of</w:t>
      </w:r>
      <w:bookmarkEnd w:id="2"/>
      <w:r w:rsidRPr="00D92CBC">
        <w:rPr>
          <w:rFonts w:ascii="Arial" w:hAnsi="Arial" w:cs="Arial"/>
        </w:rPr>
        <w:t xml:space="preserve"> the estate requires capital investment and 40% of the rest of the estate requires maintenance. Morriston is the only site that has a small proportion of the site being in an excellent condition and Tonna / </w:t>
      </w:r>
      <w:r w:rsidRPr="00AE2D39">
        <w:rPr>
          <w:rFonts w:ascii="Arial" w:hAnsi="Arial" w:cs="Arial"/>
          <w:b/>
        </w:rPr>
        <w:t>Singleton</w:t>
      </w:r>
      <w:r w:rsidRPr="00D92CBC">
        <w:rPr>
          <w:rFonts w:ascii="Arial" w:hAnsi="Arial" w:cs="Arial"/>
        </w:rPr>
        <w:t xml:space="preserve"> Hospitals have the highest amount of their estate requiring maintenance.</w:t>
      </w:r>
    </w:p>
    <w:p w14:paraId="3F5BF0A8" w14:textId="77777777" w:rsidR="00D507EF" w:rsidRPr="00D92CBC" w:rsidRDefault="00D507EF" w:rsidP="00D507EF">
      <w:pPr>
        <w:pStyle w:val="NoSpacing"/>
        <w:rPr>
          <w:rFonts w:ascii="Arial" w:hAnsi="Arial" w:cs="Arial"/>
        </w:rPr>
      </w:pPr>
    </w:p>
    <w:p w14:paraId="452C40E9" w14:textId="7777777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t>Facet 5 – Statutory Compliance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
        <w:gridCol w:w="4583"/>
        <w:gridCol w:w="413"/>
        <w:gridCol w:w="3543"/>
      </w:tblGrid>
      <w:tr w:rsidR="00D507EF" w:rsidRPr="00D92CBC" w14:paraId="2FAF8AEB" w14:textId="77777777" w:rsidTr="001D3514">
        <w:tc>
          <w:tcPr>
            <w:tcW w:w="379" w:type="dxa"/>
            <w:shd w:val="clear" w:color="auto" w:fill="92D050"/>
          </w:tcPr>
          <w:p w14:paraId="4DC3095A" w14:textId="77777777" w:rsidR="00D507EF" w:rsidRPr="00D92CBC" w:rsidRDefault="00D507EF" w:rsidP="001D3514">
            <w:pPr>
              <w:pStyle w:val="tabletext"/>
              <w:jc w:val="center"/>
              <w:rPr>
                <w:rFonts w:cs="Arial"/>
                <w:b/>
                <w:bCs/>
                <w:color w:val="FFFFFF" w:themeColor="background1"/>
                <w:sz w:val="22"/>
                <w:szCs w:val="22"/>
              </w:rPr>
            </w:pPr>
            <w:r w:rsidRPr="00D92CBC">
              <w:rPr>
                <w:rFonts w:cs="Arial"/>
                <w:b/>
                <w:bCs/>
                <w:color w:val="FFFFFF" w:themeColor="background1"/>
                <w:sz w:val="22"/>
                <w:szCs w:val="22"/>
              </w:rPr>
              <w:t>A</w:t>
            </w:r>
          </w:p>
        </w:tc>
        <w:tc>
          <w:tcPr>
            <w:tcW w:w="4583" w:type="dxa"/>
          </w:tcPr>
          <w:p w14:paraId="4E4AB250" w14:textId="77777777" w:rsidR="00D507EF" w:rsidRPr="00D92CBC" w:rsidRDefault="00D507EF" w:rsidP="001D3514">
            <w:pPr>
              <w:pStyle w:val="tabletext"/>
              <w:rPr>
                <w:rFonts w:cs="Arial"/>
                <w:sz w:val="22"/>
                <w:szCs w:val="22"/>
              </w:rPr>
            </w:pPr>
            <w:r w:rsidRPr="00D92CBC">
              <w:rPr>
                <w:rFonts w:cs="Arial"/>
                <w:sz w:val="22"/>
                <w:szCs w:val="22"/>
              </w:rPr>
              <w:t>Very satisfactory, no change needed</w:t>
            </w:r>
          </w:p>
        </w:tc>
        <w:tc>
          <w:tcPr>
            <w:tcW w:w="413" w:type="dxa"/>
            <w:shd w:val="clear" w:color="auto" w:fill="FFC000"/>
          </w:tcPr>
          <w:p w14:paraId="22A78121" w14:textId="77777777" w:rsidR="00D507EF" w:rsidRPr="00D92CBC" w:rsidRDefault="00D507EF" w:rsidP="001D3514">
            <w:pPr>
              <w:pStyle w:val="tabletext"/>
              <w:rPr>
                <w:rFonts w:cs="Arial"/>
                <w:sz w:val="22"/>
                <w:szCs w:val="22"/>
              </w:rPr>
            </w:pPr>
            <w:r w:rsidRPr="00D92CBC">
              <w:rPr>
                <w:rFonts w:cs="Arial"/>
                <w:sz w:val="22"/>
                <w:szCs w:val="22"/>
              </w:rPr>
              <w:t>C</w:t>
            </w:r>
          </w:p>
        </w:tc>
        <w:tc>
          <w:tcPr>
            <w:tcW w:w="3543" w:type="dxa"/>
          </w:tcPr>
          <w:p w14:paraId="0F118F35" w14:textId="77777777" w:rsidR="00D507EF" w:rsidRPr="00D92CBC" w:rsidRDefault="00D507EF" w:rsidP="001D3514">
            <w:pPr>
              <w:pStyle w:val="tabletext"/>
              <w:rPr>
                <w:rFonts w:cs="Arial"/>
                <w:sz w:val="22"/>
                <w:szCs w:val="22"/>
              </w:rPr>
            </w:pPr>
            <w:r w:rsidRPr="00D92CBC">
              <w:rPr>
                <w:rFonts w:cs="Arial"/>
                <w:sz w:val="22"/>
                <w:szCs w:val="22"/>
              </w:rPr>
              <w:t>Not satisfactory, change needed</w:t>
            </w:r>
          </w:p>
        </w:tc>
      </w:tr>
      <w:tr w:rsidR="00D507EF" w:rsidRPr="00D92CBC" w14:paraId="12B0E3E9" w14:textId="77777777" w:rsidTr="001D3514">
        <w:tc>
          <w:tcPr>
            <w:tcW w:w="379" w:type="dxa"/>
            <w:shd w:val="clear" w:color="auto" w:fill="FFFF00"/>
          </w:tcPr>
          <w:p w14:paraId="7C7128B7" w14:textId="77777777" w:rsidR="00D507EF" w:rsidRPr="00D92CBC" w:rsidRDefault="00D507EF" w:rsidP="001D3514">
            <w:pPr>
              <w:pStyle w:val="tabletext"/>
              <w:jc w:val="center"/>
              <w:rPr>
                <w:rFonts w:cs="Arial"/>
                <w:sz w:val="22"/>
                <w:szCs w:val="22"/>
              </w:rPr>
            </w:pPr>
            <w:r w:rsidRPr="00D92CBC">
              <w:rPr>
                <w:rFonts w:cs="Arial"/>
                <w:sz w:val="22"/>
                <w:szCs w:val="22"/>
              </w:rPr>
              <w:t>B</w:t>
            </w:r>
          </w:p>
        </w:tc>
        <w:tc>
          <w:tcPr>
            <w:tcW w:w="4583" w:type="dxa"/>
          </w:tcPr>
          <w:p w14:paraId="1C340266" w14:textId="77777777" w:rsidR="00D507EF" w:rsidRPr="00D92CBC" w:rsidRDefault="00D507EF" w:rsidP="001D3514">
            <w:pPr>
              <w:pStyle w:val="tabletext"/>
              <w:rPr>
                <w:rFonts w:cs="Arial"/>
                <w:sz w:val="22"/>
                <w:szCs w:val="22"/>
              </w:rPr>
            </w:pPr>
            <w:r w:rsidRPr="00D92CBC">
              <w:rPr>
                <w:rFonts w:cs="Arial"/>
                <w:sz w:val="22"/>
                <w:szCs w:val="22"/>
              </w:rPr>
              <w:t>Satisfactory, no change needed</w:t>
            </w:r>
          </w:p>
        </w:tc>
        <w:tc>
          <w:tcPr>
            <w:tcW w:w="413" w:type="dxa"/>
            <w:shd w:val="clear" w:color="auto" w:fill="FF0000"/>
          </w:tcPr>
          <w:p w14:paraId="124CB7BB" w14:textId="77777777" w:rsidR="00D507EF" w:rsidRPr="00D92CBC" w:rsidRDefault="00D507EF" w:rsidP="001D3514">
            <w:pPr>
              <w:pStyle w:val="tabletext"/>
              <w:rPr>
                <w:rFonts w:cs="Arial"/>
                <w:sz w:val="22"/>
                <w:szCs w:val="22"/>
              </w:rPr>
            </w:pPr>
            <w:r w:rsidRPr="00D92CBC">
              <w:rPr>
                <w:rFonts w:cs="Arial"/>
                <w:b/>
                <w:bCs/>
                <w:color w:val="FFFFFF" w:themeColor="background1"/>
                <w:sz w:val="22"/>
                <w:szCs w:val="22"/>
              </w:rPr>
              <w:t>D</w:t>
            </w:r>
          </w:p>
        </w:tc>
        <w:tc>
          <w:tcPr>
            <w:tcW w:w="3543" w:type="dxa"/>
          </w:tcPr>
          <w:p w14:paraId="24314F03" w14:textId="77777777" w:rsidR="00D507EF" w:rsidRPr="00D92CBC" w:rsidRDefault="00D507EF" w:rsidP="001D3514">
            <w:pPr>
              <w:pStyle w:val="tabletext"/>
              <w:rPr>
                <w:rFonts w:cs="Arial"/>
                <w:sz w:val="22"/>
                <w:szCs w:val="22"/>
              </w:rPr>
            </w:pPr>
            <w:r w:rsidRPr="00D92CBC">
              <w:rPr>
                <w:rFonts w:cs="Arial"/>
                <w:sz w:val="22"/>
                <w:szCs w:val="22"/>
              </w:rPr>
              <w:t>Unacceptable</w:t>
            </w:r>
          </w:p>
        </w:tc>
      </w:tr>
    </w:tbl>
    <w:p w14:paraId="27240F81" w14:textId="77777777" w:rsidR="00D507EF" w:rsidRPr="00D92CBC" w:rsidRDefault="00D507EF" w:rsidP="00D507EF">
      <w:pPr>
        <w:rPr>
          <w:rFonts w:ascii="Arial" w:hAnsi="Arial" w:cs="Arial"/>
        </w:rPr>
      </w:pPr>
    </w:p>
    <w:p w14:paraId="2D7381A2" w14:textId="77777777" w:rsidR="00D507EF" w:rsidRPr="00D92CBC" w:rsidRDefault="00D507EF" w:rsidP="00D507EF">
      <w:pPr>
        <w:pStyle w:val="Caption"/>
        <w:rPr>
          <w:rFonts w:cs="Arial"/>
          <w:i w:val="0"/>
          <w:szCs w:val="22"/>
        </w:rPr>
      </w:pPr>
      <w:r w:rsidRPr="00D92CBC">
        <w:rPr>
          <w:rFonts w:cs="Arial"/>
          <w:i w:val="0"/>
          <w:szCs w:val="22"/>
        </w:rPr>
        <w:t>Overall Statutory Compliance Grade % by Site</w:t>
      </w:r>
    </w:p>
    <w:tbl>
      <w:tblPr>
        <w:tblStyle w:val="TableGrid"/>
        <w:tblW w:w="5100" w:type="pct"/>
        <w:tblInd w:w="-113" w:type="dxa"/>
        <w:tblBorders>
          <w:top w:val="single" w:sz="4" w:space="0" w:color="ADB8D7"/>
          <w:left w:val="single" w:sz="4" w:space="0" w:color="ADB8D7"/>
          <w:bottom w:val="single" w:sz="4" w:space="0" w:color="ADB8D7"/>
          <w:right w:val="single" w:sz="4" w:space="0" w:color="ADB8D7"/>
          <w:insideH w:val="single" w:sz="4" w:space="0" w:color="ADB8D7"/>
          <w:insideV w:val="single" w:sz="4" w:space="0" w:color="ADB8D7"/>
        </w:tblBorders>
        <w:tblLayout w:type="fixed"/>
        <w:tblLook w:val="04A0" w:firstRow="1" w:lastRow="0" w:firstColumn="1" w:lastColumn="0" w:noHBand="0" w:noVBand="1"/>
      </w:tblPr>
      <w:tblGrid>
        <w:gridCol w:w="1918"/>
        <w:gridCol w:w="855"/>
        <w:gridCol w:w="854"/>
        <w:gridCol w:w="854"/>
        <w:gridCol w:w="855"/>
        <w:gridCol w:w="4318"/>
      </w:tblGrid>
      <w:tr w:rsidR="00D507EF" w:rsidRPr="00D92CBC" w14:paraId="731DE228" w14:textId="77777777" w:rsidTr="001D3514">
        <w:trPr>
          <w:trHeight w:val="463"/>
        </w:trPr>
        <w:tc>
          <w:tcPr>
            <w:tcW w:w="1951" w:type="dxa"/>
            <w:shd w:val="clear" w:color="auto" w:fill="3F5181"/>
            <w:noWrap/>
            <w:vAlign w:val="center"/>
            <w:hideMark/>
          </w:tcPr>
          <w:p w14:paraId="4340FF6A" w14:textId="77777777" w:rsidR="00D507EF" w:rsidRPr="00D92CBC" w:rsidRDefault="00D507EF" w:rsidP="001D3514">
            <w:pPr>
              <w:pStyle w:val="tabletext"/>
              <w:rPr>
                <w:rFonts w:cs="Arial"/>
                <w:b/>
                <w:bCs/>
                <w:sz w:val="22"/>
                <w:szCs w:val="22"/>
              </w:rPr>
            </w:pPr>
            <w:r w:rsidRPr="00D92CBC">
              <w:rPr>
                <w:rFonts w:cs="Arial"/>
                <w:b/>
                <w:bCs/>
                <w:color w:val="FFFFFF" w:themeColor="background1"/>
                <w:sz w:val="22"/>
                <w:szCs w:val="22"/>
              </w:rPr>
              <w:t>Site</w:t>
            </w:r>
          </w:p>
        </w:tc>
        <w:tc>
          <w:tcPr>
            <w:tcW w:w="867" w:type="dxa"/>
            <w:shd w:val="clear" w:color="auto" w:fill="92D050"/>
            <w:noWrap/>
            <w:vAlign w:val="center"/>
            <w:hideMark/>
          </w:tcPr>
          <w:p w14:paraId="2F935E00" w14:textId="77777777" w:rsidR="00D507EF" w:rsidRPr="00D92CBC" w:rsidRDefault="00D507EF" w:rsidP="001D3514">
            <w:pPr>
              <w:pStyle w:val="tabletext"/>
              <w:jc w:val="center"/>
              <w:rPr>
                <w:rFonts w:cs="Arial"/>
                <w:b/>
                <w:bCs/>
                <w:sz w:val="22"/>
                <w:szCs w:val="22"/>
              </w:rPr>
            </w:pPr>
            <w:r w:rsidRPr="00D92CBC">
              <w:rPr>
                <w:rFonts w:cs="Arial"/>
                <w:b/>
                <w:bCs/>
                <w:sz w:val="22"/>
                <w:szCs w:val="22"/>
              </w:rPr>
              <w:t>A</w:t>
            </w:r>
          </w:p>
        </w:tc>
        <w:tc>
          <w:tcPr>
            <w:tcW w:w="867" w:type="dxa"/>
            <w:shd w:val="clear" w:color="auto" w:fill="FFFF00"/>
            <w:noWrap/>
            <w:vAlign w:val="center"/>
            <w:hideMark/>
          </w:tcPr>
          <w:p w14:paraId="4389ED55" w14:textId="77777777" w:rsidR="00D507EF" w:rsidRPr="00D92CBC" w:rsidRDefault="00D507EF" w:rsidP="001D3514">
            <w:pPr>
              <w:pStyle w:val="tabletext"/>
              <w:jc w:val="center"/>
              <w:rPr>
                <w:rFonts w:cs="Arial"/>
                <w:b/>
                <w:bCs/>
                <w:sz w:val="22"/>
                <w:szCs w:val="22"/>
              </w:rPr>
            </w:pPr>
            <w:r w:rsidRPr="00D92CBC">
              <w:rPr>
                <w:rFonts w:cs="Arial"/>
                <w:b/>
                <w:bCs/>
                <w:sz w:val="22"/>
                <w:szCs w:val="22"/>
              </w:rPr>
              <w:t>B</w:t>
            </w:r>
          </w:p>
        </w:tc>
        <w:tc>
          <w:tcPr>
            <w:tcW w:w="867" w:type="dxa"/>
            <w:shd w:val="clear" w:color="auto" w:fill="FFC000"/>
            <w:noWrap/>
            <w:vAlign w:val="center"/>
            <w:hideMark/>
          </w:tcPr>
          <w:p w14:paraId="1D62ACB9" w14:textId="77777777" w:rsidR="00D507EF" w:rsidRPr="00D92CBC" w:rsidRDefault="00D507EF" w:rsidP="001D3514">
            <w:pPr>
              <w:pStyle w:val="tabletext"/>
              <w:jc w:val="center"/>
              <w:rPr>
                <w:rFonts w:cs="Arial"/>
                <w:b/>
                <w:bCs/>
                <w:sz w:val="22"/>
                <w:szCs w:val="22"/>
              </w:rPr>
            </w:pPr>
            <w:r w:rsidRPr="00D92CBC">
              <w:rPr>
                <w:rFonts w:cs="Arial"/>
                <w:b/>
                <w:bCs/>
                <w:sz w:val="22"/>
                <w:szCs w:val="22"/>
              </w:rPr>
              <w:t>C</w:t>
            </w:r>
          </w:p>
        </w:tc>
        <w:tc>
          <w:tcPr>
            <w:tcW w:w="868" w:type="dxa"/>
            <w:shd w:val="clear" w:color="auto" w:fill="FF0000"/>
            <w:noWrap/>
            <w:vAlign w:val="center"/>
            <w:hideMark/>
          </w:tcPr>
          <w:p w14:paraId="6D88FCB0" w14:textId="77777777" w:rsidR="00D507EF" w:rsidRPr="00D92CBC" w:rsidRDefault="00D507EF" w:rsidP="001D3514">
            <w:pPr>
              <w:pStyle w:val="tabletext"/>
              <w:jc w:val="center"/>
              <w:rPr>
                <w:rFonts w:cs="Arial"/>
                <w:b/>
                <w:bCs/>
                <w:sz w:val="22"/>
                <w:szCs w:val="22"/>
              </w:rPr>
            </w:pPr>
            <w:r w:rsidRPr="00D92CBC">
              <w:rPr>
                <w:rFonts w:cs="Arial"/>
                <w:b/>
                <w:bCs/>
                <w:sz w:val="22"/>
                <w:szCs w:val="22"/>
              </w:rPr>
              <w:t>D</w:t>
            </w:r>
          </w:p>
        </w:tc>
        <w:tc>
          <w:tcPr>
            <w:tcW w:w="4401" w:type="dxa"/>
            <w:vMerge w:val="restart"/>
            <w:shd w:val="clear" w:color="auto" w:fill="auto"/>
            <w:vAlign w:val="center"/>
          </w:tcPr>
          <w:p w14:paraId="3B52D0B7" w14:textId="77777777" w:rsidR="00D507EF" w:rsidRPr="00D92CBC" w:rsidRDefault="00D507EF" w:rsidP="001D3514">
            <w:pPr>
              <w:pStyle w:val="tabletext"/>
              <w:jc w:val="right"/>
              <w:rPr>
                <w:rFonts w:cs="Arial"/>
                <w:b/>
                <w:bCs/>
                <w:sz w:val="22"/>
                <w:szCs w:val="22"/>
              </w:rPr>
            </w:pPr>
            <w:r w:rsidRPr="00D92CBC">
              <w:rPr>
                <w:rFonts w:cs="Arial"/>
                <w:b/>
                <w:bCs/>
                <w:noProof/>
                <w:sz w:val="22"/>
                <w:szCs w:val="22"/>
                <w:lang w:eastAsia="en-GB"/>
              </w:rPr>
              <w:drawing>
                <wp:inline distT="0" distB="0" distL="0" distR="0" wp14:anchorId="5AE5BF85" wp14:editId="3AF142E9">
                  <wp:extent cx="2670175" cy="2316480"/>
                  <wp:effectExtent l="0" t="0" r="0" b="7620"/>
                  <wp:docPr id="1896152663" name="Picture 1896152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a:ext>
                            </a:extLst>
                          </a:blip>
                          <a:srcRect/>
                          <a:stretch>
                            <a:fillRect/>
                          </a:stretch>
                        </pic:blipFill>
                        <pic:spPr bwMode="auto">
                          <a:xfrm>
                            <a:off x="0" y="0"/>
                            <a:ext cx="2670175" cy="2316480"/>
                          </a:xfrm>
                          <a:prstGeom prst="rect">
                            <a:avLst/>
                          </a:prstGeom>
                          <a:noFill/>
                        </pic:spPr>
                      </pic:pic>
                    </a:graphicData>
                  </a:graphic>
                </wp:inline>
              </w:drawing>
            </w:r>
          </w:p>
        </w:tc>
      </w:tr>
      <w:tr w:rsidR="00D507EF" w:rsidRPr="00D92CBC" w14:paraId="0D7933E0" w14:textId="77777777" w:rsidTr="001D3514">
        <w:trPr>
          <w:trHeight w:val="464"/>
        </w:trPr>
        <w:tc>
          <w:tcPr>
            <w:tcW w:w="1951" w:type="dxa"/>
            <w:noWrap/>
            <w:vAlign w:val="center"/>
            <w:hideMark/>
          </w:tcPr>
          <w:p w14:paraId="5C7A0507" w14:textId="77777777" w:rsidR="00D507EF" w:rsidRPr="00D92CBC" w:rsidRDefault="00D507EF" w:rsidP="001D3514">
            <w:pPr>
              <w:pStyle w:val="tabletext"/>
              <w:rPr>
                <w:rFonts w:cs="Arial"/>
                <w:sz w:val="22"/>
                <w:szCs w:val="22"/>
              </w:rPr>
            </w:pPr>
            <w:r w:rsidRPr="00D92CBC">
              <w:rPr>
                <w:rFonts w:cs="Arial"/>
                <w:sz w:val="22"/>
                <w:szCs w:val="22"/>
              </w:rPr>
              <w:t>Cefn Coed</w:t>
            </w:r>
          </w:p>
        </w:tc>
        <w:tc>
          <w:tcPr>
            <w:tcW w:w="867" w:type="dxa"/>
            <w:noWrap/>
            <w:vAlign w:val="center"/>
          </w:tcPr>
          <w:p w14:paraId="501FB7F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6BE1FB3D" w14:textId="77777777" w:rsidR="00D507EF" w:rsidRPr="00D92CBC" w:rsidRDefault="00D507EF" w:rsidP="001D3514">
            <w:pPr>
              <w:pStyle w:val="tabletext"/>
              <w:jc w:val="center"/>
              <w:rPr>
                <w:rFonts w:cs="Arial"/>
                <w:sz w:val="22"/>
                <w:szCs w:val="22"/>
              </w:rPr>
            </w:pPr>
            <w:r w:rsidRPr="00D92CBC">
              <w:rPr>
                <w:rFonts w:cs="Arial"/>
                <w:sz w:val="22"/>
                <w:szCs w:val="22"/>
              </w:rPr>
              <w:t>62%</w:t>
            </w:r>
          </w:p>
        </w:tc>
        <w:tc>
          <w:tcPr>
            <w:tcW w:w="867" w:type="dxa"/>
            <w:noWrap/>
            <w:vAlign w:val="center"/>
          </w:tcPr>
          <w:p w14:paraId="577031F1" w14:textId="77777777" w:rsidR="00D507EF" w:rsidRPr="00D92CBC" w:rsidRDefault="00D507EF" w:rsidP="001D3514">
            <w:pPr>
              <w:pStyle w:val="tabletext"/>
              <w:jc w:val="center"/>
              <w:rPr>
                <w:rFonts w:cs="Arial"/>
                <w:sz w:val="22"/>
                <w:szCs w:val="22"/>
              </w:rPr>
            </w:pPr>
            <w:r w:rsidRPr="00D92CBC">
              <w:rPr>
                <w:rFonts w:cs="Arial"/>
                <w:sz w:val="22"/>
                <w:szCs w:val="22"/>
              </w:rPr>
              <w:t>38%</w:t>
            </w:r>
          </w:p>
        </w:tc>
        <w:tc>
          <w:tcPr>
            <w:tcW w:w="868" w:type="dxa"/>
            <w:noWrap/>
            <w:vAlign w:val="center"/>
          </w:tcPr>
          <w:p w14:paraId="0638E237"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4F4B0E87" w14:textId="77777777" w:rsidR="00D507EF" w:rsidRPr="00D92CBC" w:rsidRDefault="00D507EF" w:rsidP="001D3514">
            <w:pPr>
              <w:pStyle w:val="tabletext"/>
              <w:rPr>
                <w:rFonts w:cs="Arial"/>
                <w:sz w:val="22"/>
                <w:szCs w:val="22"/>
              </w:rPr>
            </w:pPr>
          </w:p>
        </w:tc>
      </w:tr>
      <w:tr w:rsidR="00D507EF" w:rsidRPr="00D92CBC" w14:paraId="3562A64A" w14:textId="77777777" w:rsidTr="001D3514">
        <w:trPr>
          <w:trHeight w:val="464"/>
        </w:trPr>
        <w:tc>
          <w:tcPr>
            <w:tcW w:w="1951" w:type="dxa"/>
            <w:noWrap/>
            <w:vAlign w:val="center"/>
            <w:hideMark/>
          </w:tcPr>
          <w:p w14:paraId="7DC7E240" w14:textId="77777777" w:rsidR="00D507EF" w:rsidRPr="00D92CBC" w:rsidRDefault="00D507EF" w:rsidP="001D3514">
            <w:pPr>
              <w:pStyle w:val="tabletext"/>
              <w:rPr>
                <w:rFonts w:cs="Arial"/>
                <w:sz w:val="22"/>
                <w:szCs w:val="22"/>
              </w:rPr>
            </w:pPr>
            <w:r w:rsidRPr="00D92CBC">
              <w:rPr>
                <w:rFonts w:cs="Arial"/>
                <w:sz w:val="22"/>
                <w:szCs w:val="22"/>
              </w:rPr>
              <w:t xml:space="preserve">Gorseinon </w:t>
            </w:r>
          </w:p>
        </w:tc>
        <w:tc>
          <w:tcPr>
            <w:tcW w:w="867" w:type="dxa"/>
            <w:noWrap/>
            <w:vAlign w:val="center"/>
          </w:tcPr>
          <w:p w14:paraId="783FB532"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3F173A6C" w14:textId="77777777" w:rsidR="00D507EF" w:rsidRPr="00D92CBC" w:rsidRDefault="00D507EF" w:rsidP="001D3514">
            <w:pPr>
              <w:pStyle w:val="tabletext"/>
              <w:jc w:val="center"/>
              <w:rPr>
                <w:rFonts w:cs="Arial"/>
                <w:sz w:val="22"/>
                <w:szCs w:val="22"/>
              </w:rPr>
            </w:pPr>
            <w:r w:rsidRPr="00D92CBC">
              <w:rPr>
                <w:rFonts w:cs="Arial"/>
                <w:sz w:val="22"/>
                <w:szCs w:val="22"/>
              </w:rPr>
              <w:t>11%</w:t>
            </w:r>
          </w:p>
        </w:tc>
        <w:tc>
          <w:tcPr>
            <w:tcW w:w="867" w:type="dxa"/>
            <w:noWrap/>
            <w:vAlign w:val="center"/>
          </w:tcPr>
          <w:p w14:paraId="7929136D" w14:textId="77777777" w:rsidR="00D507EF" w:rsidRPr="00D92CBC" w:rsidRDefault="00D507EF" w:rsidP="001D3514">
            <w:pPr>
              <w:pStyle w:val="tabletext"/>
              <w:jc w:val="center"/>
              <w:rPr>
                <w:rFonts w:cs="Arial"/>
                <w:sz w:val="22"/>
                <w:szCs w:val="22"/>
              </w:rPr>
            </w:pPr>
            <w:r w:rsidRPr="00D92CBC">
              <w:rPr>
                <w:rFonts w:cs="Arial"/>
                <w:sz w:val="22"/>
                <w:szCs w:val="22"/>
              </w:rPr>
              <w:t>85%</w:t>
            </w:r>
          </w:p>
        </w:tc>
        <w:tc>
          <w:tcPr>
            <w:tcW w:w="868" w:type="dxa"/>
            <w:noWrap/>
            <w:vAlign w:val="center"/>
          </w:tcPr>
          <w:p w14:paraId="37DB46C4" w14:textId="77777777" w:rsidR="00D507EF" w:rsidRPr="00D92CBC" w:rsidRDefault="00D507EF" w:rsidP="001D3514">
            <w:pPr>
              <w:pStyle w:val="tabletext"/>
              <w:jc w:val="center"/>
              <w:rPr>
                <w:rFonts w:cs="Arial"/>
                <w:sz w:val="22"/>
                <w:szCs w:val="22"/>
              </w:rPr>
            </w:pPr>
            <w:r w:rsidRPr="00D92CBC">
              <w:rPr>
                <w:rFonts w:cs="Arial"/>
                <w:sz w:val="22"/>
                <w:szCs w:val="22"/>
              </w:rPr>
              <w:t>4%</w:t>
            </w:r>
          </w:p>
        </w:tc>
        <w:tc>
          <w:tcPr>
            <w:tcW w:w="4401" w:type="dxa"/>
            <w:vMerge/>
            <w:shd w:val="clear" w:color="auto" w:fill="auto"/>
            <w:vAlign w:val="center"/>
          </w:tcPr>
          <w:p w14:paraId="7236A4F1" w14:textId="77777777" w:rsidR="00D507EF" w:rsidRPr="00D92CBC" w:rsidRDefault="00D507EF" w:rsidP="001D3514">
            <w:pPr>
              <w:pStyle w:val="tabletext"/>
              <w:rPr>
                <w:rFonts w:cs="Arial"/>
                <w:sz w:val="22"/>
                <w:szCs w:val="22"/>
              </w:rPr>
            </w:pPr>
          </w:p>
        </w:tc>
      </w:tr>
      <w:tr w:rsidR="00D507EF" w:rsidRPr="00D92CBC" w14:paraId="132E7851" w14:textId="77777777" w:rsidTr="001D3514">
        <w:trPr>
          <w:trHeight w:val="464"/>
        </w:trPr>
        <w:tc>
          <w:tcPr>
            <w:tcW w:w="1951" w:type="dxa"/>
            <w:noWrap/>
            <w:vAlign w:val="center"/>
            <w:hideMark/>
          </w:tcPr>
          <w:p w14:paraId="24923EB9" w14:textId="77777777" w:rsidR="00D507EF" w:rsidRPr="00D92CBC" w:rsidRDefault="00D507EF" w:rsidP="001D3514">
            <w:pPr>
              <w:pStyle w:val="tabletext"/>
              <w:rPr>
                <w:rFonts w:cs="Arial"/>
                <w:sz w:val="22"/>
                <w:szCs w:val="22"/>
              </w:rPr>
            </w:pPr>
            <w:r w:rsidRPr="00D92CBC">
              <w:rPr>
                <w:rFonts w:cs="Arial"/>
                <w:sz w:val="22"/>
                <w:szCs w:val="22"/>
              </w:rPr>
              <w:t>Neath Port Talbot</w:t>
            </w:r>
          </w:p>
        </w:tc>
        <w:tc>
          <w:tcPr>
            <w:tcW w:w="867" w:type="dxa"/>
            <w:noWrap/>
            <w:vAlign w:val="center"/>
          </w:tcPr>
          <w:p w14:paraId="197D10E2"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6DFD6120" w14:textId="77777777" w:rsidR="00D507EF" w:rsidRPr="00D92CBC" w:rsidRDefault="00D507EF" w:rsidP="001D3514">
            <w:pPr>
              <w:pStyle w:val="tabletext"/>
              <w:jc w:val="center"/>
              <w:rPr>
                <w:rFonts w:cs="Arial"/>
                <w:sz w:val="22"/>
                <w:szCs w:val="22"/>
              </w:rPr>
            </w:pPr>
            <w:r w:rsidRPr="00D92CBC">
              <w:rPr>
                <w:rFonts w:cs="Arial"/>
                <w:sz w:val="22"/>
                <w:szCs w:val="22"/>
              </w:rPr>
              <w:t>100%</w:t>
            </w:r>
          </w:p>
        </w:tc>
        <w:tc>
          <w:tcPr>
            <w:tcW w:w="867" w:type="dxa"/>
            <w:noWrap/>
            <w:vAlign w:val="center"/>
          </w:tcPr>
          <w:p w14:paraId="2C83FD37"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8" w:type="dxa"/>
            <w:noWrap/>
            <w:vAlign w:val="center"/>
          </w:tcPr>
          <w:p w14:paraId="5E95F2B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398DE246" w14:textId="77777777" w:rsidR="00D507EF" w:rsidRPr="00D92CBC" w:rsidRDefault="00D507EF" w:rsidP="001D3514">
            <w:pPr>
              <w:pStyle w:val="tabletext"/>
              <w:rPr>
                <w:rFonts w:cs="Arial"/>
                <w:sz w:val="22"/>
                <w:szCs w:val="22"/>
              </w:rPr>
            </w:pPr>
          </w:p>
        </w:tc>
      </w:tr>
      <w:tr w:rsidR="00D507EF" w:rsidRPr="00D92CBC" w14:paraId="07961936" w14:textId="77777777" w:rsidTr="001D3514">
        <w:trPr>
          <w:trHeight w:val="463"/>
        </w:trPr>
        <w:tc>
          <w:tcPr>
            <w:tcW w:w="1951" w:type="dxa"/>
            <w:noWrap/>
            <w:vAlign w:val="center"/>
            <w:hideMark/>
          </w:tcPr>
          <w:p w14:paraId="78CA6994" w14:textId="77777777" w:rsidR="00D507EF" w:rsidRPr="00D92CBC" w:rsidRDefault="00D507EF" w:rsidP="001D3514">
            <w:pPr>
              <w:pStyle w:val="tabletext"/>
              <w:rPr>
                <w:rFonts w:cs="Arial"/>
                <w:sz w:val="22"/>
                <w:szCs w:val="22"/>
              </w:rPr>
            </w:pPr>
            <w:r w:rsidRPr="00D92CBC">
              <w:rPr>
                <w:rFonts w:cs="Arial"/>
                <w:sz w:val="22"/>
                <w:szCs w:val="22"/>
              </w:rPr>
              <w:t>Tonna</w:t>
            </w:r>
          </w:p>
        </w:tc>
        <w:tc>
          <w:tcPr>
            <w:tcW w:w="867" w:type="dxa"/>
            <w:noWrap/>
            <w:vAlign w:val="center"/>
          </w:tcPr>
          <w:p w14:paraId="08414EC7"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4C77CD15" w14:textId="77777777" w:rsidR="00D507EF" w:rsidRPr="00D92CBC" w:rsidRDefault="00D507EF" w:rsidP="001D3514">
            <w:pPr>
              <w:pStyle w:val="tabletext"/>
              <w:jc w:val="center"/>
              <w:rPr>
                <w:rFonts w:cs="Arial"/>
                <w:sz w:val="22"/>
                <w:szCs w:val="22"/>
              </w:rPr>
            </w:pPr>
            <w:r w:rsidRPr="00D92CBC">
              <w:rPr>
                <w:rFonts w:cs="Arial"/>
                <w:sz w:val="22"/>
                <w:szCs w:val="22"/>
              </w:rPr>
              <w:t>7%</w:t>
            </w:r>
          </w:p>
        </w:tc>
        <w:tc>
          <w:tcPr>
            <w:tcW w:w="867" w:type="dxa"/>
            <w:noWrap/>
            <w:vAlign w:val="center"/>
          </w:tcPr>
          <w:p w14:paraId="2B037F96" w14:textId="77777777" w:rsidR="00D507EF" w:rsidRPr="00D92CBC" w:rsidRDefault="00D507EF" w:rsidP="001D3514">
            <w:pPr>
              <w:pStyle w:val="tabletext"/>
              <w:jc w:val="center"/>
              <w:rPr>
                <w:rFonts w:cs="Arial"/>
                <w:sz w:val="22"/>
                <w:szCs w:val="22"/>
              </w:rPr>
            </w:pPr>
            <w:r w:rsidRPr="00D92CBC">
              <w:rPr>
                <w:rFonts w:cs="Arial"/>
                <w:sz w:val="22"/>
                <w:szCs w:val="22"/>
              </w:rPr>
              <w:t>93%</w:t>
            </w:r>
          </w:p>
        </w:tc>
        <w:tc>
          <w:tcPr>
            <w:tcW w:w="868" w:type="dxa"/>
            <w:noWrap/>
            <w:vAlign w:val="center"/>
          </w:tcPr>
          <w:p w14:paraId="404278FB"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512806B4" w14:textId="77777777" w:rsidR="00D507EF" w:rsidRPr="00D92CBC" w:rsidRDefault="00D507EF" w:rsidP="001D3514">
            <w:pPr>
              <w:pStyle w:val="tabletext"/>
              <w:rPr>
                <w:rFonts w:cs="Arial"/>
                <w:sz w:val="22"/>
                <w:szCs w:val="22"/>
              </w:rPr>
            </w:pPr>
          </w:p>
        </w:tc>
      </w:tr>
      <w:tr w:rsidR="00D507EF" w:rsidRPr="00D92CBC" w14:paraId="27B7A3A4" w14:textId="77777777" w:rsidTr="001D3514">
        <w:trPr>
          <w:trHeight w:val="464"/>
        </w:trPr>
        <w:tc>
          <w:tcPr>
            <w:tcW w:w="1951" w:type="dxa"/>
            <w:noWrap/>
            <w:vAlign w:val="center"/>
            <w:hideMark/>
          </w:tcPr>
          <w:p w14:paraId="2451DCB9" w14:textId="77777777" w:rsidR="00D507EF" w:rsidRPr="00D92CBC" w:rsidRDefault="00D507EF" w:rsidP="001D3514">
            <w:pPr>
              <w:pStyle w:val="tabletext"/>
              <w:rPr>
                <w:rFonts w:cs="Arial"/>
                <w:sz w:val="22"/>
                <w:szCs w:val="22"/>
              </w:rPr>
            </w:pPr>
            <w:r w:rsidRPr="00D92CBC">
              <w:rPr>
                <w:rFonts w:cs="Arial"/>
                <w:sz w:val="22"/>
                <w:szCs w:val="22"/>
              </w:rPr>
              <w:t>Morriston</w:t>
            </w:r>
          </w:p>
        </w:tc>
        <w:tc>
          <w:tcPr>
            <w:tcW w:w="867" w:type="dxa"/>
            <w:noWrap/>
            <w:vAlign w:val="center"/>
          </w:tcPr>
          <w:p w14:paraId="738D7035"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867" w:type="dxa"/>
            <w:noWrap/>
            <w:vAlign w:val="center"/>
          </w:tcPr>
          <w:p w14:paraId="14169AA4" w14:textId="77777777" w:rsidR="00D507EF" w:rsidRPr="00D92CBC" w:rsidRDefault="00D507EF" w:rsidP="001D3514">
            <w:pPr>
              <w:pStyle w:val="tabletext"/>
              <w:jc w:val="center"/>
              <w:rPr>
                <w:rFonts w:cs="Arial"/>
                <w:sz w:val="22"/>
                <w:szCs w:val="22"/>
              </w:rPr>
            </w:pPr>
            <w:r w:rsidRPr="00D92CBC">
              <w:rPr>
                <w:rFonts w:cs="Arial"/>
                <w:sz w:val="22"/>
                <w:szCs w:val="22"/>
              </w:rPr>
              <w:t>32%</w:t>
            </w:r>
          </w:p>
        </w:tc>
        <w:tc>
          <w:tcPr>
            <w:tcW w:w="867" w:type="dxa"/>
            <w:noWrap/>
            <w:vAlign w:val="center"/>
          </w:tcPr>
          <w:p w14:paraId="423742F2" w14:textId="77777777" w:rsidR="00D507EF" w:rsidRPr="00D92CBC" w:rsidRDefault="00D507EF" w:rsidP="001D3514">
            <w:pPr>
              <w:pStyle w:val="tabletext"/>
              <w:jc w:val="center"/>
              <w:rPr>
                <w:rFonts w:cs="Arial"/>
                <w:sz w:val="22"/>
                <w:szCs w:val="22"/>
              </w:rPr>
            </w:pPr>
            <w:r w:rsidRPr="00D92CBC">
              <w:rPr>
                <w:rFonts w:cs="Arial"/>
                <w:sz w:val="22"/>
                <w:szCs w:val="22"/>
              </w:rPr>
              <w:t>68%</w:t>
            </w:r>
          </w:p>
        </w:tc>
        <w:tc>
          <w:tcPr>
            <w:tcW w:w="868" w:type="dxa"/>
            <w:noWrap/>
            <w:vAlign w:val="center"/>
          </w:tcPr>
          <w:p w14:paraId="5D100EAF" w14:textId="77777777" w:rsidR="00D507EF" w:rsidRPr="00D92CBC" w:rsidRDefault="00D507EF" w:rsidP="001D3514">
            <w:pPr>
              <w:pStyle w:val="tabletext"/>
              <w:jc w:val="center"/>
              <w:rPr>
                <w:rFonts w:cs="Arial"/>
                <w:sz w:val="22"/>
                <w:szCs w:val="22"/>
              </w:rPr>
            </w:pPr>
            <w:r w:rsidRPr="00D92CBC">
              <w:rPr>
                <w:rFonts w:cs="Arial"/>
                <w:sz w:val="22"/>
                <w:szCs w:val="22"/>
              </w:rPr>
              <w:t>0%</w:t>
            </w:r>
          </w:p>
        </w:tc>
        <w:tc>
          <w:tcPr>
            <w:tcW w:w="4401" w:type="dxa"/>
            <w:vMerge/>
            <w:shd w:val="clear" w:color="auto" w:fill="auto"/>
            <w:vAlign w:val="center"/>
          </w:tcPr>
          <w:p w14:paraId="4C10486F" w14:textId="77777777" w:rsidR="00D507EF" w:rsidRPr="00D92CBC" w:rsidRDefault="00D507EF" w:rsidP="001D3514">
            <w:pPr>
              <w:pStyle w:val="tabletext"/>
              <w:rPr>
                <w:rFonts w:cs="Arial"/>
                <w:sz w:val="22"/>
                <w:szCs w:val="22"/>
              </w:rPr>
            </w:pPr>
          </w:p>
        </w:tc>
      </w:tr>
      <w:tr w:rsidR="00D507EF" w:rsidRPr="00D92CBC" w14:paraId="093BE065" w14:textId="77777777" w:rsidTr="001D3514">
        <w:trPr>
          <w:trHeight w:val="464"/>
        </w:trPr>
        <w:tc>
          <w:tcPr>
            <w:tcW w:w="1951" w:type="dxa"/>
            <w:noWrap/>
            <w:vAlign w:val="center"/>
            <w:hideMark/>
          </w:tcPr>
          <w:p w14:paraId="4B0D91D6" w14:textId="77777777" w:rsidR="00D507EF" w:rsidRPr="00D92CBC" w:rsidRDefault="00D507EF" w:rsidP="001D3514">
            <w:pPr>
              <w:pStyle w:val="tabletext"/>
              <w:rPr>
                <w:rFonts w:cs="Arial"/>
                <w:sz w:val="22"/>
                <w:szCs w:val="22"/>
              </w:rPr>
            </w:pPr>
            <w:r w:rsidRPr="00D92CBC">
              <w:rPr>
                <w:rFonts w:cs="Arial"/>
                <w:sz w:val="22"/>
                <w:szCs w:val="22"/>
              </w:rPr>
              <w:t>Singleton</w:t>
            </w:r>
          </w:p>
        </w:tc>
        <w:tc>
          <w:tcPr>
            <w:tcW w:w="867" w:type="dxa"/>
            <w:noWrap/>
            <w:vAlign w:val="center"/>
          </w:tcPr>
          <w:p w14:paraId="62A08E9D" w14:textId="77777777" w:rsidR="00D507EF" w:rsidRPr="00D92CBC" w:rsidRDefault="00D507EF" w:rsidP="001D3514">
            <w:pPr>
              <w:pStyle w:val="tabletext"/>
              <w:jc w:val="center"/>
              <w:rPr>
                <w:rFonts w:cs="Arial"/>
                <w:sz w:val="22"/>
                <w:szCs w:val="22"/>
              </w:rPr>
            </w:pPr>
            <w:r w:rsidRPr="00D92CBC">
              <w:rPr>
                <w:rFonts w:cs="Arial"/>
                <w:sz w:val="22"/>
                <w:szCs w:val="22"/>
              </w:rPr>
              <w:t>2%</w:t>
            </w:r>
          </w:p>
        </w:tc>
        <w:tc>
          <w:tcPr>
            <w:tcW w:w="867" w:type="dxa"/>
            <w:noWrap/>
            <w:vAlign w:val="center"/>
          </w:tcPr>
          <w:p w14:paraId="448C0F00" w14:textId="77777777" w:rsidR="00D507EF" w:rsidRPr="00D92CBC" w:rsidRDefault="00D507EF" w:rsidP="001D3514">
            <w:pPr>
              <w:pStyle w:val="tabletext"/>
              <w:jc w:val="center"/>
              <w:rPr>
                <w:rFonts w:cs="Arial"/>
                <w:sz w:val="22"/>
                <w:szCs w:val="22"/>
              </w:rPr>
            </w:pPr>
            <w:r w:rsidRPr="00D92CBC">
              <w:rPr>
                <w:rFonts w:cs="Arial"/>
                <w:sz w:val="22"/>
                <w:szCs w:val="22"/>
              </w:rPr>
              <w:t>12%</w:t>
            </w:r>
          </w:p>
        </w:tc>
        <w:tc>
          <w:tcPr>
            <w:tcW w:w="867" w:type="dxa"/>
            <w:noWrap/>
            <w:vAlign w:val="center"/>
          </w:tcPr>
          <w:p w14:paraId="4C285767" w14:textId="77777777" w:rsidR="00D507EF" w:rsidRPr="00D92CBC" w:rsidRDefault="00D507EF" w:rsidP="001D3514">
            <w:pPr>
              <w:pStyle w:val="tabletext"/>
              <w:jc w:val="center"/>
              <w:rPr>
                <w:rFonts w:cs="Arial"/>
                <w:sz w:val="22"/>
                <w:szCs w:val="22"/>
              </w:rPr>
            </w:pPr>
            <w:r w:rsidRPr="00D92CBC">
              <w:rPr>
                <w:rFonts w:cs="Arial"/>
                <w:sz w:val="22"/>
                <w:szCs w:val="22"/>
              </w:rPr>
              <w:t>60%</w:t>
            </w:r>
          </w:p>
        </w:tc>
        <w:tc>
          <w:tcPr>
            <w:tcW w:w="868" w:type="dxa"/>
            <w:noWrap/>
            <w:vAlign w:val="center"/>
          </w:tcPr>
          <w:p w14:paraId="42ADF38B" w14:textId="77777777" w:rsidR="00D507EF" w:rsidRPr="00D92CBC" w:rsidRDefault="00D507EF" w:rsidP="001D3514">
            <w:pPr>
              <w:pStyle w:val="tabletext"/>
              <w:jc w:val="center"/>
              <w:rPr>
                <w:rFonts w:cs="Arial"/>
                <w:sz w:val="22"/>
                <w:szCs w:val="22"/>
              </w:rPr>
            </w:pPr>
            <w:r w:rsidRPr="00D92CBC">
              <w:rPr>
                <w:rFonts w:cs="Arial"/>
                <w:sz w:val="22"/>
                <w:szCs w:val="22"/>
              </w:rPr>
              <w:t>26%</w:t>
            </w:r>
          </w:p>
        </w:tc>
        <w:tc>
          <w:tcPr>
            <w:tcW w:w="4401" w:type="dxa"/>
            <w:vMerge/>
            <w:shd w:val="clear" w:color="auto" w:fill="auto"/>
            <w:vAlign w:val="center"/>
          </w:tcPr>
          <w:p w14:paraId="2664EF45" w14:textId="77777777" w:rsidR="00D507EF" w:rsidRPr="00D92CBC" w:rsidRDefault="00D507EF" w:rsidP="001D3514">
            <w:pPr>
              <w:pStyle w:val="tabletext"/>
              <w:rPr>
                <w:rFonts w:cs="Arial"/>
                <w:sz w:val="22"/>
                <w:szCs w:val="22"/>
              </w:rPr>
            </w:pPr>
          </w:p>
        </w:tc>
      </w:tr>
      <w:tr w:rsidR="00D507EF" w:rsidRPr="00D92CBC" w14:paraId="420AE9F6" w14:textId="77777777" w:rsidTr="001D3514">
        <w:trPr>
          <w:trHeight w:val="464"/>
        </w:trPr>
        <w:tc>
          <w:tcPr>
            <w:tcW w:w="1951" w:type="dxa"/>
            <w:shd w:val="clear" w:color="auto" w:fill="F2F2F2" w:themeFill="background1" w:themeFillShade="F2"/>
            <w:noWrap/>
            <w:vAlign w:val="center"/>
            <w:hideMark/>
          </w:tcPr>
          <w:p w14:paraId="591C2A41" w14:textId="77777777" w:rsidR="00D507EF" w:rsidRPr="00D92CBC" w:rsidRDefault="00D507EF" w:rsidP="001D3514">
            <w:pPr>
              <w:pStyle w:val="tabletext"/>
              <w:rPr>
                <w:rFonts w:cs="Arial"/>
                <w:sz w:val="22"/>
                <w:szCs w:val="22"/>
              </w:rPr>
            </w:pPr>
            <w:r w:rsidRPr="00D92CBC">
              <w:rPr>
                <w:rFonts w:cs="Arial"/>
                <w:sz w:val="22"/>
                <w:szCs w:val="22"/>
              </w:rPr>
              <w:t>All sites</w:t>
            </w:r>
          </w:p>
        </w:tc>
        <w:tc>
          <w:tcPr>
            <w:tcW w:w="867" w:type="dxa"/>
            <w:shd w:val="clear" w:color="auto" w:fill="F2F2F2" w:themeFill="background1" w:themeFillShade="F2"/>
            <w:noWrap/>
            <w:vAlign w:val="center"/>
          </w:tcPr>
          <w:p w14:paraId="288DD5DC" w14:textId="77777777" w:rsidR="00D507EF" w:rsidRPr="00D92CBC" w:rsidRDefault="00D507EF" w:rsidP="001D3514">
            <w:pPr>
              <w:pStyle w:val="tabletext"/>
              <w:jc w:val="center"/>
              <w:rPr>
                <w:rFonts w:cs="Arial"/>
                <w:b/>
                <w:bCs/>
                <w:sz w:val="22"/>
                <w:szCs w:val="22"/>
              </w:rPr>
            </w:pPr>
            <w:r w:rsidRPr="00D92CBC">
              <w:rPr>
                <w:rFonts w:cs="Arial"/>
                <w:sz w:val="22"/>
                <w:szCs w:val="22"/>
              </w:rPr>
              <w:t>1%</w:t>
            </w:r>
          </w:p>
        </w:tc>
        <w:tc>
          <w:tcPr>
            <w:tcW w:w="867" w:type="dxa"/>
            <w:shd w:val="clear" w:color="auto" w:fill="F2F2F2" w:themeFill="background1" w:themeFillShade="F2"/>
            <w:noWrap/>
            <w:vAlign w:val="center"/>
          </w:tcPr>
          <w:p w14:paraId="64520F05" w14:textId="77777777" w:rsidR="00D507EF" w:rsidRPr="00D92CBC" w:rsidRDefault="00D507EF" w:rsidP="001D3514">
            <w:pPr>
              <w:pStyle w:val="tabletext"/>
              <w:jc w:val="center"/>
              <w:rPr>
                <w:rFonts w:cs="Arial"/>
                <w:b/>
                <w:bCs/>
                <w:sz w:val="22"/>
                <w:szCs w:val="22"/>
              </w:rPr>
            </w:pPr>
            <w:r w:rsidRPr="00D92CBC">
              <w:rPr>
                <w:rFonts w:cs="Arial"/>
                <w:sz w:val="22"/>
                <w:szCs w:val="22"/>
              </w:rPr>
              <w:t>27%</w:t>
            </w:r>
          </w:p>
        </w:tc>
        <w:tc>
          <w:tcPr>
            <w:tcW w:w="867" w:type="dxa"/>
            <w:shd w:val="clear" w:color="auto" w:fill="F2F2F2" w:themeFill="background1" w:themeFillShade="F2"/>
            <w:noWrap/>
            <w:vAlign w:val="center"/>
          </w:tcPr>
          <w:p w14:paraId="3B171233" w14:textId="77777777" w:rsidR="00D507EF" w:rsidRPr="00D92CBC" w:rsidRDefault="00D507EF" w:rsidP="001D3514">
            <w:pPr>
              <w:pStyle w:val="tabletext"/>
              <w:jc w:val="center"/>
              <w:rPr>
                <w:rFonts w:cs="Arial"/>
                <w:b/>
                <w:bCs/>
                <w:sz w:val="22"/>
                <w:szCs w:val="22"/>
              </w:rPr>
            </w:pPr>
            <w:r w:rsidRPr="00D92CBC">
              <w:rPr>
                <w:rFonts w:cs="Arial"/>
                <w:sz w:val="22"/>
                <w:szCs w:val="22"/>
              </w:rPr>
              <w:t>62%</w:t>
            </w:r>
          </w:p>
        </w:tc>
        <w:tc>
          <w:tcPr>
            <w:tcW w:w="868" w:type="dxa"/>
            <w:shd w:val="clear" w:color="auto" w:fill="F2F2F2" w:themeFill="background1" w:themeFillShade="F2"/>
            <w:noWrap/>
            <w:vAlign w:val="center"/>
          </w:tcPr>
          <w:p w14:paraId="7F221121" w14:textId="77777777" w:rsidR="00D507EF" w:rsidRPr="00D92CBC" w:rsidRDefault="00D507EF" w:rsidP="001D3514">
            <w:pPr>
              <w:pStyle w:val="tabletext"/>
              <w:jc w:val="center"/>
              <w:rPr>
                <w:rFonts w:cs="Arial"/>
                <w:b/>
                <w:bCs/>
                <w:sz w:val="22"/>
                <w:szCs w:val="22"/>
              </w:rPr>
            </w:pPr>
            <w:r w:rsidRPr="00D92CBC">
              <w:rPr>
                <w:rFonts w:cs="Arial"/>
                <w:sz w:val="22"/>
                <w:szCs w:val="22"/>
              </w:rPr>
              <w:t>10%</w:t>
            </w:r>
          </w:p>
        </w:tc>
        <w:tc>
          <w:tcPr>
            <w:tcW w:w="4401" w:type="dxa"/>
            <w:vMerge/>
            <w:shd w:val="clear" w:color="auto" w:fill="auto"/>
            <w:vAlign w:val="center"/>
          </w:tcPr>
          <w:p w14:paraId="58F820B0" w14:textId="77777777" w:rsidR="00D507EF" w:rsidRPr="00D92CBC" w:rsidRDefault="00D507EF" w:rsidP="001D3514">
            <w:pPr>
              <w:pStyle w:val="tabletext"/>
              <w:rPr>
                <w:rFonts w:cs="Arial"/>
                <w:sz w:val="22"/>
                <w:szCs w:val="22"/>
              </w:rPr>
            </w:pPr>
          </w:p>
        </w:tc>
      </w:tr>
    </w:tbl>
    <w:p w14:paraId="37BE5D08" w14:textId="77777777" w:rsidR="00D507EF" w:rsidRPr="00D92CBC" w:rsidRDefault="00D507EF" w:rsidP="00D507EF">
      <w:pPr>
        <w:rPr>
          <w:rFonts w:ascii="Arial" w:hAnsi="Arial" w:cs="Arial"/>
        </w:rPr>
      </w:pPr>
    </w:p>
    <w:p w14:paraId="1D03CD81" w14:textId="77777777" w:rsidR="00D507EF" w:rsidRDefault="00D507EF" w:rsidP="00D507EF">
      <w:pPr>
        <w:jc w:val="both"/>
        <w:rPr>
          <w:rFonts w:ascii="Arial" w:hAnsi="Arial" w:cs="Arial"/>
        </w:rPr>
      </w:pPr>
      <w:r w:rsidRPr="00D92CBC">
        <w:rPr>
          <w:rFonts w:ascii="Arial" w:hAnsi="Arial" w:cs="Arial"/>
        </w:rPr>
        <w:lastRenderedPageBreak/>
        <w:t xml:space="preserve">Overall, the combined Statutory Compliance Grade shows that the estate is within the not satisfactory grade and a tenth of the estate is within the not acceptable category. A quarter of the </w:t>
      </w:r>
      <w:r w:rsidRPr="00AE2D39">
        <w:rPr>
          <w:rFonts w:ascii="Arial" w:hAnsi="Arial" w:cs="Arial"/>
          <w:b/>
        </w:rPr>
        <w:t>Singleton</w:t>
      </w:r>
      <w:r w:rsidRPr="00D92CBC">
        <w:rPr>
          <w:rFonts w:ascii="Arial" w:hAnsi="Arial" w:cs="Arial"/>
        </w:rPr>
        <w:t xml:space="preserve"> Hospital site is within an unacceptable condition and Tonna / Gorseinon Hospital’s are over 80% within the not satisfactory grading.</w:t>
      </w:r>
    </w:p>
    <w:p w14:paraId="44E4E2DE" w14:textId="77777777" w:rsidR="00D507EF" w:rsidRPr="00D92CBC" w:rsidRDefault="00D507EF" w:rsidP="00D507EF">
      <w:pPr>
        <w:pStyle w:val="Heading4ALT"/>
        <w:shd w:val="clear" w:color="auto" w:fill="9CC2E5" w:themeFill="accent1" w:themeFillTint="99"/>
        <w:rPr>
          <w:rFonts w:cs="Arial"/>
          <w:b/>
          <w:i w:val="0"/>
          <w:sz w:val="22"/>
        </w:rPr>
      </w:pPr>
      <w:r w:rsidRPr="00D92CBC">
        <w:rPr>
          <w:rFonts w:cs="Arial"/>
          <w:b/>
          <w:i w:val="0"/>
          <w:sz w:val="22"/>
        </w:rPr>
        <w:t xml:space="preserve">Facet 6 – Environmental </w:t>
      </w:r>
    </w:p>
    <w:p w14:paraId="1BE02A07" w14:textId="77777777" w:rsidR="00D507EF" w:rsidRPr="00D92CBC" w:rsidRDefault="00D507EF" w:rsidP="00D507EF">
      <w:pPr>
        <w:rPr>
          <w:rFonts w:ascii="Arial" w:hAnsi="Arial" w:cs="Arial"/>
        </w:rPr>
      </w:pPr>
      <w:r w:rsidRPr="00D92CBC">
        <w:rPr>
          <w:rFonts w:ascii="Arial" w:hAnsi="Arial" w:cs="Arial"/>
        </w:rPr>
        <w:t>Energy Efficiency Survey Methodology:</w:t>
      </w:r>
    </w:p>
    <w:p w14:paraId="01B91E0C" w14:textId="77777777" w:rsidR="00D507EF" w:rsidRPr="00D92CBC" w:rsidRDefault="00D507EF" w:rsidP="00D507EF">
      <w:pPr>
        <w:rPr>
          <w:rFonts w:ascii="Arial" w:hAnsi="Arial" w:cs="Arial"/>
        </w:rPr>
      </w:pPr>
      <w:r w:rsidRPr="00D92CBC">
        <w:rPr>
          <w:rFonts w:ascii="Arial" w:hAnsi="Arial" w:cs="Arial"/>
        </w:rPr>
        <w:t>The buildings will be ranked on the following usage per unit volume:</w:t>
      </w:r>
    </w:p>
    <w:p w14:paraId="35C25B1F" w14:textId="77777777" w:rsidR="00D507EF" w:rsidRPr="00D92CBC" w:rsidRDefault="00D507EF" w:rsidP="00D507EF">
      <w:pPr>
        <w:rPr>
          <w:rFonts w:ascii="Arial" w:hAnsi="Arial" w:cs="Arial"/>
        </w:rPr>
      </w:pPr>
      <w:r w:rsidRPr="00D92CBC">
        <w:rPr>
          <w:rFonts w:ascii="Arial" w:hAnsi="Arial" w:cs="Arial"/>
        </w:rPr>
        <w:t>GJ per 100 cubic metres m3</w:t>
      </w:r>
    </w:p>
    <w:p w14:paraId="7C2E86E8"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Condition A 35-55</w:t>
      </w:r>
    </w:p>
    <w:p w14:paraId="1FFA708A"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Condition B 56-65</w:t>
      </w:r>
    </w:p>
    <w:p w14:paraId="65BC1427"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Condition C 66-75</w:t>
      </w:r>
    </w:p>
    <w:p w14:paraId="7B5E1AF1"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Condition D 76-100</w:t>
      </w:r>
    </w:p>
    <w:p w14:paraId="643C9CA4" w14:textId="77777777" w:rsidR="00D507EF" w:rsidRPr="00D92CBC" w:rsidRDefault="00D507EF" w:rsidP="00D507EF">
      <w:pPr>
        <w:rPr>
          <w:rFonts w:ascii="Arial" w:hAnsi="Arial" w:cs="Arial"/>
        </w:rPr>
      </w:pPr>
      <w:r w:rsidRPr="00D92CBC">
        <w:rPr>
          <w:rFonts w:ascii="Arial" w:hAnsi="Arial" w:cs="Arial"/>
        </w:rPr>
        <w:t>The following will be assessed based on Oakleaf Q and A at technical audits:</w:t>
      </w:r>
    </w:p>
    <w:p w14:paraId="04521A9F"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B - Water Consumption</w:t>
      </w:r>
    </w:p>
    <w:p w14:paraId="5CD3ED79"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C - Waste Management</w:t>
      </w:r>
    </w:p>
    <w:p w14:paraId="494A1F23"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D - Transport Management</w:t>
      </w:r>
    </w:p>
    <w:p w14:paraId="3B9955EF" w14:textId="77777777" w:rsidR="00D507EF" w:rsidRPr="00D92CBC" w:rsidRDefault="00D507EF" w:rsidP="00D507EF">
      <w:pPr>
        <w:rPr>
          <w:rFonts w:ascii="Arial" w:hAnsi="Arial" w:cs="Arial"/>
        </w:rPr>
      </w:pPr>
      <w:r w:rsidRPr="00D92CBC">
        <w:rPr>
          <w:rFonts w:ascii="Segoe UI Symbol" w:hAnsi="Segoe UI Symbol" w:cs="Segoe UI Symbol"/>
        </w:rPr>
        <w:t>⚫</w:t>
      </w:r>
      <w:r w:rsidRPr="00D92CBC">
        <w:rPr>
          <w:rFonts w:ascii="Arial" w:hAnsi="Arial" w:cs="Arial"/>
        </w:rPr>
        <w:t xml:space="preserve"> E - Procurement</w:t>
      </w:r>
    </w:p>
    <w:p w14:paraId="048291F6" w14:textId="77777777" w:rsidR="00D507EF" w:rsidRPr="00D92CBC" w:rsidRDefault="00D507EF" w:rsidP="00D507EF">
      <w:pPr>
        <w:rPr>
          <w:rFonts w:ascii="Arial" w:hAnsi="Arial" w:cs="Arial"/>
        </w:rPr>
      </w:pPr>
    </w:p>
    <w:p w14:paraId="20263F92" w14:textId="77777777" w:rsidR="00D507EF" w:rsidRPr="00D92CBC" w:rsidRDefault="00D507EF" w:rsidP="00D507EF">
      <w:pPr>
        <w:spacing w:line="240" w:lineRule="auto"/>
        <w:rPr>
          <w:rFonts w:ascii="Arial" w:hAnsi="Arial" w:cs="Arial"/>
        </w:rPr>
      </w:pPr>
    </w:p>
    <w:p w14:paraId="570FD78D" w14:textId="32E0D01E" w:rsidR="00401160" w:rsidRPr="00D92CBC" w:rsidRDefault="00401160">
      <w:pPr>
        <w:rPr>
          <w:rFonts w:ascii="Arial" w:hAnsi="Arial" w:cs="Arial"/>
        </w:rPr>
      </w:pPr>
    </w:p>
    <w:sectPr w:rsidR="00401160" w:rsidRPr="00D92CBC" w:rsidSect="00F83919">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C3746F" w14:textId="77777777" w:rsidR="00FC1A27" w:rsidRDefault="00FC1A27" w:rsidP="005D6079">
      <w:pPr>
        <w:spacing w:after="0" w:line="240" w:lineRule="auto"/>
      </w:pPr>
      <w:r>
        <w:separator/>
      </w:r>
    </w:p>
  </w:endnote>
  <w:endnote w:type="continuationSeparator" w:id="0">
    <w:p w14:paraId="478DFD7E" w14:textId="77777777" w:rsidR="00FC1A27" w:rsidRDefault="00FC1A27" w:rsidP="005D60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D1EF92" w14:textId="77777777" w:rsidR="00FC1A27" w:rsidRDefault="00FC1A27" w:rsidP="005D6079">
      <w:pPr>
        <w:spacing w:after="0" w:line="240" w:lineRule="auto"/>
      </w:pPr>
      <w:r>
        <w:separator/>
      </w:r>
    </w:p>
  </w:footnote>
  <w:footnote w:type="continuationSeparator" w:id="0">
    <w:p w14:paraId="3C22ED16" w14:textId="77777777" w:rsidR="00FC1A27" w:rsidRDefault="00FC1A27" w:rsidP="005D60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84A6A"/>
    <w:multiLevelType w:val="hybridMultilevel"/>
    <w:tmpl w:val="F8F0C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8A23CE"/>
    <w:multiLevelType w:val="hybridMultilevel"/>
    <w:tmpl w:val="3D728F86"/>
    <w:lvl w:ilvl="0" w:tplc="F3246DA6">
      <w:start w:val="1"/>
      <w:numFmt w:val="bullet"/>
      <w:pStyle w:val="bullets1"/>
      <w:lvlText w:val=""/>
      <w:lvlJc w:val="left"/>
      <w:pPr>
        <w:ind w:left="360" w:hanging="360"/>
      </w:pPr>
      <w:rPr>
        <w:rFonts w:ascii="Wingdings" w:hAnsi="Wingdings" w:hint="default"/>
        <w:caps w:val="0"/>
        <w:strike w:val="0"/>
        <w:dstrike w:val="0"/>
        <w:vanish w:val="0"/>
        <w:color w:val="3F5181"/>
        <w:sz w:val="18"/>
        <w:u w:val="none"/>
        <w:vertAlign w:val="baseline"/>
      </w:rPr>
    </w:lvl>
    <w:lvl w:ilvl="1" w:tplc="6E54096E">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55105D"/>
    <w:multiLevelType w:val="hybridMultilevel"/>
    <w:tmpl w:val="CEC27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0392422"/>
    <w:multiLevelType w:val="hybridMultilevel"/>
    <w:tmpl w:val="EAE25D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47E"/>
    <w:rsid w:val="000423AB"/>
    <w:rsid w:val="000C02FE"/>
    <w:rsid w:val="00176298"/>
    <w:rsid w:val="00192D57"/>
    <w:rsid w:val="00232E31"/>
    <w:rsid w:val="0034421A"/>
    <w:rsid w:val="0037747E"/>
    <w:rsid w:val="00401160"/>
    <w:rsid w:val="0044436E"/>
    <w:rsid w:val="0048189E"/>
    <w:rsid w:val="004B6323"/>
    <w:rsid w:val="00551541"/>
    <w:rsid w:val="00555118"/>
    <w:rsid w:val="005B462E"/>
    <w:rsid w:val="005D6079"/>
    <w:rsid w:val="006A78F8"/>
    <w:rsid w:val="00795CCC"/>
    <w:rsid w:val="0080339F"/>
    <w:rsid w:val="00822769"/>
    <w:rsid w:val="008849DA"/>
    <w:rsid w:val="008E54D6"/>
    <w:rsid w:val="00AE2D39"/>
    <w:rsid w:val="00B22E1E"/>
    <w:rsid w:val="00B56C9F"/>
    <w:rsid w:val="00B75BAE"/>
    <w:rsid w:val="00CE7E18"/>
    <w:rsid w:val="00CF5A83"/>
    <w:rsid w:val="00D05845"/>
    <w:rsid w:val="00D2730D"/>
    <w:rsid w:val="00D507EF"/>
    <w:rsid w:val="00D90122"/>
    <w:rsid w:val="00D92CBC"/>
    <w:rsid w:val="00DF70AA"/>
    <w:rsid w:val="00E128AD"/>
    <w:rsid w:val="00F46D4B"/>
    <w:rsid w:val="00F83919"/>
    <w:rsid w:val="00FC1A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C5F96"/>
  <w15:chartTrackingRefBased/>
  <w15:docId w15:val="{2E881E68-C90E-4B3B-8A77-2418FB4EF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CBC"/>
  </w:style>
  <w:style w:type="paragraph" w:styleId="Heading2">
    <w:name w:val="heading 2"/>
    <w:basedOn w:val="Normal"/>
    <w:next w:val="Normal"/>
    <w:link w:val="Heading2Char"/>
    <w:uiPriority w:val="9"/>
    <w:semiHidden/>
    <w:unhideWhenUsed/>
    <w:qFormat/>
    <w:rsid w:val="008849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95CC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0116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1">
    <w:name w:val="bullets 1"/>
    <w:basedOn w:val="ListParagraph"/>
    <w:next w:val="NoSpacing"/>
    <w:qFormat/>
    <w:rsid w:val="004B6323"/>
    <w:pPr>
      <w:numPr>
        <w:numId w:val="1"/>
      </w:numPr>
      <w:tabs>
        <w:tab w:val="num" w:pos="360"/>
      </w:tabs>
      <w:spacing w:after="60" w:line="240" w:lineRule="auto"/>
      <w:ind w:left="340" w:hanging="340"/>
      <w:contextualSpacing w:val="0"/>
    </w:pPr>
    <w:rPr>
      <w:rFonts w:ascii="Arial" w:hAnsi="Arial"/>
    </w:rPr>
  </w:style>
  <w:style w:type="paragraph" w:styleId="ListParagraph">
    <w:name w:val="List Paragraph"/>
    <w:aliases w:val="Normal + indent,List Paragraph 1,List Paragraph1,F5 List Paragraph,Name,NumberedList,Colorful List - Accent 11,Bullet 1,Numbered Para 1,Dot pt,No Spacing1,List Paragraph Char Char Char,Indicator Text,Bullet Points,MAIN CONTENT,OBC Bullet"/>
    <w:basedOn w:val="Normal"/>
    <w:link w:val="ListParagraphChar"/>
    <w:uiPriority w:val="34"/>
    <w:qFormat/>
    <w:rsid w:val="004B6323"/>
    <w:pPr>
      <w:ind w:left="720"/>
      <w:contextualSpacing/>
    </w:pPr>
  </w:style>
  <w:style w:type="paragraph" w:styleId="NoSpacing">
    <w:name w:val="No Spacing"/>
    <w:uiPriority w:val="1"/>
    <w:qFormat/>
    <w:rsid w:val="004B6323"/>
    <w:pPr>
      <w:spacing w:after="0" w:line="240" w:lineRule="auto"/>
    </w:pPr>
  </w:style>
  <w:style w:type="paragraph" w:styleId="Caption">
    <w:name w:val="caption"/>
    <w:basedOn w:val="Normal"/>
    <w:next w:val="Normal"/>
    <w:link w:val="CaptionChar"/>
    <w:uiPriority w:val="35"/>
    <w:unhideWhenUsed/>
    <w:qFormat/>
    <w:rsid w:val="004B6323"/>
    <w:pPr>
      <w:keepNext/>
      <w:spacing w:after="120" w:line="240" w:lineRule="auto"/>
    </w:pPr>
    <w:rPr>
      <w:rFonts w:ascii="Arial" w:hAnsi="Arial"/>
      <w:i/>
      <w:iCs/>
      <w:color w:val="44546A" w:themeColor="text2"/>
      <w:szCs w:val="18"/>
    </w:rPr>
  </w:style>
  <w:style w:type="character" w:customStyle="1" w:styleId="CaptionChar">
    <w:name w:val="Caption Char"/>
    <w:basedOn w:val="DefaultParagraphFont"/>
    <w:link w:val="Caption"/>
    <w:uiPriority w:val="35"/>
    <w:locked/>
    <w:rsid w:val="004B6323"/>
    <w:rPr>
      <w:rFonts w:ascii="Arial" w:hAnsi="Arial"/>
      <w:i/>
      <w:iCs/>
      <w:color w:val="44546A" w:themeColor="text2"/>
      <w:szCs w:val="18"/>
    </w:rPr>
  </w:style>
  <w:style w:type="paragraph" w:styleId="FootnoteText">
    <w:name w:val="footnote text"/>
    <w:basedOn w:val="Normal"/>
    <w:link w:val="FootnoteTextChar"/>
    <w:uiPriority w:val="99"/>
    <w:unhideWhenUsed/>
    <w:rsid w:val="005D6079"/>
    <w:pPr>
      <w:spacing w:after="80" w:line="240" w:lineRule="auto"/>
      <w:ind w:left="284" w:hanging="284"/>
    </w:pPr>
    <w:rPr>
      <w:rFonts w:ascii="Arial" w:hAnsi="Arial"/>
      <w:sz w:val="16"/>
      <w:szCs w:val="20"/>
    </w:rPr>
  </w:style>
  <w:style w:type="character" w:customStyle="1" w:styleId="FootnoteTextChar">
    <w:name w:val="Footnote Text Char"/>
    <w:basedOn w:val="DefaultParagraphFont"/>
    <w:link w:val="FootnoteText"/>
    <w:uiPriority w:val="99"/>
    <w:rsid w:val="005D6079"/>
    <w:rPr>
      <w:rFonts w:ascii="Arial" w:hAnsi="Arial"/>
      <w:sz w:val="16"/>
      <w:szCs w:val="20"/>
    </w:rPr>
  </w:style>
  <w:style w:type="character" w:styleId="FootnoteReference">
    <w:name w:val="footnote reference"/>
    <w:basedOn w:val="DefaultParagraphFont"/>
    <w:uiPriority w:val="99"/>
    <w:semiHidden/>
    <w:unhideWhenUsed/>
    <w:rsid w:val="005D6079"/>
    <w:rPr>
      <w:vertAlign w:val="superscript"/>
    </w:rPr>
  </w:style>
  <w:style w:type="table" w:styleId="TableGrid">
    <w:name w:val="Table Grid"/>
    <w:basedOn w:val="TableNormal"/>
    <w:uiPriority w:val="39"/>
    <w:rsid w:val="00795CCC"/>
    <w:pPr>
      <w:spacing w:after="0" w:line="240" w:lineRule="auto"/>
    </w:pPr>
    <w:rPr>
      <w:rFonts w:ascii="Calibri Light" w:hAnsi="Calibri Ligh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ormal + indent Char,List Paragraph 1 Char,List Paragraph1 Char,F5 List Paragraph Char,Name Char,NumberedList Char,Colorful List - Accent 11 Char,Bullet 1 Char,Numbered Para 1 Char,Dot pt Char,No Spacing1 Char,Indicator Text Char"/>
    <w:basedOn w:val="DefaultParagraphFont"/>
    <w:link w:val="ListParagraph"/>
    <w:uiPriority w:val="34"/>
    <w:rsid w:val="00795CCC"/>
  </w:style>
  <w:style w:type="paragraph" w:customStyle="1" w:styleId="tabletext">
    <w:name w:val="table text"/>
    <w:basedOn w:val="Normal"/>
    <w:qFormat/>
    <w:rsid w:val="00795CCC"/>
    <w:pPr>
      <w:spacing w:before="60" w:after="60" w:line="240" w:lineRule="auto"/>
    </w:pPr>
    <w:rPr>
      <w:rFonts w:ascii="Arial" w:hAnsi="Arial"/>
      <w:sz w:val="20"/>
      <w:szCs w:val="20"/>
    </w:rPr>
  </w:style>
  <w:style w:type="character" w:styleId="Hyperlink">
    <w:name w:val="Hyperlink"/>
    <w:basedOn w:val="DefaultParagraphFont"/>
    <w:uiPriority w:val="99"/>
    <w:unhideWhenUsed/>
    <w:rsid w:val="00795CCC"/>
    <w:rPr>
      <w:rFonts w:ascii="Arial" w:hAnsi="Arial"/>
      <w:color w:val="4472C4" w:themeColor="accent5"/>
      <w:u w:val="single"/>
    </w:rPr>
  </w:style>
  <w:style w:type="paragraph" w:customStyle="1" w:styleId="Heading3ALT">
    <w:name w:val="Heading 3 ALT"/>
    <w:basedOn w:val="Heading3"/>
    <w:next w:val="Normal"/>
    <w:rsid w:val="00795CCC"/>
    <w:pPr>
      <w:shd w:val="clear" w:color="auto" w:fill="EDEDED" w:themeFill="accent3" w:themeFillTint="33"/>
      <w:spacing w:before="0" w:after="120" w:line="240" w:lineRule="auto"/>
      <w:ind w:left="1134" w:hanging="1134"/>
    </w:pPr>
    <w:rPr>
      <w:rFonts w:ascii="Arial" w:hAnsi="Arial"/>
      <w:color w:val="3F5181"/>
      <w:sz w:val="28"/>
    </w:rPr>
  </w:style>
  <w:style w:type="character" w:customStyle="1" w:styleId="Heading3Char">
    <w:name w:val="Heading 3 Char"/>
    <w:basedOn w:val="DefaultParagraphFont"/>
    <w:link w:val="Heading3"/>
    <w:uiPriority w:val="9"/>
    <w:semiHidden/>
    <w:rsid w:val="00795CCC"/>
    <w:rPr>
      <w:rFonts w:asciiTheme="majorHAnsi" w:eastAsiaTheme="majorEastAsia" w:hAnsiTheme="majorHAnsi" w:cstheme="majorBidi"/>
      <w:color w:val="1F4D78" w:themeColor="accent1" w:themeShade="7F"/>
      <w:sz w:val="24"/>
      <w:szCs w:val="24"/>
    </w:rPr>
  </w:style>
  <w:style w:type="paragraph" w:customStyle="1" w:styleId="Tabletext0">
    <w:name w:val="Table text"/>
    <w:basedOn w:val="Normal"/>
    <w:rsid w:val="00401160"/>
    <w:pPr>
      <w:spacing w:before="80" w:after="80" w:line="240" w:lineRule="auto"/>
    </w:pPr>
    <w:rPr>
      <w:rFonts w:ascii="Arial" w:eastAsia="Times New Roman" w:hAnsi="Arial" w:cs="Arial"/>
      <w:color w:val="000000"/>
      <w:sz w:val="18"/>
      <w:szCs w:val="18"/>
      <w:lang w:eastAsia="en-GB"/>
    </w:rPr>
  </w:style>
  <w:style w:type="paragraph" w:customStyle="1" w:styleId="Heading4ALT">
    <w:name w:val="Heading 4 ALT"/>
    <w:basedOn w:val="Heading4"/>
    <w:next w:val="Normal"/>
    <w:rsid w:val="00401160"/>
    <w:pPr>
      <w:shd w:val="clear" w:color="auto" w:fill="6AA343" w:themeFill="accent6" w:themeFillShade="F2"/>
      <w:spacing w:before="0" w:after="120" w:line="240" w:lineRule="auto"/>
    </w:pPr>
    <w:rPr>
      <w:rFonts w:ascii="Arial" w:eastAsia="Times New Roman" w:hAnsi="Arial"/>
      <w:iCs w:val="0"/>
      <w:color w:val="3F5181"/>
      <w:sz w:val="24"/>
    </w:rPr>
  </w:style>
  <w:style w:type="character" w:customStyle="1" w:styleId="Heading4Char">
    <w:name w:val="Heading 4 Char"/>
    <w:basedOn w:val="DefaultParagraphFont"/>
    <w:link w:val="Heading4"/>
    <w:uiPriority w:val="9"/>
    <w:semiHidden/>
    <w:rsid w:val="00401160"/>
    <w:rPr>
      <w:rFonts w:asciiTheme="majorHAnsi" w:eastAsiaTheme="majorEastAsia" w:hAnsiTheme="majorHAnsi" w:cstheme="majorBidi"/>
      <w:i/>
      <w:iCs/>
      <w:color w:val="2E74B5" w:themeColor="accent1" w:themeShade="BF"/>
    </w:rPr>
  </w:style>
  <w:style w:type="character" w:customStyle="1" w:styleId="Heading2Char">
    <w:name w:val="Heading 2 Char"/>
    <w:basedOn w:val="DefaultParagraphFont"/>
    <w:link w:val="Heading2"/>
    <w:uiPriority w:val="9"/>
    <w:semiHidden/>
    <w:rsid w:val="008849DA"/>
    <w:rPr>
      <w:rFonts w:asciiTheme="majorHAnsi" w:eastAsiaTheme="majorEastAsia" w:hAnsiTheme="majorHAnsi" w:cstheme="majorBidi"/>
      <w:color w:val="2E74B5" w:themeColor="accent1" w:themeShade="BF"/>
      <w:sz w:val="26"/>
      <w:szCs w:val="26"/>
    </w:rPr>
  </w:style>
  <w:style w:type="paragraph" w:customStyle="1" w:styleId="Default">
    <w:name w:val="Default"/>
    <w:rsid w:val="00D92CBC"/>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4.emf"/><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image" Target="media/image3.png"/><Relationship Id="rId25" Type="http://schemas.openxmlformats.org/officeDocument/2006/relationships/image" Target="media/image9.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jpe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24" Type="http://schemas.openxmlformats.org/officeDocument/2006/relationships/image" Target="media/image8.png"/><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en.wikipedia.org/wiki/South_West_Wales" TargetMode="External"/><Relationship Id="rId28" Type="http://schemas.openxmlformats.org/officeDocument/2006/relationships/image" Target="media/image12.png"/><Relationship Id="rId10" Type="http://schemas.openxmlformats.org/officeDocument/2006/relationships/diagramData" Target="diagrams/data1.xml"/><Relationship Id="rId19" Type="http://schemas.openxmlformats.org/officeDocument/2006/relationships/image" Target="media/image5.emf"/><Relationship Id="rId31" Type="http://schemas.openxmlformats.org/officeDocument/2006/relationships/image" Target="media/image15.png"/><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 Id="rId22" Type="http://schemas.openxmlformats.org/officeDocument/2006/relationships/hyperlink" Target="https://en.wikipedia.org/wiki/Maggie%27s_Centres" TargetMode="External"/><Relationship Id="rId27" Type="http://schemas.openxmlformats.org/officeDocument/2006/relationships/image" Target="media/image11.png"/><Relationship Id="rId30" Type="http://schemas.openxmlformats.org/officeDocument/2006/relationships/image" Target="media/image14.png"/><Relationship Id="rId8"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5016419-90E5-45A8-81C8-1EF7FEAD482A}" type="doc">
      <dgm:prSet loTypeId="urn:microsoft.com/office/officeart/2005/8/layout/hProcess7" loCatId="list" qsTypeId="urn:microsoft.com/office/officeart/2005/8/quickstyle/simple1" qsCatId="simple" csTypeId="urn:microsoft.com/office/officeart/2005/8/colors/accent1_2" csCatId="accent1" phldr="1"/>
      <dgm:spPr/>
      <dgm:t>
        <a:bodyPr/>
        <a:lstStyle/>
        <a:p>
          <a:endParaRPr lang="en-US"/>
        </a:p>
      </dgm:t>
    </dgm:pt>
    <dgm:pt modelId="{B288C378-F13C-4AD6-BBCE-9B1D9B094E20}">
      <dgm:prSet phldrT="[Text]"/>
      <dgm:spPr>
        <a:xfrm>
          <a:off x="458" y="0"/>
          <a:ext cx="1972545" cy="136062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a:solidFill>
                <a:sysClr val="windowText" lastClr="000000"/>
              </a:solidFill>
              <a:latin typeface="Calibri" panose="020F0502020204030204"/>
              <a:ea typeface="+mn-ea"/>
              <a:cs typeface="+mn-cs"/>
            </a:rPr>
            <a:t>NHS Long Term Plan  (2019) </a:t>
          </a:r>
        </a:p>
      </dgm:t>
    </dgm:pt>
    <dgm:pt modelId="{E6C2BCEB-180E-4DFD-A6EF-896FBEFBB00C}" type="parTrans" cxnId="{DB7ECC6C-881A-43A8-A8B8-15519E5B0BC0}">
      <dgm:prSet/>
      <dgm:spPr/>
      <dgm:t>
        <a:bodyPr/>
        <a:lstStyle/>
        <a:p>
          <a:endParaRPr lang="en-US"/>
        </a:p>
      </dgm:t>
    </dgm:pt>
    <dgm:pt modelId="{16957FD3-F889-489E-B5E7-10546B2611F7}" type="sibTrans" cxnId="{DB7ECC6C-881A-43A8-A8B8-15519E5B0BC0}">
      <dgm:prSet/>
      <dgm:spPr/>
      <dgm:t>
        <a:bodyPr/>
        <a:lstStyle/>
        <a:p>
          <a:endParaRPr lang="en-US"/>
        </a:p>
      </dgm:t>
    </dgm:pt>
    <dgm:pt modelId="{CC08F1B0-8B5F-446A-8F2D-ABA6496F5CC5}">
      <dgm:prSet phldrT="[Text]" custT="1"/>
      <dgm:spPr>
        <a:xfrm>
          <a:off x="394967" y="0"/>
          <a:ext cx="1469546" cy="1360627"/>
        </a:xfrm>
        <a:prstGeom prst="rect">
          <a:avLst/>
        </a:prstGeom>
        <a:noFill/>
        <a:ln w="12700" cap="flat" cmpd="sng" algn="ctr">
          <a:noFill/>
          <a:prstDash val="solid"/>
          <a:miter lim="800000"/>
        </a:ln>
        <a:effectLst/>
        <a:sp3d/>
      </dgm:spPr>
      <dgm:t>
        <a:bodyPr/>
        <a:lstStyle/>
        <a:p>
          <a:endParaRPr lang="en-US" sz="1200">
            <a:solidFill>
              <a:sysClr val="window" lastClr="FFFFFF"/>
            </a:solidFill>
            <a:latin typeface="Calibri" panose="020F0502020204030204"/>
            <a:ea typeface="+mn-ea"/>
            <a:cs typeface="+mn-cs"/>
          </a:endParaRPr>
        </a:p>
        <a:p>
          <a:endParaRPr lang="en-US" sz="1200">
            <a:solidFill>
              <a:sysClr val="window" lastClr="FFFFFF"/>
            </a:solidFill>
            <a:latin typeface="Calibri" panose="020F0502020204030204"/>
            <a:ea typeface="+mn-ea"/>
            <a:cs typeface="+mn-cs"/>
          </a:endParaRPr>
        </a:p>
        <a:p>
          <a:r>
            <a:rPr lang="en-US" sz="1200">
              <a:solidFill>
                <a:sysClr val="window" lastClr="FFFFFF"/>
              </a:solidFill>
              <a:latin typeface="Calibri" panose="020F0502020204030204"/>
              <a:ea typeface="+mn-ea"/>
              <a:cs typeface="+mn-cs"/>
            </a:rPr>
            <a:t>By supporting the Health Board’s plan to address deliver clinical targets and improved health outcomes.</a:t>
          </a:r>
        </a:p>
      </dgm:t>
    </dgm:pt>
    <dgm:pt modelId="{67E48F03-FD1D-4DAE-B0EB-9FC226D893B6}" type="parTrans" cxnId="{9E7AE615-3FDB-4BA0-903B-AF74F8E3DB96}">
      <dgm:prSet/>
      <dgm:spPr/>
      <dgm:t>
        <a:bodyPr/>
        <a:lstStyle/>
        <a:p>
          <a:endParaRPr lang="en-US"/>
        </a:p>
      </dgm:t>
    </dgm:pt>
    <dgm:pt modelId="{4C63BE2F-8254-40C4-B4FC-E0E722AA7223}" type="sibTrans" cxnId="{9E7AE615-3FDB-4BA0-903B-AF74F8E3DB96}">
      <dgm:prSet/>
      <dgm:spPr/>
      <dgm:t>
        <a:bodyPr/>
        <a:lstStyle/>
        <a:p>
          <a:endParaRPr lang="en-US"/>
        </a:p>
      </dgm:t>
    </dgm:pt>
    <dgm:pt modelId="{9F0E5593-3474-4AEF-B644-A8FAA542E9DD}">
      <dgm:prSet phldrT="[Text]"/>
      <dgm:spPr>
        <a:xfrm>
          <a:off x="4083626" y="0"/>
          <a:ext cx="1972545" cy="136062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GB">
              <a:solidFill>
                <a:sysClr val="windowText" lastClr="000000"/>
              </a:solidFill>
              <a:latin typeface="Calibri" panose="020F0502020204030204"/>
              <a:ea typeface="+mn-ea"/>
              <a:cs typeface="+mn-cs"/>
            </a:rPr>
            <a:t>Health Board’s Clinical Strategy (2019-2024) </a:t>
          </a:r>
          <a:endParaRPr lang="en-US">
            <a:solidFill>
              <a:sysClr val="windowText" lastClr="000000"/>
            </a:solidFill>
            <a:latin typeface="Calibri" panose="020F0502020204030204"/>
            <a:ea typeface="+mn-ea"/>
            <a:cs typeface="+mn-cs"/>
          </a:endParaRPr>
        </a:p>
      </dgm:t>
    </dgm:pt>
    <dgm:pt modelId="{793513F3-C4A1-4533-A601-DEA139BD253D}" type="parTrans" cxnId="{0690314B-BDBD-4A8A-8FD0-2299A7893D3B}">
      <dgm:prSet/>
      <dgm:spPr/>
      <dgm:t>
        <a:bodyPr/>
        <a:lstStyle/>
        <a:p>
          <a:endParaRPr lang="en-US"/>
        </a:p>
      </dgm:t>
    </dgm:pt>
    <dgm:pt modelId="{1C4976F9-21C1-4E00-8A63-0A752559C670}" type="sibTrans" cxnId="{0690314B-BDBD-4A8A-8FD0-2299A7893D3B}">
      <dgm:prSet/>
      <dgm:spPr/>
      <dgm:t>
        <a:bodyPr/>
        <a:lstStyle/>
        <a:p>
          <a:endParaRPr lang="en-US"/>
        </a:p>
      </dgm:t>
    </dgm:pt>
    <dgm:pt modelId="{1FED29E7-4B5B-49B4-B6CE-D3071BEED77E}">
      <dgm:prSet phldrT="[Text]" custT="1"/>
      <dgm:spPr>
        <a:xfrm>
          <a:off x="4478135" y="0"/>
          <a:ext cx="1469546" cy="1360627"/>
        </a:xfrm>
        <a:prstGeom prst="rect">
          <a:avLst/>
        </a:prstGeom>
        <a:noFill/>
        <a:ln w="12700" cap="flat" cmpd="sng" algn="ctr">
          <a:noFill/>
          <a:prstDash val="solid"/>
          <a:miter lim="800000"/>
        </a:ln>
        <a:effectLst/>
        <a:sp3d/>
      </dgm:spPr>
      <dgm:t>
        <a:bodyPr/>
        <a:lstStyle/>
        <a:p>
          <a:endParaRPr lang="en-GB" sz="1200">
            <a:solidFill>
              <a:sysClr val="window" lastClr="FFFFFF"/>
            </a:solidFill>
            <a:latin typeface="Calibri" panose="020F0502020204030204"/>
            <a:ea typeface="+mn-ea"/>
            <a:cs typeface="+mn-cs"/>
          </a:endParaRPr>
        </a:p>
        <a:p>
          <a:r>
            <a:rPr lang="en-GB" sz="1200">
              <a:solidFill>
                <a:sysClr val="window" lastClr="FFFFFF"/>
              </a:solidFill>
              <a:latin typeface="Calibri" panose="020F0502020204030204"/>
              <a:ea typeface="+mn-ea"/>
              <a:cs typeface="+mn-cs"/>
            </a:rPr>
            <a:t>By improving the population’s health so people can stay well</a:t>
          </a:r>
        </a:p>
        <a:p>
          <a:r>
            <a:rPr lang="en-GB" sz="1200">
              <a:solidFill>
                <a:sysClr val="window" lastClr="FFFFFF"/>
              </a:solidFill>
              <a:latin typeface="Calibri" panose="020F0502020204030204"/>
              <a:ea typeface="+mn-ea"/>
              <a:cs typeface="+mn-cs"/>
            </a:rPr>
            <a:t>By delivering high quality care when people need it</a:t>
          </a:r>
          <a:endParaRPr lang="en-US" sz="1200">
            <a:solidFill>
              <a:sysClr val="window" lastClr="FFFFFF"/>
            </a:solidFill>
            <a:latin typeface="Calibri" panose="020F0502020204030204"/>
            <a:ea typeface="+mn-ea"/>
            <a:cs typeface="+mn-cs"/>
          </a:endParaRPr>
        </a:p>
      </dgm:t>
    </dgm:pt>
    <dgm:pt modelId="{B28071D8-81E6-444F-8727-BC2AD84C0957}" type="parTrans" cxnId="{F77D31A7-7B18-4CBC-BFDE-F82AE4154539}">
      <dgm:prSet/>
      <dgm:spPr/>
      <dgm:t>
        <a:bodyPr/>
        <a:lstStyle/>
        <a:p>
          <a:endParaRPr lang="en-US"/>
        </a:p>
      </dgm:t>
    </dgm:pt>
    <dgm:pt modelId="{0E11CE56-3754-49FD-8153-85C5AE4E6FE0}" type="sibTrans" cxnId="{F77D31A7-7B18-4CBC-BFDE-F82AE4154539}">
      <dgm:prSet/>
      <dgm:spPr/>
      <dgm:t>
        <a:bodyPr/>
        <a:lstStyle/>
        <a:p>
          <a:endParaRPr lang="en-US"/>
        </a:p>
      </dgm:t>
    </dgm:pt>
    <dgm:pt modelId="{ED3A1F27-B28E-48C7-A921-51DAD3E8D3C9}">
      <dgm:prSet phldrT="[Text]" custT="1"/>
      <dgm:spPr>
        <a:xfrm>
          <a:off x="2436551" y="0"/>
          <a:ext cx="1469546" cy="1360627"/>
        </a:xfrm>
        <a:prstGeom prst="rect">
          <a:avLst/>
        </a:prstGeom>
        <a:noFill/>
        <a:ln w="12700" cap="flat" cmpd="sng" algn="ctr">
          <a:noFill/>
          <a:prstDash val="solid"/>
          <a:miter lim="800000"/>
        </a:ln>
        <a:effectLst/>
        <a:sp3d/>
      </dgm:spPr>
      <dgm:t>
        <a:bodyPr/>
        <a:lstStyle/>
        <a:p>
          <a:r>
            <a:rPr lang="en-GB" sz="1200">
              <a:solidFill>
                <a:sysClr val="window" lastClr="FFFFFF"/>
              </a:solidFill>
              <a:latin typeface="Calibri" panose="020F0502020204030204"/>
              <a:ea typeface="+mn-ea"/>
              <a:cs typeface="+mn-cs"/>
            </a:rPr>
            <a:t>By maximising people’s physical and wellbeing </a:t>
          </a:r>
        </a:p>
        <a:p>
          <a:r>
            <a:rPr lang="en-GB" sz="1200">
              <a:solidFill>
                <a:sysClr val="window" lastClr="FFFFFF"/>
              </a:solidFill>
              <a:latin typeface="Calibri" panose="020F0502020204030204"/>
              <a:ea typeface="+mn-ea"/>
              <a:cs typeface="+mn-cs"/>
            </a:rPr>
            <a:t>By providing sustainable regional CT-Sim services for cancer patients</a:t>
          </a:r>
        </a:p>
        <a:p>
          <a:r>
            <a:rPr lang="en-US" sz="1200">
              <a:solidFill>
                <a:sysClr val="window" lastClr="FFFFFF"/>
              </a:solidFill>
              <a:latin typeface="Calibri" panose="020F0502020204030204"/>
              <a:ea typeface="+mn-ea"/>
              <a:cs typeface="+mn-cs"/>
            </a:rPr>
            <a:t>By promoting reduced embodied carbons and green ernergy solutions </a:t>
          </a:r>
        </a:p>
      </dgm:t>
    </dgm:pt>
    <dgm:pt modelId="{482CFC5E-F36E-4BF2-87D6-1315382AF24D}" type="sibTrans" cxnId="{33143260-4B08-4699-89E5-E2C6D0D8FE79}">
      <dgm:prSet/>
      <dgm:spPr/>
      <dgm:t>
        <a:bodyPr/>
        <a:lstStyle/>
        <a:p>
          <a:endParaRPr lang="en-US"/>
        </a:p>
      </dgm:t>
    </dgm:pt>
    <dgm:pt modelId="{FE15E00F-9BF3-4F9C-A13D-6C43AC379E7D}" type="parTrans" cxnId="{33143260-4B08-4699-89E5-E2C6D0D8FE79}">
      <dgm:prSet/>
      <dgm:spPr/>
      <dgm:t>
        <a:bodyPr/>
        <a:lstStyle/>
        <a:p>
          <a:endParaRPr lang="en-US"/>
        </a:p>
      </dgm:t>
    </dgm:pt>
    <dgm:pt modelId="{20873E96-6F68-4626-921C-A3F51A3B03EB}">
      <dgm:prSet phldrT="[Text]"/>
      <dgm:spPr>
        <a:xfrm>
          <a:off x="2042042" y="0"/>
          <a:ext cx="1972545" cy="136062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a:solidFill>
                <a:sysClr val="windowText" lastClr="000000"/>
              </a:solidFill>
              <a:latin typeface="Calibri" panose="020F0502020204030204"/>
              <a:ea typeface="+mn-ea"/>
              <a:cs typeface="+mn-cs"/>
            </a:rPr>
            <a:t>The Wellbeing of Future Generations (Wales) Act</a:t>
          </a:r>
        </a:p>
      </dgm:t>
    </dgm:pt>
    <dgm:pt modelId="{6A18E2E6-3503-4CC1-A46F-E664C0FAEE24}" type="sibTrans" cxnId="{0FEB5815-064A-42CF-AE89-90FACF961067}">
      <dgm:prSet/>
      <dgm:spPr/>
      <dgm:t>
        <a:bodyPr/>
        <a:lstStyle/>
        <a:p>
          <a:endParaRPr lang="en-US"/>
        </a:p>
      </dgm:t>
    </dgm:pt>
    <dgm:pt modelId="{1999A12A-1C38-4B2C-9567-4EBBB032116B}" type="parTrans" cxnId="{0FEB5815-064A-42CF-AE89-90FACF961067}">
      <dgm:prSet/>
      <dgm:spPr/>
      <dgm:t>
        <a:bodyPr/>
        <a:lstStyle/>
        <a:p>
          <a:endParaRPr lang="en-US"/>
        </a:p>
      </dgm:t>
    </dgm:pt>
    <dgm:pt modelId="{48078E98-174E-4DD8-A97F-493BA6B06758}">
      <dgm:prSet custT="1"/>
      <dgm:spPr/>
      <dgm:t>
        <a:bodyPr/>
        <a:lstStyle/>
        <a:p>
          <a:endParaRPr lang="en-US" sz="1200">
            <a:solidFill>
              <a:sysClr val="window" lastClr="FFFFFF"/>
            </a:solidFill>
            <a:latin typeface="Calibri" panose="020F0502020204030204"/>
            <a:ea typeface="+mn-ea"/>
            <a:cs typeface="+mn-cs"/>
          </a:endParaRPr>
        </a:p>
      </dgm:t>
    </dgm:pt>
    <dgm:pt modelId="{A0100FA9-BA1C-499B-97F6-5FFAFB62C2AF}" type="parTrans" cxnId="{0CFAEF12-D2AC-4794-A0ED-09EB079E6DB9}">
      <dgm:prSet/>
      <dgm:spPr/>
      <dgm:t>
        <a:bodyPr/>
        <a:lstStyle/>
        <a:p>
          <a:endParaRPr lang="en-US"/>
        </a:p>
      </dgm:t>
    </dgm:pt>
    <dgm:pt modelId="{BB236F91-7C93-4576-8DC0-4FE9DD375736}" type="sibTrans" cxnId="{0CFAEF12-D2AC-4794-A0ED-09EB079E6DB9}">
      <dgm:prSet/>
      <dgm:spPr/>
      <dgm:t>
        <a:bodyPr/>
        <a:lstStyle/>
        <a:p>
          <a:endParaRPr lang="en-US"/>
        </a:p>
      </dgm:t>
    </dgm:pt>
    <dgm:pt modelId="{90493417-E064-4EF9-829B-46A0C55125A0}" type="pres">
      <dgm:prSet presAssocID="{C5016419-90E5-45A8-81C8-1EF7FEAD482A}" presName="Name0" presStyleCnt="0">
        <dgm:presLayoutVars>
          <dgm:dir/>
          <dgm:animLvl val="lvl"/>
          <dgm:resizeHandles val="exact"/>
        </dgm:presLayoutVars>
      </dgm:prSet>
      <dgm:spPr/>
      <dgm:t>
        <a:bodyPr/>
        <a:lstStyle/>
        <a:p>
          <a:endParaRPr lang="en-US"/>
        </a:p>
      </dgm:t>
    </dgm:pt>
    <dgm:pt modelId="{B293BDB6-50C8-4F77-A78A-4E9E961BC64D}" type="pres">
      <dgm:prSet presAssocID="{B288C378-F13C-4AD6-BBCE-9B1D9B094E20}" presName="compositeNode" presStyleCnt="0">
        <dgm:presLayoutVars>
          <dgm:bulletEnabled val="1"/>
        </dgm:presLayoutVars>
      </dgm:prSet>
      <dgm:spPr/>
    </dgm:pt>
    <dgm:pt modelId="{6F4A08F9-4090-4456-A358-E258F193CD88}" type="pres">
      <dgm:prSet presAssocID="{B288C378-F13C-4AD6-BBCE-9B1D9B094E20}" presName="bgRect" presStyleLbl="node1" presStyleIdx="0" presStyleCnt="3"/>
      <dgm:spPr/>
      <dgm:t>
        <a:bodyPr/>
        <a:lstStyle/>
        <a:p>
          <a:endParaRPr lang="en-US"/>
        </a:p>
      </dgm:t>
    </dgm:pt>
    <dgm:pt modelId="{7BC65933-CBA0-49F8-9B04-869AB1B8207E}" type="pres">
      <dgm:prSet presAssocID="{B288C378-F13C-4AD6-BBCE-9B1D9B094E20}" presName="parentNode" presStyleLbl="node1" presStyleIdx="0" presStyleCnt="3">
        <dgm:presLayoutVars>
          <dgm:chMax val="0"/>
          <dgm:bulletEnabled val="1"/>
        </dgm:presLayoutVars>
      </dgm:prSet>
      <dgm:spPr/>
      <dgm:t>
        <a:bodyPr/>
        <a:lstStyle/>
        <a:p>
          <a:endParaRPr lang="en-US"/>
        </a:p>
      </dgm:t>
    </dgm:pt>
    <dgm:pt modelId="{B64037B1-0CFA-41C5-B7B5-F501625638AD}" type="pres">
      <dgm:prSet presAssocID="{B288C378-F13C-4AD6-BBCE-9B1D9B094E20}" presName="childNode" presStyleLbl="node1" presStyleIdx="0" presStyleCnt="3">
        <dgm:presLayoutVars>
          <dgm:bulletEnabled val="1"/>
        </dgm:presLayoutVars>
      </dgm:prSet>
      <dgm:spPr/>
      <dgm:t>
        <a:bodyPr/>
        <a:lstStyle/>
        <a:p>
          <a:endParaRPr lang="en-US"/>
        </a:p>
      </dgm:t>
    </dgm:pt>
    <dgm:pt modelId="{2FA08B65-D543-4B40-815E-BEBCE01E5F69}" type="pres">
      <dgm:prSet presAssocID="{16957FD3-F889-489E-B5E7-10546B2611F7}" presName="hSp" presStyleCnt="0"/>
      <dgm:spPr/>
    </dgm:pt>
    <dgm:pt modelId="{52201F0F-F070-4829-A299-6D8CB571FA22}" type="pres">
      <dgm:prSet presAssocID="{16957FD3-F889-489E-B5E7-10546B2611F7}" presName="vProcSp" presStyleCnt="0"/>
      <dgm:spPr/>
    </dgm:pt>
    <dgm:pt modelId="{BD787330-F90E-49F0-9C88-C9033F2FC36C}" type="pres">
      <dgm:prSet presAssocID="{16957FD3-F889-489E-B5E7-10546B2611F7}" presName="vSp1" presStyleCnt="0"/>
      <dgm:spPr/>
    </dgm:pt>
    <dgm:pt modelId="{B5AB5F0D-F16F-44A2-927B-94E0D0B54EE1}" type="pres">
      <dgm:prSet presAssocID="{16957FD3-F889-489E-B5E7-10546B2611F7}" presName="simulatedConn" presStyleLbl="solidFgAcc1" presStyleIdx="0" presStyleCnt="2" custAng="10800000" custFlipVert="1" custFlipHor="0" custScaleX="90182" custScaleY="96713" custLinFactX="-300000" custLinFactNeighborX="-334155" custLinFactNeighborY="23670"/>
      <dgm:spPr>
        <a:xfrm rot="5400000" flipV="1">
          <a:off x="78383" y="1057693"/>
          <a:ext cx="194345" cy="266832"/>
        </a:xfrm>
        <a:prstGeom prst="flowChartExtract">
          <a:avLst/>
        </a:prstGeom>
        <a:solidFill>
          <a:srgbClr val="5B9BD5"/>
        </a:solidFill>
        <a:ln w="12700" cap="flat" cmpd="sng" algn="ctr">
          <a:solidFill>
            <a:srgbClr val="5B9BD5">
              <a:hueOff val="0"/>
              <a:satOff val="0"/>
              <a:lumOff val="0"/>
              <a:alphaOff val="0"/>
            </a:srgbClr>
          </a:solidFill>
          <a:prstDash val="solid"/>
          <a:miter lim="800000"/>
        </a:ln>
        <a:effectLst/>
      </dgm:spPr>
      <dgm:t>
        <a:bodyPr/>
        <a:lstStyle/>
        <a:p>
          <a:endParaRPr lang="en-US"/>
        </a:p>
      </dgm:t>
    </dgm:pt>
    <dgm:pt modelId="{6922C1D1-CF5B-4939-85AF-A25305A9FA4F}" type="pres">
      <dgm:prSet presAssocID="{16957FD3-F889-489E-B5E7-10546B2611F7}" presName="vSp2" presStyleCnt="0"/>
      <dgm:spPr/>
    </dgm:pt>
    <dgm:pt modelId="{8EA021E2-E78C-4B35-987D-8E6321000105}" type="pres">
      <dgm:prSet presAssocID="{16957FD3-F889-489E-B5E7-10546B2611F7}" presName="sibTrans" presStyleCnt="0"/>
      <dgm:spPr/>
    </dgm:pt>
    <dgm:pt modelId="{86C42B57-8268-4373-8D6C-A75A2628F3F6}" type="pres">
      <dgm:prSet presAssocID="{20873E96-6F68-4626-921C-A3F51A3B03EB}" presName="compositeNode" presStyleCnt="0">
        <dgm:presLayoutVars>
          <dgm:bulletEnabled val="1"/>
        </dgm:presLayoutVars>
      </dgm:prSet>
      <dgm:spPr/>
    </dgm:pt>
    <dgm:pt modelId="{5809CD94-8BCC-4572-9C19-027FC089ECEB}" type="pres">
      <dgm:prSet presAssocID="{20873E96-6F68-4626-921C-A3F51A3B03EB}" presName="bgRect" presStyleLbl="node1" presStyleIdx="1" presStyleCnt="3"/>
      <dgm:spPr/>
      <dgm:t>
        <a:bodyPr/>
        <a:lstStyle/>
        <a:p>
          <a:endParaRPr lang="en-US"/>
        </a:p>
      </dgm:t>
    </dgm:pt>
    <dgm:pt modelId="{F836165C-094C-4AD2-A679-41759049323F}" type="pres">
      <dgm:prSet presAssocID="{20873E96-6F68-4626-921C-A3F51A3B03EB}" presName="parentNode" presStyleLbl="node1" presStyleIdx="1" presStyleCnt="3">
        <dgm:presLayoutVars>
          <dgm:chMax val="0"/>
          <dgm:bulletEnabled val="1"/>
        </dgm:presLayoutVars>
      </dgm:prSet>
      <dgm:spPr/>
      <dgm:t>
        <a:bodyPr/>
        <a:lstStyle/>
        <a:p>
          <a:endParaRPr lang="en-US"/>
        </a:p>
      </dgm:t>
    </dgm:pt>
    <dgm:pt modelId="{A3F87DD3-A0FB-462B-A263-211AE3962D34}" type="pres">
      <dgm:prSet presAssocID="{20873E96-6F68-4626-921C-A3F51A3B03EB}" presName="childNode" presStyleLbl="node1" presStyleIdx="1" presStyleCnt="3">
        <dgm:presLayoutVars>
          <dgm:bulletEnabled val="1"/>
        </dgm:presLayoutVars>
      </dgm:prSet>
      <dgm:spPr/>
      <dgm:t>
        <a:bodyPr/>
        <a:lstStyle/>
        <a:p>
          <a:endParaRPr lang="en-US"/>
        </a:p>
      </dgm:t>
    </dgm:pt>
    <dgm:pt modelId="{F429650E-CF78-4C68-B443-3898A7AD2A90}" type="pres">
      <dgm:prSet presAssocID="{6A18E2E6-3503-4CC1-A46F-E664C0FAEE24}" presName="hSp" presStyleCnt="0"/>
      <dgm:spPr/>
    </dgm:pt>
    <dgm:pt modelId="{2D8846BD-C263-4125-845F-BCC1F9FDED05}" type="pres">
      <dgm:prSet presAssocID="{6A18E2E6-3503-4CC1-A46F-E664C0FAEE24}" presName="vProcSp" presStyleCnt="0"/>
      <dgm:spPr/>
    </dgm:pt>
    <dgm:pt modelId="{58CEFC18-59DF-40CB-876F-5EB2C395FA66}" type="pres">
      <dgm:prSet presAssocID="{6A18E2E6-3503-4CC1-A46F-E664C0FAEE24}" presName="vSp1" presStyleCnt="0"/>
      <dgm:spPr/>
    </dgm:pt>
    <dgm:pt modelId="{B803CDEE-75BF-47EE-9FF6-6ADEEFADC184}" type="pres">
      <dgm:prSet presAssocID="{6A18E2E6-3503-4CC1-A46F-E664C0FAEE24}" presName="simulatedConn" presStyleLbl="solidFgAcc1" presStyleIdx="1" presStyleCnt="2" custFlipHor="1" custScaleY="85848" custLinFactX="294840" custLinFactNeighborX="300000" custLinFactNeighborY="-19183"/>
      <dgm:spPr>
        <a:xfrm rot="16200000" flipH="1">
          <a:off x="5765827" y="1010940"/>
          <a:ext cx="175368" cy="295881"/>
        </a:xfrm>
        <a:prstGeom prst="flowChartExtract">
          <a:avLst/>
        </a:prstGeom>
        <a:solidFill>
          <a:srgbClr val="5B9BD5"/>
        </a:solidFill>
        <a:ln w="12700" cap="flat" cmpd="sng" algn="ctr">
          <a:solidFill>
            <a:srgbClr val="5B9BD5">
              <a:hueOff val="0"/>
              <a:satOff val="0"/>
              <a:lumOff val="0"/>
              <a:alphaOff val="0"/>
            </a:srgbClr>
          </a:solidFill>
          <a:prstDash val="solid"/>
          <a:miter lim="800000"/>
        </a:ln>
        <a:effectLst/>
      </dgm:spPr>
      <dgm:t>
        <a:bodyPr/>
        <a:lstStyle/>
        <a:p>
          <a:endParaRPr lang="en-US"/>
        </a:p>
      </dgm:t>
    </dgm:pt>
    <dgm:pt modelId="{049E3F96-2B94-46BD-ACEB-3364F7F03809}" type="pres">
      <dgm:prSet presAssocID="{6A18E2E6-3503-4CC1-A46F-E664C0FAEE24}" presName="vSp2" presStyleCnt="0"/>
      <dgm:spPr/>
    </dgm:pt>
    <dgm:pt modelId="{710B8F8C-DB7A-48F9-8B4E-1D2D2201BE58}" type="pres">
      <dgm:prSet presAssocID="{6A18E2E6-3503-4CC1-A46F-E664C0FAEE24}" presName="sibTrans" presStyleCnt="0"/>
      <dgm:spPr/>
    </dgm:pt>
    <dgm:pt modelId="{92216FFE-F75D-4F69-995C-1885847AD6D3}" type="pres">
      <dgm:prSet presAssocID="{9F0E5593-3474-4AEF-B644-A8FAA542E9DD}" presName="compositeNode" presStyleCnt="0">
        <dgm:presLayoutVars>
          <dgm:bulletEnabled val="1"/>
        </dgm:presLayoutVars>
      </dgm:prSet>
      <dgm:spPr/>
    </dgm:pt>
    <dgm:pt modelId="{647A6B25-55F5-4C6C-86BD-F10C9CB536D8}" type="pres">
      <dgm:prSet presAssocID="{9F0E5593-3474-4AEF-B644-A8FAA542E9DD}" presName="bgRect" presStyleLbl="node1" presStyleIdx="2" presStyleCnt="3"/>
      <dgm:spPr/>
      <dgm:t>
        <a:bodyPr/>
        <a:lstStyle/>
        <a:p>
          <a:endParaRPr lang="en-US"/>
        </a:p>
      </dgm:t>
    </dgm:pt>
    <dgm:pt modelId="{7A4A6B7A-DD82-4E91-813A-2018E42E36A0}" type="pres">
      <dgm:prSet presAssocID="{9F0E5593-3474-4AEF-B644-A8FAA542E9DD}" presName="parentNode" presStyleLbl="node1" presStyleIdx="2" presStyleCnt="3">
        <dgm:presLayoutVars>
          <dgm:chMax val="0"/>
          <dgm:bulletEnabled val="1"/>
        </dgm:presLayoutVars>
      </dgm:prSet>
      <dgm:spPr/>
      <dgm:t>
        <a:bodyPr/>
        <a:lstStyle/>
        <a:p>
          <a:endParaRPr lang="en-US"/>
        </a:p>
      </dgm:t>
    </dgm:pt>
    <dgm:pt modelId="{CA33627C-F3B0-467C-BA94-D3DE6C92239A}" type="pres">
      <dgm:prSet presAssocID="{9F0E5593-3474-4AEF-B644-A8FAA542E9DD}" presName="childNode" presStyleLbl="node1" presStyleIdx="2" presStyleCnt="3">
        <dgm:presLayoutVars>
          <dgm:bulletEnabled val="1"/>
        </dgm:presLayoutVars>
      </dgm:prSet>
      <dgm:spPr/>
      <dgm:t>
        <a:bodyPr/>
        <a:lstStyle/>
        <a:p>
          <a:endParaRPr lang="en-US"/>
        </a:p>
      </dgm:t>
    </dgm:pt>
  </dgm:ptLst>
  <dgm:cxnLst>
    <dgm:cxn modelId="{F77D31A7-7B18-4CBC-BFDE-F82AE4154539}" srcId="{9F0E5593-3474-4AEF-B644-A8FAA542E9DD}" destId="{1FED29E7-4B5B-49B4-B6CE-D3071BEED77E}" srcOrd="0" destOrd="0" parTransId="{B28071D8-81E6-444F-8727-BC2AD84C0957}" sibTransId="{0E11CE56-3754-49FD-8153-85C5AE4E6FE0}"/>
    <dgm:cxn modelId="{33143260-4B08-4699-89E5-E2C6D0D8FE79}" srcId="{20873E96-6F68-4626-921C-A3F51A3B03EB}" destId="{ED3A1F27-B28E-48C7-A921-51DAD3E8D3C9}" srcOrd="0" destOrd="0" parTransId="{FE15E00F-9BF3-4F9C-A13D-6C43AC379E7D}" sibTransId="{482CFC5E-F36E-4BF2-87D6-1315382AF24D}"/>
    <dgm:cxn modelId="{FB8090B0-742A-41EA-A525-20A27872D17A}" type="presOf" srcId="{9F0E5593-3474-4AEF-B644-A8FAA542E9DD}" destId="{7A4A6B7A-DD82-4E91-813A-2018E42E36A0}" srcOrd="1" destOrd="0" presId="urn:microsoft.com/office/officeart/2005/8/layout/hProcess7"/>
    <dgm:cxn modelId="{51D10D15-54C3-4369-93AE-98C11A93188A}" type="presOf" srcId="{20873E96-6F68-4626-921C-A3F51A3B03EB}" destId="{5809CD94-8BCC-4572-9C19-027FC089ECEB}" srcOrd="0" destOrd="0" presId="urn:microsoft.com/office/officeart/2005/8/layout/hProcess7"/>
    <dgm:cxn modelId="{86C808AC-2A53-4140-8178-309C19F503D9}" type="presOf" srcId="{1FED29E7-4B5B-49B4-B6CE-D3071BEED77E}" destId="{CA33627C-F3B0-467C-BA94-D3DE6C92239A}" srcOrd="0" destOrd="0" presId="urn:microsoft.com/office/officeart/2005/8/layout/hProcess7"/>
    <dgm:cxn modelId="{47B35053-C232-4243-8EB2-41CAF14FED2B}" type="presOf" srcId="{ED3A1F27-B28E-48C7-A921-51DAD3E8D3C9}" destId="{A3F87DD3-A0FB-462B-A263-211AE3962D34}" srcOrd="0" destOrd="0" presId="urn:microsoft.com/office/officeart/2005/8/layout/hProcess7"/>
    <dgm:cxn modelId="{DB7ECC6C-881A-43A8-A8B8-15519E5B0BC0}" srcId="{C5016419-90E5-45A8-81C8-1EF7FEAD482A}" destId="{B288C378-F13C-4AD6-BBCE-9B1D9B094E20}" srcOrd="0" destOrd="0" parTransId="{E6C2BCEB-180E-4DFD-A6EF-896FBEFBB00C}" sibTransId="{16957FD3-F889-489E-B5E7-10546B2611F7}"/>
    <dgm:cxn modelId="{0CFAEF12-D2AC-4794-A0ED-09EB079E6DB9}" srcId="{20873E96-6F68-4626-921C-A3F51A3B03EB}" destId="{48078E98-174E-4DD8-A97F-493BA6B06758}" srcOrd="1" destOrd="0" parTransId="{A0100FA9-BA1C-499B-97F6-5FFAFB62C2AF}" sibTransId="{BB236F91-7C93-4576-8DC0-4FE9DD375736}"/>
    <dgm:cxn modelId="{D09B9D84-37E0-49B9-83D7-CE9591B5989C}" type="presOf" srcId="{20873E96-6F68-4626-921C-A3F51A3B03EB}" destId="{F836165C-094C-4AD2-A679-41759049323F}" srcOrd="1" destOrd="0" presId="urn:microsoft.com/office/officeart/2005/8/layout/hProcess7"/>
    <dgm:cxn modelId="{D9961B67-0BFA-4552-9EBD-0A8113633370}" type="presOf" srcId="{9F0E5593-3474-4AEF-B644-A8FAA542E9DD}" destId="{647A6B25-55F5-4C6C-86BD-F10C9CB536D8}" srcOrd="0" destOrd="0" presId="urn:microsoft.com/office/officeart/2005/8/layout/hProcess7"/>
    <dgm:cxn modelId="{460C8FA2-47E5-418E-B320-11507E8C6217}" type="presOf" srcId="{B288C378-F13C-4AD6-BBCE-9B1D9B094E20}" destId="{7BC65933-CBA0-49F8-9B04-869AB1B8207E}" srcOrd="1" destOrd="0" presId="urn:microsoft.com/office/officeart/2005/8/layout/hProcess7"/>
    <dgm:cxn modelId="{5F78716D-C289-4CAA-9C48-8647FA4E0C71}" type="presOf" srcId="{48078E98-174E-4DD8-A97F-493BA6B06758}" destId="{A3F87DD3-A0FB-462B-A263-211AE3962D34}" srcOrd="0" destOrd="1" presId="urn:microsoft.com/office/officeart/2005/8/layout/hProcess7"/>
    <dgm:cxn modelId="{F7FEAF0D-8DC1-4C1E-92E3-F4A68F17150D}" type="presOf" srcId="{C5016419-90E5-45A8-81C8-1EF7FEAD482A}" destId="{90493417-E064-4EF9-829B-46A0C55125A0}" srcOrd="0" destOrd="0" presId="urn:microsoft.com/office/officeart/2005/8/layout/hProcess7"/>
    <dgm:cxn modelId="{9FEB2494-AC86-44E3-9014-86C463C7144A}" type="presOf" srcId="{CC08F1B0-8B5F-446A-8F2D-ABA6496F5CC5}" destId="{B64037B1-0CFA-41C5-B7B5-F501625638AD}" srcOrd="0" destOrd="0" presId="urn:microsoft.com/office/officeart/2005/8/layout/hProcess7"/>
    <dgm:cxn modelId="{0690314B-BDBD-4A8A-8FD0-2299A7893D3B}" srcId="{C5016419-90E5-45A8-81C8-1EF7FEAD482A}" destId="{9F0E5593-3474-4AEF-B644-A8FAA542E9DD}" srcOrd="2" destOrd="0" parTransId="{793513F3-C4A1-4533-A601-DEA139BD253D}" sibTransId="{1C4976F9-21C1-4E00-8A63-0A752559C670}"/>
    <dgm:cxn modelId="{0FEB5815-064A-42CF-AE89-90FACF961067}" srcId="{C5016419-90E5-45A8-81C8-1EF7FEAD482A}" destId="{20873E96-6F68-4626-921C-A3F51A3B03EB}" srcOrd="1" destOrd="0" parTransId="{1999A12A-1C38-4B2C-9567-4EBBB032116B}" sibTransId="{6A18E2E6-3503-4CC1-A46F-E664C0FAEE24}"/>
    <dgm:cxn modelId="{9E7AE615-3FDB-4BA0-903B-AF74F8E3DB96}" srcId="{B288C378-F13C-4AD6-BBCE-9B1D9B094E20}" destId="{CC08F1B0-8B5F-446A-8F2D-ABA6496F5CC5}" srcOrd="0" destOrd="0" parTransId="{67E48F03-FD1D-4DAE-B0EB-9FC226D893B6}" sibTransId="{4C63BE2F-8254-40C4-B4FC-E0E722AA7223}"/>
    <dgm:cxn modelId="{BF3E2B0D-DD51-44D7-9808-5711997AB8F2}" type="presOf" srcId="{B288C378-F13C-4AD6-BBCE-9B1D9B094E20}" destId="{6F4A08F9-4090-4456-A358-E258F193CD88}" srcOrd="0" destOrd="0" presId="urn:microsoft.com/office/officeart/2005/8/layout/hProcess7"/>
    <dgm:cxn modelId="{8D53E5F4-DD3D-4782-B642-15A206B9AF3D}" type="presParOf" srcId="{90493417-E064-4EF9-829B-46A0C55125A0}" destId="{B293BDB6-50C8-4F77-A78A-4E9E961BC64D}" srcOrd="0" destOrd="0" presId="urn:microsoft.com/office/officeart/2005/8/layout/hProcess7"/>
    <dgm:cxn modelId="{01F8FF3D-A89A-4CDD-B09E-C7FA1F9AEE14}" type="presParOf" srcId="{B293BDB6-50C8-4F77-A78A-4E9E961BC64D}" destId="{6F4A08F9-4090-4456-A358-E258F193CD88}" srcOrd="0" destOrd="0" presId="urn:microsoft.com/office/officeart/2005/8/layout/hProcess7"/>
    <dgm:cxn modelId="{33DB59CB-8E80-4A3E-B26D-7DD82AC77721}" type="presParOf" srcId="{B293BDB6-50C8-4F77-A78A-4E9E961BC64D}" destId="{7BC65933-CBA0-49F8-9B04-869AB1B8207E}" srcOrd="1" destOrd="0" presId="urn:microsoft.com/office/officeart/2005/8/layout/hProcess7"/>
    <dgm:cxn modelId="{4068F6F3-85A9-45C8-8834-9D297A9321F7}" type="presParOf" srcId="{B293BDB6-50C8-4F77-A78A-4E9E961BC64D}" destId="{B64037B1-0CFA-41C5-B7B5-F501625638AD}" srcOrd="2" destOrd="0" presId="urn:microsoft.com/office/officeart/2005/8/layout/hProcess7"/>
    <dgm:cxn modelId="{193F5C79-E9D8-4619-874D-9F85B61FF840}" type="presParOf" srcId="{90493417-E064-4EF9-829B-46A0C55125A0}" destId="{2FA08B65-D543-4B40-815E-BEBCE01E5F69}" srcOrd="1" destOrd="0" presId="urn:microsoft.com/office/officeart/2005/8/layout/hProcess7"/>
    <dgm:cxn modelId="{01504A29-3600-4741-952E-5EA7A565F56D}" type="presParOf" srcId="{90493417-E064-4EF9-829B-46A0C55125A0}" destId="{52201F0F-F070-4829-A299-6D8CB571FA22}" srcOrd="2" destOrd="0" presId="urn:microsoft.com/office/officeart/2005/8/layout/hProcess7"/>
    <dgm:cxn modelId="{0B47B031-586D-4E2F-8692-20DC4E921AA3}" type="presParOf" srcId="{52201F0F-F070-4829-A299-6D8CB571FA22}" destId="{BD787330-F90E-49F0-9C88-C9033F2FC36C}" srcOrd="0" destOrd="0" presId="urn:microsoft.com/office/officeart/2005/8/layout/hProcess7"/>
    <dgm:cxn modelId="{D43EA5E4-EE9A-40C4-B7FE-3402AA70CEBF}" type="presParOf" srcId="{52201F0F-F070-4829-A299-6D8CB571FA22}" destId="{B5AB5F0D-F16F-44A2-927B-94E0D0B54EE1}" srcOrd="1" destOrd="0" presId="urn:microsoft.com/office/officeart/2005/8/layout/hProcess7"/>
    <dgm:cxn modelId="{3243E403-363A-4A56-8B3C-94C52759057C}" type="presParOf" srcId="{52201F0F-F070-4829-A299-6D8CB571FA22}" destId="{6922C1D1-CF5B-4939-85AF-A25305A9FA4F}" srcOrd="2" destOrd="0" presId="urn:microsoft.com/office/officeart/2005/8/layout/hProcess7"/>
    <dgm:cxn modelId="{8BF84A19-AC30-4DCD-A88E-3AFC45561778}" type="presParOf" srcId="{90493417-E064-4EF9-829B-46A0C55125A0}" destId="{8EA021E2-E78C-4B35-987D-8E6321000105}" srcOrd="3" destOrd="0" presId="urn:microsoft.com/office/officeart/2005/8/layout/hProcess7"/>
    <dgm:cxn modelId="{E701487C-A514-4134-99F6-B089487D8A4D}" type="presParOf" srcId="{90493417-E064-4EF9-829B-46A0C55125A0}" destId="{86C42B57-8268-4373-8D6C-A75A2628F3F6}" srcOrd="4" destOrd="0" presId="urn:microsoft.com/office/officeart/2005/8/layout/hProcess7"/>
    <dgm:cxn modelId="{9B0B54BF-9BE5-4917-86C6-31AB070D1591}" type="presParOf" srcId="{86C42B57-8268-4373-8D6C-A75A2628F3F6}" destId="{5809CD94-8BCC-4572-9C19-027FC089ECEB}" srcOrd="0" destOrd="0" presId="urn:microsoft.com/office/officeart/2005/8/layout/hProcess7"/>
    <dgm:cxn modelId="{46F0766A-C767-4A22-BE3D-CCA153EB7B61}" type="presParOf" srcId="{86C42B57-8268-4373-8D6C-A75A2628F3F6}" destId="{F836165C-094C-4AD2-A679-41759049323F}" srcOrd="1" destOrd="0" presId="urn:microsoft.com/office/officeart/2005/8/layout/hProcess7"/>
    <dgm:cxn modelId="{F927E9EB-BD56-4C65-85E3-0C6209294E19}" type="presParOf" srcId="{86C42B57-8268-4373-8D6C-A75A2628F3F6}" destId="{A3F87DD3-A0FB-462B-A263-211AE3962D34}" srcOrd="2" destOrd="0" presId="urn:microsoft.com/office/officeart/2005/8/layout/hProcess7"/>
    <dgm:cxn modelId="{0511C555-7F22-4A82-81A8-9AFB4B48D12E}" type="presParOf" srcId="{90493417-E064-4EF9-829B-46A0C55125A0}" destId="{F429650E-CF78-4C68-B443-3898A7AD2A90}" srcOrd="5" destOrd="0" presId="urn:microsoft.com/office/officeart/2005/8/layout/hProcess7"/>
    <dgm:cxn modelId="{2B5BD6CF-EF0D-4A96-947E-F9BEE67015B0}" type="presParOf" srcId="{90493417-E064-4EF9-829B-46A0C55125A0}" destId="{2D8846BD-C263-4125-845F-BCC1F9FDED05}" srcOrd="6" destOrd="0" presId="urn:microsoft.com/office/officeart/2005/8/layout/hProcess7"/>
    <dgm:cxn modelId="{253BEDBC-022A-4F3F-A4E2-DBF6A398F434}" type="presParOf" srcId="{2D8846BD-C263-4125-845F-BCC1F9FDED05}" destId="{58CEFC18-59DF-40CB-876F-5EB2C395FA66}" srcOrd="0" destOrd="0" presId="urn:microsoft.com/office/officeart/2005/8/layout/hProcess7"/>
    <dgm:cxn modelId="{D14C254D-0452-4BF3-911E-A8AF3A3EE632}" type="presParOf" srcId="{2D8846BD-C263-4125-845F-BCC1F9FDED05}" destId="{B803CDEE-75BF-47EE-9FF6-6ADEEFADC184}" srcOrd="1" destOrd="0" presId="urn:microsoft.com/office/officeart/2005/8/layout/hProcess7"/>
    <dgm:cxn modelId="{50C97875-DAA0-443D-B298-F927B0FE5F12}" type="presParOf" srcId="{2D8846BD-C263-4125-845F-BCC1F9FDED05}" destId="{049E3F96-2B94-46BD-ACEB-3364F7F03809}" srcOrd="2" destOrd="0" presId="urn:microsoft.com/office/officeart/2005/8/layout/hProcess7"/>
    <dgm:cxn modelId="{43DF7490-5E1F-43B7-A8FA-B1176FDBC1B6}" type="presParOf" srcId="{90493417-E064-4EF9-829B-46A0C55125A0}" destId="{710B8F8C-DB7A-48F9-8B4E-1D2D2201BE58}" srcOrd="7" destOrd="0" presId="urn:microsoft.com/office/officeart/2005/8/layout/hProcess7"/>
    <dgm:cxn modelId="{7F2A2502-B903-44C0-8F6C-D3553B835C88}" type="presParOf" srcId="{90493417-E064-4EF9-829B-46A0C55125A0}" destId="{92216FFE-F75D-4F69-995C-1885847AD6D3}" srcOrd="8" destOrd="0" presId="urn:microsoft.com/office/officeart/2005/8/layout/hProcess7"/>
    <dgm:cxn modelId="{202E0E9A-4770-49E4-9AC8-73FEF7C7809E}" type="presParOf" srcId="{92216FFE-F75D-4F69-995C-1885847AD6D3}" destId="{647A6B25-55F5-4C6C-86BD-F10C9CB536D8}" srcOrd="0" destOrd="0" presId="urn:microsoft.com/office/officeart/2005/8/layout/hProcess7"/>
    <dgm:cxn modelId="{9EFA033A-5A4D-4DC1-BD5A-3717D3FA2452}" type="presParOf" srcId="{92216FFE-F75D-4F69-995C-1885847AD6D3}" destId="{7A4A6B7A-DD82-4E91-813A-2018E42E36A0}" srcOrd="1" destOrd="0" presId="urn:microsoft.com/office/officeart/2005/8/layout/hProcess7"/>
    <dgm:cxn modelId="{CC87FA93-8E79-4F6E-AF65-380BE62FB365}" type="presParOf" srcId="{92216FFE-F75D-4F69-995C-1885847AD6D3}" destId="{CA33627C-F3B0-467C-BA94-D3DE6C92239A}" srcOrd="2" destOrd="0" presId="urn:microsoft.com/office/officeart/2005/8/layout/hProcess7"/>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4A08F9-4090-4456-A358-E258F193CD88}">
      <dsp:nvSpPr>
        <dsp:cNvPr id="0" name=""/>
        <dsp:cNvSpPr/>
      </dsp:nvSpPr>
      <dsp:spPr>
        <a:xfrm>
          <a:off x="458" y="0"/>
          <a:ext cx="1972545" cy="172296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34290" rIns="44450" bIns="0" numCol="1" spcCol="1270" anchor="t"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Calibri" panose="020F0502020204030204"/>
              <a:ea typeface="+mn-ea"/>
              <a:cs typeface="+mn-cs"/>
            </a:rPr>
            <a:t>NHS Long Term Plan  (2019) </a:t>
          </a:r>
        </a:p>
      </dsp:txBody>
      <dsp:txXfrm rot="16200000">
        <a:off x="-502926" y="514938"/>
        <a:ext cx="1401278" cy="382955"/>
      </dsp:txXfrm>
    </dsp:sp>
    <dsp:sp modelId="{B64037B1-0CFA-41C5-B7B5-F501625638AD}">
      <dsp:nvSpPr>
        <dsp:cNvPr id="0" name=""/>
        <dsp:cNvSpPr/>
      </dsp:nvSpPr>
      <dsp:spPr>
        <a:xfrm>
          <a:off x="394967" y="0"/>
          <a:ext cx="1469546" cy="1722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1148" rIns="0" bIns="0" numCol="1" spcCol="1270" anchor="t" anchorCtr="0">
          <a:noAutofit/>
        </a:bodyPr>
        <a:lstStyle/>
        <a:p>
          <a:pPr lvl="0" algn="l" defTabSz="533400">
            <a:lnSpc>
              <a:spcPct val="90000"/>
            </a:lnSpc>
            <a:spcBef>
              <a:spcPct val="0"/>
            </a:spcBef>
            <a:spcAft>
              <a:spcPct val="35000"/>
            </a:spcAft>
          </a:pPr>
          <a:endParaRPr lang="en-US" sz="1200" kern="1200">
            <a:solidFill>
              <a:sysClr val="window" lastClr="FFFFFF"/>
            </a:solidFill>
            <a:latin typeface="Calibri" panose="020F0502020204030204"/>
            <a:ea typeface="+mn-ea"/>
            <a:cs typeface="+mn-cs"/>
          </a:endParaRPr>
        </a:p>
        <a:p>
          <a:pPr lvl="0" algn="l" defTabSz="533400">
            <a:lnSpc>
              <a:spcPct val="90000"/>
            </a:lnSpc>
            <a:spcBef>
              <a:spcPct val="0"/>
            </a:spcBef>
            <a:spcAft>
              <a:spcPct val="35000"/>
            </a:spcAft>
          </a:pPr>
          <a:endParaRPr lang="en-US" sz="1200" kern="1200">
            <a:solidFill>
              <a:sysClr val="window" lastClr="FFFFFF"/>
            </a:solidFill>
            <a:latin typeface="Calibri" panose="020F0502020204030204"/>
            <a:ea typeface="+mn-ea"/>
            <a:cs typeface="+mn-cs"/>
          </a:endParaRPr>
        </a:p>
        <a:p>
          <a:pPr lvl="0" algn="l"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By supporting the Health Board’s plan to address deliver clinical targets and improved health outcomes.</a:t>
          </a:r>
        </a:p>
      </dsp:txBody>
      <dsp:txXfrm>
        <a:off x="394967" y="0"/>
        <a:ext cx="1469546" cy="1722967"/>
      </dsp:txXfrm>
    </dsp:sp>
    <dsp:sp modelId="{5809CD94-8BCC-4572-9C19-027FC089ECEB}">
      <dsp:nvSpPr>
        <dsp:cNvPr id="0" name=""/>
        <dsp:cNvSpPr/>
      </dsp:nvSpPr>
      <dsp:spPr>
        <a:xfrm>
          <a:off x="2042042" y="0"/>
          <a:ext cx="1972545" cy="172296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34290" rIns="44450" bIns="0" numCol="1" spcCol="1270" anchor="t" anchorCtr="0">
          <a:noAutofit/>
        </a:bodyPr>
        <a:lstStyle/>
        <a:p>
          <a:pPr lvl="0" algn="ctr" defTabSz="444500">
            <a:lnSpc>
              <a:spcPct val="90000"/>
            </a:lnSpc>
            <a:spcBef>
              <a:spcPct val="0"/>
            </a:spcBef>
            <a:spcAft>
              <a:spcPct val="35000"/>
            </a:spcAft>
          </a:pPr>
          <a:r>
            <a:rPr lang="en-US" sz="1000" kern="1200">
              <a:solidFill>
                <a:sysClr val="windowText" lastClr="000000"/>
              </a:solidFill>
              <a:latin typeface="Calibri" panose="020F0502020204030204"/>
              <a:ea typeface="+mn-ea"/>
              <a:cs typeface="+mn-cs"/>
            </a:rPr>
            <a:t>The Wellbeing of Future Generations (Wales) Act</a:t>
          </a:r>
        </a:p>
      </dsp:txBody>
      <dsp:txXfrm rot="16200000">
        <a:off x="1538657" y="514938"/>
        <a:ext cx="1401278" cy="382955"/>
      </dsp:txXfrm>
    </dsp:sp>
    <dsp:sp modelId="{B5AB5F0D-F16F-44A2-927B-94E0D0B54EE1}">
      <dsp:nvSpPr>
        <dsp:cNvPr id="0" name=""/>
        <dsp:cNvSpPr/>
      </dsp:nvSpPr>
      <dsp:spPr>
        <a:xfrm rot="5400000" flipV="1">
          <a:off x="52642" y="1373219"/>
          <a:ext cx="245828" cy="266832"/>
        </a:xfrm>
        <a:prstGeom prst="flowChartExtract">
          <a:avLst/>
        </a:prstGeom>
        <a:solidFill>
          <a:srgbClr val="5B9BD5"/>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A3F87DD3-A0FB-462B-A263-211AE3962D34}">
      <dsp:nvSpPr>
        <dsp:cNvPr id="0" name=""/>
        <dsp:cNvSpPr/>
      </dsp:nvSpPr>
      <dsp:spPr>
        <a:xfrm>
          <a:off x="2436551" y="0"/>
          <a:ext cx="1469546" cy="1722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1148" rIns="0" bIns="0" numCol="1" spcCol="1270" anchor="t" anchorCtr="0">
          <a:noAutofit/>
        </a:bodyPr>
        <a:lstStyle/>
        <a:p>
          <a:pPr lvl="0" algn="l" defTabSz="533400">
            <a:lnSpc>
              <a:spcPct val="90000"/>
            </a:lnSpc>
            <a:spcBef>
              <a:spcPct val="0"/>
            </a:spcBef>
            <a:spcAft>
              <a:spcPct val="35000"/>
            </a:spcAft>
          </a:pPr>
          <a:r>
            <a:rPr lang="en-GB" sz="1200" kern="1200">
              <a:solidFill>
                <a:sysClr val="window" lastClr="FFFFFF"/>
              </a:solidFill>
              <a:latin typeface="Calibri" panose="020F0502020204030204"/>
              <a:ea typeface="+mn-ea"/>
              <a:cs typeface="+mn-cs"/>
            </a:rPr>
            <a:t>By maximising people’s physical and wellbeing </a:t>
          </a:r>
        </a:p>
        <a:p>
          <a:pPr lvl="0" algn="l" defTabSz="533400">
            <a:lnSpc>
              <a:spcPct val="90000"/>
            </a:lnSpc>
            <a:spcBef>
              <a:spcPct val="0"/>
            </a:spcBef>
            <a:spcAft>
              <a:spcPct val="35000"/>
            </a:spcAft>
          </a:pPr>
          <a:r>
            <a:rPr lang="en-GB" sz="1200" kern="1200">
              <a:solidFill>
                <a:sysClr val="window" lastClr="FFFFFF"/>
              </a:solidFill>
              <a:latin typeface="Calibri" panose="020F0502020204030204"/>
              <a:ea typeface="+mn-ea"/>
              <a:cs typeface="+mn-cs"/>
            </a:rPr>
            <a:t>By providing sustainable regional CT-Sim services for cancer patients</a:t>
          </a:r>
        </a:p>
        <a:p>
          <a:pPr lvl="0" algn="l"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By promoting reduced embodied carbons and green ernergy solutions </a:t>
          </a:r>
        </a:p>
        <a:p>
          <a:pPr lvl="0" algn="l" defTabSz="533400">
            <a:lnSpc>
              <a:spcPct val="90000"/>
            </a:lnSpc>
            <a:spcBef>
              <a:spcPct val="0"/>
            </a:spcBef>
            <a:spcAft>
              <a:spcPct val="35000"/>
            </a:spcAft>
          </a:pPr>
          <a:endParaRPr lang="en-US" sz="1200" kern="1200">
            <a:solidFill>
              <a:sysClr val="window" lastClr="FFFFFF"/>
            </a:solidFill>
            <a:latin typeface="Calibri" panose="020F0502020204030204"/>
            <a:ea typeface="+mn-ea"/>
            <a:cs typeface="+mn-cs"/>
          </a:endParaRPr>
        </a:p>
      </dsp:txBody>
      <dsp:txXfrm>
        <a:off x="2436551" y="0"/>
        <a:ext cx="1469546" cy="1722967"/>
      </dsp:txXfrm>
    </dsp:sp>
    <dsp:sp modelId="{647A6B25-55F5-4C6C-86BD-F10C9CB536D8}">
      <dsp:nvSpPr>
        <dsp:cNvPr id="0" name=""/>
        <dsp:cNvSpPr/>
      </dsp:nvSpPr>
      <dsp:spPr>
        <a:xfrm>
          <a:off x="4083626" y="0"/>
          <a:ext cx="1972545" cy="1722967"/>
        </a:xfrm>
        <a:prstGeom prst="roundRect">
          <a:avLst>
            <a:gd name="adj" fmla="val 5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34290" rIns="44450" bIns="0" numCol="1" spcCol="1270" anchor="t" anchorCtr="0">
          <a:noAutofit/>
        </a:bodyPr>
        <a:lstStyle/>
        <a:p>
          <a:pPr lvl="0" algn="ctr" defTabSz="444500">
            <a:lnSpc>
              <a:spcPct val="90000"/>
            </a:lnSpc>
            <a:spcBef>
              <a:spcPct val="0"/>
            </a:spcBef>
            <a:spcAft>
              <a:spcPct val="35000"/>
            </a:spcAft>
          </a:pPr>
          <a:r>
            <a:rPr lang="en-GB" sz="1000" kern="1200">
              <a:solidFill>
                <a:sysClr val="windowText" lastClr="000000"/>
              </a:solidFill>
              <a:latin typeface="Calibri" panose="020F0502020204030204"/>
              <a:ea typeface="+mn-ea"/>
              <a:cs typeface="+mn-cs"/>
            </a:rPr>
            <a:t>Health Board’s Clinical Strategy (2019-2024) </a:t>
          </a:r>
          <a:endParaRPr lang="en-US" sz="1000" kern="1200">
            <a:solidFill>
              <a:sysClr val="windowText" lastClr="000000"/>
            </a:solidFill>
            <a:latin typeface="Calibri" panose="020F0502020204030204"/>
            <a:ea typeface="+mn-ea"/>
            <a:cs typeface="+mn-cs"/>
          </a:endParaRPr>
        </a:p>
      </dsp:txBody>
      <dsp:txXfrm rot="16200000">
        <a:off x="3580241" y="514938"/>
        <a:ext cx="1401278" cy="382955"/>
      </dsp:txXfrm>
    </dsp:sp>
    <dsp:sp modelId="{B803CDEE-75BF-47EE-9FF6-6ADEEFADC184}">
      <dsp:nvSpPr>
        <dsp:cNvPr id="0" name=""/>
        <dsp:cNvSpPr/>
      </dsp:nvSpPr>
      <dsp:spPr>
        <a:xfrm rot="16200000" flipH="1">
          <a:off x="5742502" y="1319219"/>
          <a:ext cx="222019" cy="295881"/>
        </a:xfrm>
        <a:prstGeom prst="flowChartExtract">
          <a:avLst/>
        </a:prstGeom>
        <a:solidFill>
          <a:srgbClr val="5B9BD5"/>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CA33627C-F3B0-467C-BA94-D3DE6C92239A}">
      <dsp:nvSpPr>
        <dsp:cNvPr id="0" name=""/>
        <dsp:cNvSpPr/>
      </dsp:nvSpPr>
      <dsp:spPr>
        <a:xfrm>
          <a:off x="4478135" y="0"/>
          <a:ext cx="1469546" cy="1722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1148" rIns="0" bIns="0" numCol="1" spcCol="1270" anchor="t" anchorCtr="0">
          <a:noAutofit/>
        </a:bodyPr>
        <a:lstStyle/>
        <a:p>
          <a:pPr lvl="0" algn="l" defTabSz="533400">
            <a:lnSpc>
              <a:spcPct val="90000"/>
            </a:lnSpc>
            <a:spcBef>
              <a:spcPct val="0"/>
            </a:spcBef>
            <a:spcAft>
              <a:spcPct val="35000"/>
            </a:spcAft>
          </a:pPr>
          <a:endParaRPr lang="en-GB" sz="1200" kern="1200">
            <a:solidFill>
              <a:sysClr val="window" lastClr="FFFFFF"/>
            </a:solidFill>
            <a:latin typeface="Calibri" panose="020F0502020204030204"/>
            <a:ea typeface="+mn-ea"/>
            <a:cs typeface="+mn-cs"/>
          </a:endParaRPr>
        </a:p>
        <a:p>
          <a:pPr lvl="0" algn="l" defTabSz="533400">
            <a:lnSpc>
              <a:spcPct val="90000"/>
            </a:lnSpc>
            <a:spcBef>
              <a:spcPct val="0"/>
            </a:spcBef>
            <a:spcAft>
              <a:spcPct val="35000"/>
            </a:spcAft>
          </a:pPr>
          <a:r>
            <a:rPr lang="en-GB" sz="1200" kern="1200">
              <a:solidFill>
                <a:sysClr val="window" lastClr="FFFFFF"/>
              </a:solidFill>
              <a:latin typeface="Calibri" panose="020F0502020204030204"/>
              <a:ea typeface="+mn-ea"/>
              <a:cs typeface="+mn-cs"/>
            </a:rPr>
            <a:t>By improving the population’s health so people can stay well</a:t>
          </a:r>
        </a:p>
        <a:p>
          <a:pPr lvl="0" algn="l" defTabSz="533400">
            <a:lnSpc>
              <a:spcPct val="90000"/>
            </a:lnSpc>
            <a:spcBef>
              <a:spcPct val="0"/>
            </a:spcBef>
            <a:spcAft>
              <a:spcPct val="35000"/>
            </a:spcAft>
          </a:pPr>
          <a:r>
            <a:rPr lang="en-GB" sz="1200" kern="1200">
              <a:solidFill>
                <a:sysClr val="window" lastClr="FFFFFF"/>
              </a:solidFill>
              <a:latin typeface="Calibri" panose="020F0502020204030204"/>
              <a:ea typeface="+mn-ea"/>
              <a:cs typeface="+mn-cs"/>
            </a:rPr>
            <a:t>By delivering high quality care when people need it</a:t>
          </a:r>
          <a:endParaRPr lang="en-US" sz="1200" kern="1200">
            <a:solidFill>
              <a:sysClr val="window" lastClr="FFFFFF"/>
            </a:solidFill>
            <a:latin typeface="Calibri" panose="020F0502020204030204"/>
            <a:ea typeface="+mn-ea"/>
            <a:cs typeface="+mn-cs"/>
          </a:endParaRPr>
        </a:p>
      </dsp:txBody>
      <dsp:txXfrm>
        <a:off x="4478135" y="0"/>
        <a:ext cx="1469546" cy="1722967"/>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148b6d80fd6906d86f399080b9b48f4e">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c96678c4553a020febd39cf98da2ee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61FE6F-6018-4D72-958B-1FAB19252EB9}">
  <ds:schemaRefs>
    <ds:schemaRef ds:uri="http://www.w3.org/XML/1998/namespace"/>
    <ds:schemaRef ds:uri="http://purl.org/dc/terms/"/>
    <ds:schemaRef ds:uri="http://schemas.openxmlformats.org/package/2006/metadata/core-properties"/>
    <ds:schemaRef ds:uri="http://schemas.microsoft.com/office/2006/metadata/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D0AC1A23-7C3A-4DC0-8EDC-60289F3EEB4C}">
  <ds:schemaRefs>
    <ds:schemaRef ds:uri="http://schemas.microsoft.com/sharepoint/v3/contenttype/forms"/>
  </ds:schemaRefs>
</ds:datastoreItem>
</file>

<file path=customXml/itemProps3.xml><?xml version="1.0" encoding="utf-8"?>
<ds:datastoreItem xmlns:ds="http://schemas.openxmlformats.org/officeDocument/2006/customXml" ds:itemID="{F259E500-7C60-44CD-A639-5E6F14C9C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12</Pages>
  <Words>2376</Words>
  <Characters>13548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Edwards (Swansea Bay UHB - Capital Planning)</dc:creator>
  <cp:keywords/>
  <dc:description/>
  <cp:lastModifiedBy>Heather Edwards (Swansea Bay UHB - Capital Planning)</cp:lastModifiedBy>
  <cp:revision>22</cp:revision>
  <dcterms:created xsi:type="dcterms:W3CDTF">2023-03-28T11:25:00Z</dcterms:created>
  <dcterms:modified xsi:type="dcterms:W3CDTF">2024-05-14T08:52:00Z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