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0F5FA"/>
  <w:body>
    <w:tbl>
      <w:tblPr>
        <w:tblStyle w:val="TableGrid"/>
        <w:tblW w:w="1502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6"/>
        <w:gridCol w:w="993"/>
        <w:gridCol w:w="2126"/>
        <w:gridCol w:w="4955"/>
        <w:gridCol w:w="7"/>
      </w:tblGrid>
      <w:tr w:rsidR="005F7207" w14:paraId="2E1217ED" w14:textId="27B1F011" w:rsidTr="006603A6">
        <w:trPr>
          <w:gridAfter w:val="1"/>
          <w:wAfter w:w="7" w:type="dxa"/>
          <w:trHeight w:val="907"/>
        </w:trPr>
        <w:tc>
          <w:tcPr>
            <w:tcW w:w="15020" w:type="dxa"/>
            <w:gridSpan w:val="4"/>
            <w:vAlign w:val="center"/>
          </w:tcPr>
          <w:p w14:paraId="70539483" w14:textId="6ED6877E" w:rsidR="005F7207" w:rsidRPr="00CE24DC" w:rsidRDefault="00830437" w:rsidP="005F7207">
            <w:pPr>
              <w:ind w:left="-142" w:firstLine="142"/>
              <w:rPr>
                <w:rFonts w:ascii="Verdana" w:hAnsi="Verdana" w:cs="Arial"/>
                <w:color w:val="3D5A8C"/>
                <w:sz w:val="72"/>
                <w:szCs w:val="72"/>
              </w:rPr>
            </w:pPr>
            <w:sdt>
              <w:sdtPr>
                <w:rPr>
                  <w:rFonts w:ascii="Verdana" w:hAnsi="Verdana" w:cs="Arial"/>
                  <w:color w:val="002060"/>
                  <w:sz w:val="72"/>
                  <w:szCs w:val="72"/>
                </w:rPr>
                <w:alias w:val="Subject"/>
                <w:tag w:val=""/>
                <w:id w:val="-1553690940"/>
                <w:placeholder>
                  <w:docPart w:val="ACA53BA64E084DB09E86CFFECB8D0282"/>
                </w:placeholder>
                <w:dataBinding w:prefixMappings="xmlns:ns0='http://purl.org/dc/elements/1.1/' xmlns:ns1='http://schemas.openxmlformats.org/package/2006/metadata/core-properties' " w:xpath="/ns1:coreProperties[1]/ns0:subject[1]" w:storeItemID="{6C3C8BC8-F283-45AE-878A-BAB7291924A1}"/>
                <w:text/>
              </w:sdtPr>
              <w:sdtEndPr/>
              <w:sdtContent>
                <w:r w:rsidR="00FD2B38">
                  <w:rPr>
                    <w:rFonts w:ascii="Verdana" w:hAnsi="Verdana" w:cs="Arial"/>
                    <w:color w:val="002060"/>
                    <w:sz w:val="72"/>
                    <w:szCs w:val="72"/>
                  </w:rPr>
                  <w:t>Escalation Action Status</w:t>
                </w:r>
              </w:sdtContent>
            </w:sdt>
          </w:p>
        </w:tc>
      </w:tr>
      <w:tr w:rsidR="00DD24FE" w14:paraId="06B27754" w14:textId="51756BB6" w:rsidTr="007C3A55">
        <w:trPr>
          <w:gridAfter w:val="1"/>
          <w:wAfter w:w="7" w:type="dxa"/>
          <w:trHeight w:val="907"/>
        </w:trPr>
        <w:tc>
          <w:tcPr>
            <w:tcW w:w="7939" w:type="dxa"/>
            <w:gridSpan w:val="2"/>
            <w:vAlign w:val="center"/>
          </w:tcPr>
          <w:p w14:paraId="272E1024" w14:textId="77777777" w:rsidR="00DD24FE" w:rsidRPr="005F7207" w:rsidRDefault="00830437" w:rsidP="007C3A55">
            <w:pPr>
              <w:tabs>
                <w:tab w:val="center" w:pos="4320"/>
                <w:tab w:val="right" w:pos="8640"/>
              </w:tabs>
              <w:ind w:right="-1238"/>
              <w:rPr>
                <w:rFonts w:ascii="Verdana" w:hAnsi="Verdana" w:cs="Arial"/>
                <w:color w:val="3D5A8C"/>
                <w:sz w:val="56"/>
                <w:szCs w:val="56"/>
                <w:shd w:val="clear" w:color="auto" w:fill="E6E6E6"/>
              </w:rPr>
            </w:pPr>
            <w:sdt>
              <w:sdtPr>
                <w:rPr>
                  <w:rFonts w:ascii="Verdana" w:hAnsi="Verdana" w:cs="Arial"/>
                  <w:color w:val="002060"/>
                  <w:sz w:val="56"/>
                  <w:szCs w:val="56"/>
                  <w:shd w:val="clear" w:color="auto" w:fill="E6E6E6"/>
                </w:rPr>
                <w:alias w:val="Title"/>
                <w:tag w:val=""/>
                <w:id w:val="675390666"/>
                <w:placeholder>
                  <w:docPart w:val="757D63D8DD004D6BB7CE9098E8770FBC"/>
                </w:placeholder>
                <w:dataBinding w:prefixMappings="xmlns:ns0='http://purl.org/dc/elements/1.1/' xmlns:ns1='http://schemas.openxmlformats.org/package/2006/metadata/core-properties' " w:xpath="/ns1:coreProperties[1]/ns0:title[1]" w:storeItemID="{6C3C8BC8-F283-45AE-878A-BAB7291924A1}"/>
                <w:text/>
              </w:sdtPr>
              <w:sdtEndPr/>
              <w:sdtContent>
                <w:r w:rsidR="00DD24FE" w:rsidRPr="00F004C2">
                  <w:rPr>
                    <w:rFonts w:ascii="Verdana" w:hAnsi="Verdana" w:cs="Arial"/>
                    <w:color w:val="002060"/>
                    <w:sz w:val="56"/>
                    <w:szCs w:val="56"/>
                  </w:rPr>
                  <w:t>Draft Internal Audit Report</w:t>
                </w:r>
              </w:sdtContent>
            </w:sdt>
          </w:p>
        </w:tc>
        <w:tc>
          <w:tcPr>
            <w:tcW w:w="7081" w:type="dxa"/>
            <w:gridSpan w:val="2"/>
            <w:vMerge w:val="restart"/>
            <w:vAlign w:val="center"/>
          </w:tcPr>
          <w:p w14:paraId="20B2045A" w14:textId="51D6B04E" w:rsidR="00DD24FE" w:rsidRPr="005F7207" w:rsidRDefault="00DD24FE" w:rsidP="005F7207">
            <w:pPr>
              <w:tabs>
                <w:tab w:val="center" w:pos="4320"/>
                <w:tab w:val="right" w:pos="8640"/>
              </w:tabs>
              <w:rPr>
                <w:rFonts w:ascii="Verdana" w:hAnsi="Verdana" w:cs="Arial"/>
                <w:color w:val="3D5A8C"/>
                <w:sz w:val="56"/>
                <w:szCs w:val="56"/>
                <w:shd w:val="clear" w:color="auto" w:fill="E6E6E6"/>
              </w:rPr>
            </w:pPr>
          </w:p>
        </w:tc>
      </w:tr>
      <w:tr w:rsidR="00DD24FE" w14:paraId="33684F95" w14:textId="685DC55D" w:rsidTr="007C3A55">
        <w:trPr>
          <w:gridAfter w:val="1"/>
          <w:wAfter w:w="7" w:type="dxa"/>
          <w:trHeight w:val="907"/>
        </w:trPr>
        <w:tc>
          <w:tcPr>
            <w:tcW w:w="7939" w:type="dxa"/>
            <w:gridSpan w:val="2"/>
            <w:vAlign w:val="center"/>
          </w:tcPr>
          <w:p w14:paraId="5067660F" w14:textId="129BFA7D" w:rsidR="00DD24FE" w:rsidRPr="001E5C49" w:rsidRDefault="00DD24FE" w:rsidP="005F7207">
            <w:pPr>
              <w:spacing w:after="240"/>
              <w:ind w:left="172" w:hanging="172"/>
              <w:rPr>
                <w:rFonts w:ascii="Verdana" w:hAnsi="Verdana" w:cs="Arial"/>
                <w:color w:val="2B579A"/>
                <w:sz w:val="48"/>
                <w:szCs w:val="24"/>
                <w:shd w:val="clear" w:color="auto" w:fill="E6E6E6"/>
                <w:lang w:val="en-US"/>
              </w:rPr>
            </w:pPr>
            <w:r w:rsidRPr="006E7311">
              <w:rPr>
                <w:rFonts w:ascii="Verdana" w:hAnsi="Verdana" w:cs="Arial"/>
                <w:color w:val="002060"/>
                <w:sz w:val="48"/>
                <w:szCs w:val="24"/>
                <w:lang w:val="en-US"/>
              </w:rPr>
              <w:t>20</w:t>
            </w:r>
            <w:r w:rsidR="00326BC2">
              <w:rPr>
                <w:rFonts w:ascii="Verdana" w:hAnsi="Verdana" w:cs="Arial"/>
                <w:color w:val="002060"/>
                <w:sz w:val="48"/>
                <w:szCs w:val="24"/>
                <w:lang w:val="en-US"/>
              </w:rPr>
              <w:t>25</w:t>
            </w:r>
            <w:r w:rsidRPr="006E7311">
              <w:rPr>
                <w:rFonts w:ascii="Verdana" w:hAnsi="Verdana" w:cs="Arial"/>
                <w:color w:val="002060"/>
                <w:sz w:val="48"/>
                <w:szCs w:val="24"/>
                <w:lang w:val="en-US"/>
              </w:rPr>
              <w:t>/</w:t>
            </w:r>
            <w:r w:rsidR="00326BC2">
              <w:rPr>
                <w:rFonts w:ascii="Verdana" w:hAnsi="Verdana" w:cs="Arial"/>
                <w:color w:val="002060"/>
                <w:sz w:val="48"/>
                <w:szCs w:val="24"/>
                <w:lang w:val="en-US"/>
              </w:rPr>
              <w:t>26</w:t>
            </w:r>
          </w:p>
        </w:tc>
        <w:tc>
          <w:tcPr>
            <w:tcW w:w="7081" w:type="dxa"/>
            <w:gridSpan w:val="2"/>
            <w:vMerge/>
            <w:vAlign w:val="center"/>
          </w:tcPr>
          <w:p w14:paraId="7069645D" w14:textId="68DF0FA0" w:rsidR="00DD24FE" w:rsidRPr="001E5C49" w:rsidRDefault="00DD24FE" w:rsidP="005F7207">
            <w:pPr>
              <w:spacing w:after="240"/>
              <w:ind w:left="172" w:hanging="172"/>
              <w:rPr>
                <w:rFonts w:ascii="Verdana" w:hAnsi="Verdana" w:cs="Arial"/>
                <w:color w:val="2B579A"/>
                <w:sz w:val="48"/>
                <w:szCs w:val="24"/>
                <w:shd w:val="clear" w:color="auto" w:fill="E6E6E6"/>
                <w:lang w:val="en-US"/>
              </w:rPr>
            </w:pPr>
          </w:p>
        </w:tc>
      </w:tr>
      <w:tr w:rsidR="005F7207" w14:paraId="2CA5C8A0" w14:textId="163C2CFD" w:rsidTr="007C3A55">
        <w:trPr>
          <w:gridAfter w:val="1"/>
          <w:wAfter w:w="7" w:type="dxa"/>
          <w:trHeight w:val="813"/>
        </w:trPr>
        <w:tc>
          <w:tcPr>
            <w:tcW w:w="15020" w:type="dxa"/>
            <w:gridSpan w:val="4"/>
            <w:vAlign w:val="center"/>
          </w:tcPr>
          <w:p w14:paraId="1D969A4A" w14:textId="306E872A" w:rsidR="005F7207" w:rsidRPr="005F7207" w:rsidRDefault="00CC7F0E" w:rsidP="002D5A0B">
            <w:pPr>
              <w:tabs>
                <w:tab w:val="center" w:pos="4320"/>
                <w:tab w:val="right" w:pos="8364"/>
              </w:tabs>
              <w:ind w:left="-142" w:firstLine="142"/>
              <w:rPr>
                <w:rFonts w:ascii="Verdana" w:hAnsi="Verdana" w:cs="Arial"/>
                <w:sz w:val="44"/>
                <w:szCs w:val="44"/>
              </w:rPr>
            </w:pPr>
            <w:r w:rsidRPr="00CC7F0E">
              <w:rPr>
                <w:rFonts w:ascii="Verdana" w:hAnsi="Verdana" w:cs="Arial"/>
                <w:sz w:val="44"/>
                <w:szCs w:val="44"/>
              </w:rPr>
              <w:t>Swansea Bay</w:t>
            </w:r>
            <w:r w:rsidR="005F7207" w:rsidRPr="00CC7F0E">
              <w:rPr>
                <w:rFonts w:ascii="Verdana" w:hAnsi="Verdana" w:cs="Arial"/>
                <w:sz w:val="44"/>
                <w:szCs w:val="44"/>
              </w:rPr>
              <w:t xml:space="preserve"> Univ</w:t>
            </w:r>
            <w:r w:rsidR="005F7207" w:rsidRPr="005F7207">
              <w:rPr>
                <w:rFonts w:ascii="Verdana" w:hAnsi="Verdana" w:cs="Arial"/>
                <w:sz w:val="44"/>
                <w:szCs w:val="44"/>
              </w:rPr>
              <w:t xml:space="preserve">ersity Health Board </w:t>
            </w:r>
          </w:p>
        </w:tc>
      </w:tr>
      <w:tr w:rsidR="005F7207" w14:paraId="7418F78F" w14:textId="35A9BB16" w:rsidTr="007C3A55">
        <w:trPr>
          <w:gridAfter w:val="1"/>
          <w:wAfter w:w="7" w:type="dxa"/>
          <w:trHeight w:val="1703"/>
        </w:trPr>
        <w:tc>
          <w:tcPr>
            <w:tcW w:w="6946" w:type="dxa"/>
          </w:tcPr>
          <w:p w14:paraId="719ECC85" w14:textId="022C9FE0" w:rsidR="005F7207" w:rsidRPr="005F7207" w:rsidRDefault="009A2A26" w:rsidP="005F7207">
            <w:pPr>
              <w:tabs>
                <w:tab w:val="center" w:pos="4320"/>
                <w:tab w:val="right" w:pos="8640"/>
              </w:tabs>
              <w:rPr>
                <w:rFonts w:ascii="Verdana" w:hAnsi="Verdana" w:cs="Arial"/>
                <w:color w:val="3D5A8C"/>
              </w:rPr>
            </w:pPr>
            <w:r>
              <w:rPr>
                <w:rFonts w:ascii="Verdana" w:hAnsi="Verdana"/>
                <w:noProof/>
                <w:sz w:val="20"/>
                <w:szCs w:val="20"/>
              </w:rPr>
              <w:drawing>
                <wp:inline distT="0" distB="0" distL="0" distR="0" wp14:anchorId="04FE14E4" wp14:editId="17A1F191">
                  <wp:extent cx="1647825" cy="876768"/>
                  <wp:effectExtent l="0" t="0" r="0" b="0"/>
                  <wp:docPr id="1643842482" name="Picture 1643842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55725" cy="880971"/>
                          </a:xfrm>
                          <a:prstGeom prst="rect">
                            <a:avLst/>
                          </a:prstGeom>
                          <a:noFill/>
                        </pic:spPr>
                      </pic:pic>
                    </a:graphicData>
                  </a:graphic>
                </wp:inline>
              </w:drawing>
            </w:r>
          </w:p>
        </w:tc>
        <w:tc>
          <w:tcPr>
            <w:tcW w:w="8074" w:type="dxa"/>
            <w:gridSpan w:val="3"/>
          </w:tcPr>
          <w:p w14:paraId="0FE138E5" w14:textId="77777777" w:rsidR="005F7207" w:rsidRDefault="005F7207" w:rsidP="005F7207">
            <w:pPr>
              <w:tabs>
                <w:tab w:val="center" w:pos="4320"/>
                <w:tab w:val="right" w:pos="8640"/>
              </w:tabs>
              <w:rPr>
                <w:rFonts w:ascii="Verdana" w:hAnsi="Verdana" w:cs="Arial"/>
                <w:color w:val="3D5A8C"/>
              </w:rPr>
            </w:pPr>
          </w:p>
          <w:p w14:paraId="7F2D5931" w14:textId="77777777" w:rsidR="00393206" w:rsidRDefault="00393206" w:rsidP="005F7207">
            <w:pPr>
              <w:tabs>
                <w:tab w:val="center" w:pos="4320"/>
                <w:tab w:val="right" w:pos="8640"/>
              </w:tabs>
              <w:rPr>
                <w:rFonts w:ascii="Verdana" w:hAnsi="Verdana" w:cs="Arial"/>
                <w:color w:val="3D5A8C"/>
              </w:rPr>
            </w:pPr>
          </w:p>
          <w:p w14:paraId="4B7B094B" w14:textId="613C11AB" w:rsidR="00393206" w:rsidRPr="005F7207" w:rsidRDefault="00393206" w:rsidP="005F7207">
            <w:pPr>
              <w:tabs>
                <w:tab w:val="center" w:pos="4320"/>
                <w:tab w:val="right" w:pos="8640"/>
              </w:tabs>
              <w:rPr>
                <w:rFonts w:ascii="Verdana" w:hAnsi="Verdana" w:cs="Arial"/>
                <w:color w:val="3D5A8C"/>
              </w:rPr>
            </w:pPr>
          </w:p>
        </w:tc>
      </w:tr>
      <w:tr w:rsidR="005F7207" w14:paraId="4004F633" w14:textId="4A2054F7" w:rsidTr="007C3A55">
        <w:trPr>
          <w:trHeight w:val="917"/>
        </w:trPr>
        <w:tc>
          <w:tcPr>
            <w:tcW w:w="6946" w:type="dxa"/>
          </w:tcPr>
          <w:p w14:paraId="0F5B6381" w14:textId="2B7F76CA" w:rsidR="005F7207" w:rsidRPr="005F7207" w:rsidRDefault="001C7469" w:rsidP="005F7207">
            <w:pPr>
              <w:tabs>
                <w:tab w:val="center" w:pos="4320"/>
                <w:tab w:val="right" w:pos="8640"/>
              </w:tabs>
              <w:rPr>
                <w:rFonts w:ascii="Verdana" w:hAnsi="Verdana" w:cs="Arial"/>
                <w:color w:val="3D5A8C"/>
              </w:rPr>
            </w:pPr>
            <w:r>
              <w:rPr>
                <w:rFonts w:ascii="Verdana" w:hAnsi="Verdana" w:cs="Arial"/>
                <w:color w:val="3D5A8C"/>
              </w:rPr>
              <w:t xml:space="preserve"> </w:t>
            </w:r>
            <w:r w:rsidR="00C8016C">
              <w:rPr>
                <w:rFonts w:ascii="Verdana" w:hAnsi="Verdana" w:cs="Arial"/>
                <w:color w:val="3D5A8C"/>
              </w:rPr>
              <w:t>Limited</w:t>
            </w:r>
            <w:r>
              <w:rPr>
                <w:rFonts w:ascii="Verdana" w:hAnsi="Verdana" w:cs="Arial"/>
                <w:color w:val="3D5A8C"/>
              </w:rPr>
              <w:t xml:space="preserve"> Assurance</w:t>
            </w:r>
          </w:p>
        </w:tc>
        <w:tc>
          <w:tcPr>
            <w:tcW w:w="3119" w:type="dxa"/>
            <w:gridSpan w:val="2"/>
          </w:tcPr>
          <w:p w14:paraId="2F7783A7" w14:textId="0CEC86F7" w:rsidR="005F7207" w:rsidRPr="005F7207" w:rsidRDefault="005F7207" w:rsidP="005F7207">
            <w:pPr>
              <w:tabs>
                <w:tab w:val="center" w:pos="4320"/>
                <w:tab w:val="right" w:pos="8640"/>
              </w:tabs>
              <w:rPr>
                <w:rFonts w:ascii="Verdana" w:hAnsi="Verdana" w:cs="Arial"/>
                <w:color w:val="3D5A8C"/>
              </w:rPr>
            </w:pPr>
          </w:p>
        </w:tc>
        <w:tc>
          <w:tcPr>
            <w:tcW w:w="4962" w:type="dxa"/>
            <w:gridSpan w:val="2"/>
          </w:tcPr>
          <w:p w14:paraId="556875F3" w14:textId="42FA0708" w:rsidR="005F7207" w:rsidRPr="005F7207" w:rsidRDefault="005F7207" w:rsidP="005F7207">
            <w:pPr>
              <w:tabs>
                <w:tab w:val="center" w:pos="4320"/>
                <w:tab w:val="right" w:pos="8640"/>
              </w:tabs>
              <w:rPr>
                <w:rFonts w:ascii="Verdana" w:hAnsi="Verdana" w:cs="Arial"/>
                <w:color w:val="3D5A8C"/>
              </w:rPr>
            </w:pPr>
          </w:p>
        </w:tc>
      </w:tr>
      <w:tr w:rsidR="00FA3C18" w14:paraId="7768FF2B" w14:textId="51DC6A9A" w:rsidTr="007C3A55">
        <w:tc>
          <w:tcPr>
            <w:tcW w:w="6946" w:type="dxa"/>
            <w:vMerge w:val="restart"/>
          </w:tcPr>
          <w:sdt>
            <w:sdtPr>
              <w:rPr>
                <w:rFonts w:asciiTheme="minorHAnsi" w:eastAsiaTheme="minorHAnsi" w:hAnsiTheme="minorHAnsi" w:cstheme="minorBidi"/>
                <w:color w:val="auto"/>
                <w:sz w:val="22"/>
                <w:szCs w:val="22"/>
                <w:lang w:val="en-GB"/>
              </w:rPr>
              <w:id w:val="-845243446"/>
              <w:docPartObj>
                <w:docPartGallery w:val="Table of Contents"/>
                <w:docPartUnique/>
              </w:docPartObj>
            </w:sdtPr>
            <w:sdtEndPr>
              <w:rPr>
                <w:b/>
                <w:bCs/>
                <w:noProof/>
              </w:rPr>
            </w:sdtEndPr>
            <w:sdtContent>
              <w:p w14:paraId="1745D9CD" w14:textId="41EE0D20" w:rsidR="005557B9" w:rsidRPr="00321B8D" w:rsidRDefault="005557B9" w:rsidP="006D7272">
                <w:pPr>
                  <w:pStyle w:val="TOCHeading"/>
                  <w:spacing w:before="0" w:after="100"/>
                  <w:rPr>
                    <w:rFonts w:ascii="Verdana" w:hAnsi="Verdana"/>
                    <w:b/>
                    <w:bCs/>
                    <w:color w:val="002060"/>
                    <w:sz w:val="20"/>
                    <w:szCs w:val="20"/>
                  </w:rPr>
                </w:pPr>
                <w:r w:rsidRPr="00321B8D">
                  <w:rPr>
                    <w:rFonts w:ascii="Verdana" w:hAnsi="Verdana"/>
                    <w:b/>
                    <w:bCs/>
                    <w:color w:val="002060"/>
                    <w:sz w:val="20"/>
                    <w:szCs w:val="20"/>
                  </w:rPr>
                  <w:t>Contents</w:t>
                </w:r>
              </w:p>
              <w:p w14:paraId="37E3331C" w14:textId="6597F735" w:rsidR="003458B8" w:rsidRPr="00321B8D" w:rsidRDefault="005557B9">
                <w:pPr>
                  <w:pStyle w:val="TOC1"/>
                  <w:tabs>
                    <w:tab w:val="right" w:leader="dot" w:pos="14537"/>
                  </w:tabs>
                  <w:rPr>
                    <w:rFonts w:ascii="Verdana" w:eastAsiaTheme="minorEastAsia" w:hAnsi="Verdana"/>
                    <w:noProof/>
                    <w:color w:val="002060"/>
                    <w:kern w:val="2"/>
                    <w:sz w:val="20"/>
                    <w:szCs w:val="20"/>
                    <w:lang w:eastAsia="en-GB"/>
                    <w14:ligatures w14:val="standardContextual"/>
                  </w:rPr>
                </w:pPr>
                <w:r w:rsidRPr="00321B8D">
                  <w:rPr>
                    <w:color w:val="002060"/>
                    <w:sz w:val="20"/>
                    <w:szCs w:val="20"/>
                  </w:rPr>
                  <w:fldChar w:fldCharType="begin"/>
                </w:r>
                <w:r w:rsidRPr="00321B8D">
                  <w:rPr>
                    <w:color w:val="002060"/>
                    <w:sz w:val="20"/>
                    <w:szCs w:val="20"/>
                  </w:rPr>
                  <w:instrText xml:space="preserve"> TOC \o "1-3" \h \z \u </w:instrText>
                </w:r>
                <w:r w:rsidRPr="00321B8D">
                  <w:rPr>
                    <w:color w:val="002060"/>
                    <w:sz w:val="20"/>
                    <w:szCs w:val="20"/>
                  </w:rPr>
                  <w:fldChar w:fldCharType="separate"/>
                </w:r>
                <w:hyperlink w:anchor="_Toc211856087" w:history="1">
                  <w:r w:rsidR="003458B8" w:rsidRPr="00321B8D">
                    <w:rPr>
                      <w:rStyle w:val="Hyperlink"/>
                      <w:rFonts w:ascii="Verdana" w:hAnsi="Verdana"/>
                      <w:noProof/>
                      <w:color w:val="002060"/>
                      <w:sz w:val="20"/>
                      <w:szCs w:val="20"/>
                    </w:rPr>
                    <w:t>Executive Summary</w:t>
                  </w:r>
                  <w:r w:rsidR="003458B8" w:rsidRPr="00321B8D">
                    <w:rPr>
                      <w:rFonts w:ascii="Verdana" w:hAnsi="Verdana"/>
                      <w:noProof/>
                      <w:webHidden/>
                      <w:color w:val="002060"/>
                      <w:sz w:val="20"/>
                      <w:szCs w:val="20"/>
                    </w:rPr>
                    <w:tab/>
                  </w:r>
                  <w:r w:rsidR="003458B8" w:rsidRPr="00321B8D">
                    <w:rPr>
                      <w:rFonts w:ascii="Verdana" w:hAnsi="Verdana"/>
                      <w:noProof/>
                      <w:webHidden/>
                      <w:color w:val="002060"/>
                      <w:sz w:val="20"/>
                      <w:szCs w:val="20"/>
                    </w:rPr>
                    <w:fldChar w:fldCharType="begin"/>
                  </w:r>
                  <w:r w:rsidR="003458B8" w:rsidRPr="00321B8D">
                    <w:rPr>
                      <w:rFonts w:ascii="Verdana" w:hAnsi="Verdana"/>
                      <w:noProof/>
                      <w:webHidden/>
                      <w:color w:val="002060"/>
                      <w:sz w:val="20"/>
                      <w:szCs w:val="20"/>
                    </w:rPr>
                    <w:instrText xml:space="preserve"> PAGEREF _Toc211856087 \h </w:instrText>
                  </w:r>
                  <w:r w:rsidR="003458B8" w:rsidRPr="00321B8D">
                    <w:rPr>
                      <w:rFonts w:ascii="Verdana" w:hAnsi="Verdana"/>
                      <w:noProof/>
                      <w:webHidden/>
                      <w:color w:val="002060"/>
                      <w:sz w:val="20"/>
                      <w:szCs w:val="20"/>
                    </w:rPr>
                  </w:r>
                  <w:r w:rsidR="003458B8" w:rsidRPr="00321B8D">
                    <w:rPr>
                      <w:rFonts w:ascii="Verdana" w:hAnsi="Verdana"/>
                      <w:noProof/>
                      <w:webHidden/>
                      <w:color w:val="002060"/>
                      <w:sz w:val="20"/>
                      <w:szCs w:val="20"/>
                    </w:rPr>
                    <w:fldChar w:fldCharType="separate"/>
                  </w:r>
                  <w:r w:rsidR="003458B8" w:rsidRPr="00321B8D">
                    <w:rPr>
                      <w:rFonts w:ascii="Verdana" w:hAnsi="Verdana"/>
                      <w:noProof/>
                      <w:webHidden/>
                      <w:color w:val="002060"/>
                      <w:sz w:val="20"/>
                      <w:szCs w:val="20"/>
                    </w:rPr>
                    <w:t>1</w:t>
                  </w:r>
                  <w:r w:rsidR="003458B8" w:rsidRPr="00321B8D">
                    <w:rPr>
                      <w:rFonts w:ascii="Verdana" w:hAnsi="Verdana"/>
                      <w:noProof/>
                      <w:webHidden/>
                      <w:color w:val="002060"/>
                      <w:sz w:val="20"/>
                      <w:szCs w:val="20"/>
                    </w:rPr>
                    <w:fldChar w:fldCharType="end"/>
                  </w:r>
                </w:hyperlink>
              </w:p>
              <w:p w14:paraId="222C793D" w14:textId="4AEFA467" w:rsidR="003458B8" w:rsidRPr="00321B8D" w:rsidRDefault="003458B8">
                <w:pPr>
                  <w:pStyle w:val="TOC1"/>
                  <w:tabs>
                    <w:tab w:val="right" w:leader="dot" w:pos="14537"/>
                  </w:tabs>
                  <w:rPr>
                    <w:rFonts w:ascii="Verdana" w:eastAsiaTheme="minorEastAsia" w:hAnsi="Verdana"/>
                    <w:noProof/>
                    <w:color w:val="002060"/>
                    <w:kern w:val="2"/>
                    <w:sz w:val="20"/>
                    <w:szCs w:val="20"/>
                    <w:lang w:eastAsia="en-GB"/>
                    <w14:ligatures w14:val="standardContextual"/>
                  </w:rPr>
                </w:pPr>
                <w:hyperlink w:anchor="_Toc211856088" w:history="1">
                  <w:r w:rsidRPr="00321B8D">
                    <w:rPr>
                      <w:rStyle w:val="Hyperlink"/>
                      <w:rFonts w:ascii="Verdana" w:hAnsi="Verdana"/>
                      <w:noProof/>
                      <w:color w:val="002060"/>
                      <w:sz w:val="20"/>
                      <w:szCs w:val="20"/>
                    </w:rPr>
                    <w:t>Findings &amp; Agreed Action Plan</w:t>
                  </w:r>
                  <w:r w:rsidRPr="00321B8D">
                    <w:rPr>
                      <w:rFonts w:ascii="Verdana" w:hAnsi="Verdana"/>
                      <w:noProof/>
                      <w:webHidden/>
                      <w:color w:val="002060"/>
                      <w:sz w:val="20"/>
                      <w:szCs w:val="20"/>
                    </w:rPr>
                    <w:tab/>
                  </w:r>
                  <w:r w:rsidRPr="00321B8D">
                    <w:rPr>
                      <w:rFonts w:ascii="Verdana" w:hAnsi="Verdana"/>
                      <w:noProof/>
                      <w:webHidden/>
                      <w:color w:val="002060"/>
                      <w:sz w:val="20"/>
                      <w:szCs w:val="20"/>
                    </w:rPr>
                    <w:fldChar w:fldCharType="begin"/>
                  </w:r>
                  <w:r w:rsidRPr="00321B8D">
                    <w:rPr>
                      <w:rFonts w:ascii="Verdana" w:hAnsi="Verdana"/>
                      <w:noProof/>
                      <w:webHidden/>
                      <w:color w:val="002060"/>
                      <w:sz w:val="20"/>
                      <w:szCs w:val="20"/>
                    </w:rPr>
                    <w:instrText xml:space="preserve"> PAGEREF _Toc211856088 \h </w:instrText>
                  </w:r>
                  <w:r w:rsidRPr="00321B8D">
                    <w:rPr>
                      <w:rFonts w:ascii="Verdana" w:hAnsi="Verdana"/>
                      <w:noProof/>
                      <w:webHidden/>
                      <w:color w:val="002060"/>
                      <w:sz w:val="20"/>
                      <w:szCs w:val="20"/>
                    </w:rPr>
                  </w:r>
                  <w:r w:rsidRPr="00321B8D">
                    <w:rPr>
                      <w:rFonts w:ascii="Verdana" w:hAnsi="Verdana"/>
                      <w:noProof/>
                      <w:webHidden/>
                      <w:color w:val="002060"/>
                      <w:sz w:val="20"/>
                      <w:szCs w:val="20"/>
                    </w:rPr>
                    <w:fldChar w:fldCharType="separate"/>
                  </w:r>
                  <w:r w:rsidRPr="00321B8D">
                    <w:rPr>
                      <w:rFonts w:ascii="Verdana" w:hAnsi="Verdana"/>
                      <w:noProof/>
                      <w:webHidden/>
                      <w:color w:val="002060"/>
                      <w:sz w:val="20"/>
                      <w:szCs w:val="20"/>
                    </w:rPr>
                    <w:t>3</w:t>
                  </w:r>
                  <w:r w:rsidRPr="00321B8D">
                    <w:rPr>
                      <w:rFonts w:ascii="Verdana" w:hAnsi="Verdana"/>
                      <w:noProof/>
                      <w:webHidden/>
                      <w:color w:val="002060"/>
                      <w:sz w:val="20"/>
                      <w:szCs w:val="20"/>
                    </w:rPr>
                    <w:fldChar w:fldCharType="end"/>
                  </w:r>
                </w:hyperlink>
              </w:p>
              <w:p w14:paraId="1F33D841" w14:textId="444F8B95" w:rsidR="003458B8" w:rsidRPr="00321B8D" w:rsidRDefault="003458B8">
                <w:pPr>
                  <w:pStyle w:val="TOC1"/>
                  <w:tabs>
                    <w:tab w:val="right" w:leader="dot" w:pos="14537"/>
                  </w:tabs>
                  <w:rPr>
                    <w:rFonts w:ascii="Verdana" w:eastAsiaTheme="minorEastAsia" w:hAnsi="Verdana"/>
                    <w:noProof/>
                    <w:color w:val="002060"/>
                    <w:kern w:val="2"/>
                    <w:sz w:val="20"/>
                    <w:szCs w:val="20"/>
                    <w:lang w:eastAsia="en-GB"/>
                    <w14:ligatures w14:val="standardContextual"/>
                  </w:rPr>
                </w:pPr>
                <w:hyperlink w:anchor="_Toc211856089" w:history="1">
                  <w:r w:rsidRPr="00321B8D">
                    <w:rPr>
                      <w:rStyle w:val="Hyperlink"/>
                      <w:rFonts w:ascii="Verdana" w:hAnsi="Verdana" w:cs="Arial"/>
                      <w:noProof/>
                      <w:color w:val="002060"/>
                      <w:sz w:val="20"/>
                      <w:szCs w:val="20"/>
                    </w:rPr>
                    <w:t>Appendix A: Sampled Action within the Escalation and Oversight Report (May 2025)</w:t>
                  </w:r>
                  <w:r w:rsidRPr="00321B8D">
                    <w:rPr>
                      <w:rFonts w:ascii="Verdana" w:hAnsi="Verdana"/>
                      <w:noProof/>
                      <w:webHidden/>
                      <w:color w:val="002060"/>
                      <w:sz w:val="20"/>
                      <w:szCs w:val="20"/>
                    </w:rPr>
                    <w:tab/>
                  </w:r>
                  <w:r w:rsidRPr="00321B8D">
                    <w:rPr>
                      <w:rFonts w:ascii="Verdana" w:hAnsi="Verdana"/>
                      <w:noProof/>
                      <w:webHidden/>
                      <w:color w:val="002060"/>
                      <w:sz w:val="20"/>
                      <w:szCs w:val="20"/>
                    </w:rPr>
                    <w:fldChar w:fldCharType="begin"/>
                  </w:r>
                  <w:r w:rsidRPr="00321B8D">
                    <w:rPr>
                      <w:rFonts w:ascii="Verdana" w:hAnsi="Verdana"/>
                      <w:noProof/>
                      <w:webHidden/>
                      <w:color w:val="002060"/>
                      <w:sz w:val="20"/>
                      <w:szCs w:val="20"/>
                    </w:rPr>
                    <w:instrText xml:space="preserve"> PAGEREF _Toc211856089 \h </w:instrText>
                  </w:r>
                  <w:r w:rsidRPr="00321B8D">
                    <w:rPr>
                      <w:rFonts w:ascii="Verdana" w:hAnsi="Verdana"/>
                      <w:noProof/>
                      <w:webHidden/>
                      <w:color w:val="002060"/>
                      <w:sz w:val="20"/>
                      <w:szCs w:val="20"/>
                    </w:rPr>
                  </w:r>
                  <w:r w:rsidRPr="00321B8D">
                    <w:rPr>
                      <w:rFonts w:ascii="Verdana" w:hAnsi="Verdana"/>
                      <w:noProof/>
                      <w:webHidden/>
                      <w:color w:val="002060"/>
                      <w:sz w:val="20"/>
                      <w:szCs w:val="20"/>
                    </w:rPr>
                    <w:fldChar w:fldCharType="separate"/>
                  </w:r>
                  <w:r w:rsidRPr="00321B8D">
                    <w:rPr>
                      <w:rFonts w:ascii="Verdana" w:hAnsi="Verdana"/>
                      <w:noProof/>
                      <w:webHidden/>
                      <w:color w:val="002060"/>
                      <w:sz w:val="20"/>
                      <w:szCs w:val="20"/>
                    </w:rPr>
                    <w:t>14</w:t>
                  </w:r>
                  <w:r w:rsidRPr="00321B8D">
                    <w:rPr>
                      <w:rFonts w:ascii="Verdana" w:hAnsi="Verdana"/>
                      <w:noProof/>
                      <w:webHidden/>
                      <w:color w:val="002060"/>
                      <w:sz w:val="20"/>
                      <w:szCs w:val="20"/>
                    </w:rPr>
                    <w:fldChar w:fldCharType="end"/>
                  </w:r>
                </w:hyperlink>
              </w:p>
              <w:p w14:paraId="22FBE6D8" w14:textId="3F2DC99D" w:rsidR="003458B8" w:rsidRPr="00321B8D" w:rsidRDefault="003458B8">
                <w:pPr>
                  <w:pStyle w:val="TOC1"/>
                  <w:tabs>
                    <w:tab w:val="right" w:leader="dot" w:pos="14537"/>
                  </w:tabs>
                  <w:rPr>
                    <w:rFonts w:ascii="Verdana" w:eastAsiaTheme="minorEastAsia" w:hAnsi="Verdana"/>
                    <w:noProof/>
                    <w:color w:val="002060"/>
                    <w:kern w:val="2"/>
                    <w:sz w:val="20"/>
                    <w:szCs w:val="20"/>
                    <w:lang w:eastAsia="en-GB"/>
                    <w14:ligatures w14:val="standardContextual"/>
                  </w:rPr>
                </w:pPr>
                <w:hyperlink w:anchor="_Toc211856090" w:history="1">
                  <w:r w:rsidRPr="00321B8D">
                    <w:rPr>
                      <w:rStyle w:val="Hyperlink"/>
                      <w:rFonts w:ascii="Verdana" w:hAnsi="Verdana" w:cs="Arial"/>
                      <w:noProof/>
                      <w:color w:val="002060"/>
                      <w:sz w:val="20"/>
                      <w:szCs w:val="20"/>
                    </w:rPr>
                    <w:t>Appendix B: Summary of Escalation performance</w:t>
                  </w:r>
                  <w:r w:rsidRPr="00321B8D">
                    <w:rPr>
                      <w:rFonts w:ascii="Verdana" w:hAnsi="Verdana"/>
                      <w:noProof/>
                      <w:webHidden/>
                      <w:color w:val="002060"/>
                      <w:sz w:val="20"/>
                      <w:szCs w:val="20"/>
                    </w:rPr>
                    <w:tab/>
                  </w:r>
                  <w:r w:rsidRPr="00321B8D">
                    <w:rPr>
                      <w:rFonts w:ascii="Verdana" w:hAnsi="Verdana"/>
                      <w:noProof/>
                      <w:webHidden/>
                      <w:color w:val="002060"/>
                      <w:sz w:val="20"/>
                      <w:szCs w:val="20"/>
                    </w:rPr>
                    <w:fldChar w:fldCharType="begin"/>
                  </w:r>
                  <w:r w:rsidRPr="00321B8D">
                    <w:rPr>
                      <w:rFonts w:ascii="Verdana" w:hAnsi="Verdana"/>
                      <w:noProof/>
                      <w:webHidden/>
                      <w:color w:val="002060"/>
                      <w:sz w:val="20"/>
                      <w:szCs w:val="20"/>
                    </w:rPr>
                    <w:instrText xml:space="preserve"> PAGEREF _Toc211856090 \h </w:instrText>
                  </w:r>
                  <w:r w:rsidRPr="00321B8D">
                    <w:rPr>
                      <w:rFonts w:ascii="Verdana" w:hAnsi="Verdana"/>
                      <w:noProof/>
                      <w:webHidden/>
                      <w:color w:val="002060"/>
                      <w:sz w:val="20"/>
                      <w:szCs w:val="20"/>
                    </w:rPr>
                  </w:r>
                  <w:r w:rsidRPr="00321B8D">
                    <w:rPr>
                      <w:rFonts w:ascii="Verdana" w:hAnsi="Verdana"/>
                      <w:noProof/>
                      <w:webHidden/>
                      <w:color w:val="002060"/>
                      <w:sz w:val="20"/>
                      <w:szCs w:val="20"/>
                    </w:rPr>
                    <w:fldChar w:fldCharType="separate"/>
                  </w:r>
                  <w:r w:rsidRPr="00321B8D">
                    <w:rPr>
                      <w:rFonts w:ascii="Verdana" w:hAnsi="Verdana"/>
                      <w:noProof/>
                      <w:webHidden/>
                      <w:color w:val="002060"/>
                      <w:sz w:val="20"/>
                      <w:szCs w:val="20"/>
                    </w:rPr>
                    <w:t>15</w:t>
                  </w:r>
                  <w:r w:rsidRPr="00321B8D">
                    <w:rPr>
                      <w:rFonts w:ascii="Verdana" w:hAnsi="Verdana"/>
                      <w:noProof/>
                      <w:webHidden/>
                      <w:color w:val="002060"/>
                      <w:sz w:val="20"/>
                      <w:szCs w:val="20"/>
                    </w:rPr>
                    <w:fldChar w:fldCharType="end"/>
                  </w:r>
                </w:hyperlink>
              </w:p>
              <w:p w14:paraId="34D3ACE8" w14:textId="3BE92076" w:rsidR="003458B8" w:rsidRPr="00321B8D" w:rsidRDefault="003458B8">
                <w:pPr>
                  <w:pStyle w:val="TOC1"/>
                  <w:tabs>
                    <w:tab w:val="right" w:leader="dot" w:pos="14537"/>
                  </w:tabs>
                  <w:rPr>
                    <w:rFonts w:ascii="Verdana" w:eastAsiaTheme="minorEastAsia" w:hAnsi="Verdana"/>
                    <w:noProof/>
                    <w:color w:val="002060"/>
                    <w:kern w:val="2"/>
                    <w:sz w:val="20"/>
                    <w:szCs w:val="20"/>
                    <w:lang w:eastAsia="en-GB"/>
                    <w14:ligatures w14:val="standardContextual"/>
                  </w:rPr>
                </w:pPr>
                <w:hyperlink w:anchor="_Toc211856091" w:history="1">
                  <w:r w:rsidRPr="00321B8D">
                    <w:rPr>
                      <w:rStyle w:val="Hyperlink"/>
                      <w:rFonts w:ascii="Verdana" w:hAnsi="Verdana" w:cs="Arial"/>
                      <w:noProof/>
                      <w:color w:val="002060"/>
                      <w:sz w:val="20"/>
                      <w:szCs w:val="20"/>
                    </w:rPr>
                    <w:t>Appendix C: Assurance Opinion &amp; Prioritisation of Findings</w:t>
                  </w:r>
                  <w:r w:rsidRPr="00321B8D">
                    <w:rPr>
                      <w:rFonts w:ascii="Verdana" w:hAnsi="Verdana"/>
                      <w:noProof/>
                      <w:webHidden/>
                      <w:color w:val="002060"/>
                      <w:sz w:val="20"/>
                      <w:szCs w:val="20"/>
                    </w:rPr>
                    <w:tab/>
                  </w:r>
                  <w:r w:rsidRPr="00321B8D">
                    <w:rPr>
                      <w:rFonts w:ascii="Verdana" w:hAnsi="Verdana"/>
                      <w:noProof/>
                      <w:webHidden/>
                      <w:color w:val="002060"/>
                      <w:sz w:val="20"/>
                      <w:szCs w:val="20"/>
                    </w:rPr>
                    <w:fldChar w:fldCharType="begin"/>
                  </w:r>
                  <w:r w:rsidRPr="00321B8D">
                    <w:rPr>
                      <w:rFonts w:ascii="Verdana" w:hAnsi="Verdana"/>
                      <w:noProof/>
                      <w:webHidden/>
                      <w:color w:val="002060"/>
                      <w:sz w:val="20"/>
                      <w:szCs w:val="20"/>
                    </w:rPr>
                    <w:instrText xml:space="preserve"> PAGEREF _Toc211856091 \h </w:instrText>
                  </w:r>
                  <w:r w:rsidRPr="00321B8D">
                    <w:rPr>
                      <w:rFonts w:ascii="Verdana" w:hAnsi="Verdana"/>
                      <w:noProof/>
                      <w:webHidden/>
                      <w:color w:val="002060"/>
                      <w:sz w:val="20"/>
                      <w:szCs w:val="20"/>
                    </w:rPr>
                  </w:r>
                  <w:r w:rsidRPr="00321B8D">
                    <w:rPr>
                      <w:rFonts w:ascii="Verdana" w:hAnsi="Verdana"/>
                      <w:noProof/>
                      <w:webHidden/>
                      <w:color w:val="002060"/>
                      <w:sz w:val="20"/>
                      <w:szCs w:val="20"/>
                    </w:rPr>
                    <w:fldChar w:fldCharType="separate"/>
                  </w:r>
                  <w:r w:rsidRPr="00321B8D">
                    <w:rPr>
                      <w:rFonts w:ascii="Verdana" w:hAnsi="Verdana"/>
                      <w:noProof/>
                      <w:webHidden/>
                      <w:color w:val="002060"/>
                      <w:sz w:val="20"/>
                      <w:szCs w:val="20"/>
                    </w:rPr>
                    <w:t>19</w:t>
                  </w:r>
                  <w:r w:rsidRPr="00321B8D">
                    <w:rPr>
                      <w:rFonts w:ascii="Verdana" w:hAnsi="Verdana"/>
                      <w:noProof/>
                      <w:webHidden/>
                      <w:color w:val="002060"/>
                      <w:sz w:val="20"/>
                      <w:szCs w:val="20"/>
                    </w:rPr>
                    <w:fldChar w:fldCharType="end"/>
                  </w:r>
                </w:hyperlink>
              </w:p>
              <w:p w14:paraId="6DC14764" w14:textId="379D2237" w:rsidR="005557B9" w:rsidRDefault="005557B9" w:rsidP="005B1792">
                <w:pPr>
                  <w:pStyle w:val="TOC1"/>
                  <w:tabs>
                    <w:tab w:val="right" w:leader="dot" w:pos="14537"/>
                  </w:tabs>
                </w:pPr>
                <w:r w:rsidRPr="00321B8D">
                  <w:rPr>
                    <w:b/>
                    <w:bCs/>
                    <w:noProof/>
                    <w:color w:val="002060"/>
                    <w:sz w:val="20"/>
                    <w:szCs w:val="20"/>
                  </w:rPr>
                  <w:fldChar w:fldCharType="end"/>
                </w:r>
              </w:p>
            </w:sdtContent>
          </w:sdt>
          <w:p w14:paraId="721A562D" w14:textId="30E780B7" w:rsidR="00FA3C18" w:rsidRPr="00DD24FE" w:rsidRDefault="00FA3C18" w:rsidP="00FA3C18">
            <w:pPr>
              <w:pStyle w:val="TOC1"/>
              <w:tabs>
                <w:tab w:val="right" w:leader="dot" w:pos="15288"/>
              </w:tabs>
              <w:rPr>
                <w:rFonts w:ascii="Verdana" w:eastAsiaTheme="minorEastAsia" w:hAnsi="Verdana"/>
                <w:noProof/>
                <w:color w:val="002060"/>
                <w:kern w:val="2"/>
                <w:sz w:val="20"/>
                <w:szCs w:val="20"/>
                <w:lang w:eastAsia="en-GB"/>
                <w14:ligatures w14:val="standardContextual"/>
              </w:rPr>
            </w:pPr>
          </w:p>
        </w:tc>
        <w:tc>
          <w:tcPr>
            <w:tcW w:w="3119" w:type="dxa"/>
            <w:gridSpan w:val="2"/>
            <w:tcBorders>
              <w:left w:val="nil"/>
            </w:tcBorders>
          </w:tcPr>
          <w:p w14:paraId="280C1874" w14:textId="371E9063"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Review Reference</w:t>
            </w:r>
          </w:p>
        </w:tc>
        <w:tc>
          <w:tcPr>
            <w:tcW w:w="4962" w:type="dxa"/>
            <w:gridSpan w:val="2"/>
          </w:tcPr>
          <w:p w14:paraId="0FF28943" w14:textId="3F7EA4F0" w:rsidR="00FA3C18" w:rsidRPr="003774E0" w:rsidRDefault="00CC7F0E" w:rsidP="008E55E8">
            <w:pPr>
              <w:pStyle w:val="TOC1"/>
              <w:tabs>
                <w:tab w:val="right" w:leader="dot" w:pos="15288"/>
              </w:tabs>
              <w:rPr>
                <w:rFonts w:ascii="Verdana" w:hAnsi="Verdana"/>
                <w:color w:val="002060"/>
              </w:rPr>
            </w:pPr>
            <w:r w:rsidRPr="003774E0">
              <w:rPr>
                <w:rFonts w:ascii="Verdana" w:hAnsi="Verdana"/>
                <w:color w:val="002060"/>
                <w:sz w:val="20"/>
                <w:szCs w:val="20"/>
              </w:rPr>
              <w:t>SBU</w:t>
            </w:r>
            <w:r w:rsidR="00FA3C18" w:rsidRPr="003774E0">
              <w:rPr>
                <w:rFonts w:ascii="Verdana" w:hAnsi="Verdana"/>
                <w:color w:val="002060"/>
                <w:sz w:val="20"/>
                <w:szCs w:val="20"/>
              </w:rPr>
              <w:t>-25</w:t>
            </w:r>
            <w:r w:rsidRPr="003774E0">
              <w:rPr>
                <w:rFonts w:ascii="Verdana" w:hAnsi="Verdana"/>
                <w:color w:val="002060"/>
                <w:sz w:val="20"/>
                <w:szCs w:val="20"/>
              </w:rPr>
              <w:t>26</w:t>
            </w:r>
            <w:r w:rsidR="00FA3C18" w:rsidRPr="003774E0">
              <w:rPr>
                <w:rFonts w:ascii="Verdana" w:hAnsi="Verdana"/>
                <w:color w:val="002060"/>
                <w:sz w:val="20"/>
                <w:szCs w:val="20"/>
              </w:rPr>
              <w:t>-</w:t>
            </w:r>
            <w:r w:rsidR="00FD2B38">
              <w:rPr>
                <w:rFonts w:ascii="Verdana" w:hAnsi="Verdana"/>
                <w:color w:val="002060"/>
                <w:sz w:val="20"/>
                <w:szCs w:val="20"/>
              </w:rPr>
              <w:t>07</w:t>
            </w:r>
          </w:p>
        </w:tc>
      </w:tr>
      <w:tr w:rsidR="00FA3C18" w14:paraId="6DF09557" w14:textId="77777777" w:rsidTr="007C3A55">
        <w:tc>
          <w:tcPr>
            <w:tcW w:w="6946" w:type="dxa"/>
            <w:vMerge/>
          </w:tcPr>
          <w:p w14:paraId="7DF0E7C0" w14:textId="77777777" w:rsidR="00FA3C18" w:rsidRDefault="00FA3C18" w:rsidP="00FA3C18">
            <w:pPr>
              <w:pStyle w:val="TOC1"/>
              <w:tabs>
                <w:tab w:val="right" w:leader="dot" w:pos="15288"/>
              </w:tabs>
              <w:rPr>
                <w:rFonts w:ascii="Verdana" w:hAnsi="Verdana" w:cs="Arial"/>
                <w:b/>
                <w:bCs/>
                <w:color w:val="002060"/>
              </w:rPr>
            </w:pPr>
          </w:p>
        </w:tc>
        <w:tc>
          <w:tcPr>
            <w:tcW w:w="3119" w:type="dxa"/>
            <w:gridSpan w:val="2"/>
            <w:tcBorders>
              <w:left w:val="nil"/>
            </w:tcBorders>
          </w:tcPr>
          <w:p w14:paraId="1DF79A54" w14:textId="559D895D"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Fieldwork</w:t>
            </w:r>
          </w:p>
        </w:tc>
        <w:tc>
          <w:tcPr>
            <w:tcW w:w="4962" w:type="dxa"/>
            <w:gridSpan w:val="2"/>
          </w:tcPr>
          <w:p w14:paraId="3EE83972" w14:textId="5301DF5F" w:rsidR="00FA3C18" w:rsidRPr="003774E0" w:rsidRDefault="00FD2B38" w:rsidP="008E55E8">
            <w:pPr>
              <w:pStyle w:val="TOC1"/>
              <w:tabs>
                <w:tab w:val="right" w:leader="dot" w:pos="15288"/>
              </w:tabs>
              <w:rPr>
                <w:rFonts w:ascii="Verdana" w:hAnsi="Verdana"/>
                <w:color w:val="002060"/>
                <w:sz w:val="20"/>
                <w:szCs w:val="20"/>
              </w:rPr>
            </w:pPr>
            <w:r>
              <w:rPr>
                <w:rFonts w:ascii="Verdana" w:hAnsi="Verdana"/>
                <w:color w:val="002060"/>
                <w:sz w:val="20"/>
                <w:szCs w:val="20"/>
              </w:rPr>
              <w:t>J</w:t>
            </w:r>
            <w:r w:rsidRPr="00D84C1A">
              <w:rPr>
                <w:rFonts w:ascii="Verdana" w:hAnsi="Verdana"/>
                <w:color w:val="44546A" w:themeColor="text2"/>
                <w:sz w:val="20"/>
                <w:szCs w:val="20"/>
              </w:rPr>
              <w:t>uly</w:t>
            </w:r>
            <w:r>
              <w:rPr>
                <w:rFonts w:ascii="Verdana" w:hAnsi="Verdana"/>
                <w:color w:val="002060"/>
                <w:sz w:val="20"/>
                <w:szCs w:val="20"/>
              </w:rPr>
              <w:t xml:space="preserve"> - </w:t>
            </w:r>
            <w:r w:rsidR="00AF3160">
              <w:rPr>
                <w:rFonts w:ascii="Verdana" w:hAnsi="Verdana"/>
                <w:color w:val="002060"/>
                <w:sz w:val="20"/>
                <w:szCs w:val="20"/>
              </w:rPr>
              <w:t>October</w:t>
            </w:r>
            <w:r w:rsidR="00FA3C18" w:rsidRPr="003774E0">
              <w:rPr>
                <w:rFonts w:ascii="Verdana" w:hAnsi="Verdana"/>
                <w:color w:val="002060"/>
                <w:sz w:val="20"/>
                <w:szCs w:val="20"/>
              </w:rPr>
              <w:t xml:space="preserve"> 202</w:t>
            </w:r>
            <w:r w:rsidR="00CC7F0E" w:rsidRPr="003774E0">
              <w:rPr>
                <w:rFonts w:ascii="Verdana" w:hAnsi="Verdana"/>
                <w:color w:val="002060"/>
                <w:sz w:val="20"/>
                <w:szCs w:val="20"/>
              </w:rPr>
              <w:t>5</w:t>
            </w:r>
          </w:p>
        </w:tc>
      </w:tr>
      <w:tr w:rsidR="00FA3C18" w14:paraId="476F1B85" w14:textId="77777777" w:rsidTr="007C3A55">
        <w:tc>
          <w:tcPr>
            <w:tcW w:w="6946" w:type="dxa"/>
            <w:vMerge/>
          </w:tcPr>
          <w:p w14:paraId="4495EA25" w14:textId="77777777" w:rsidR="00FA3C18" w:rsidRPr="005F7207" w:rsidRDefault="00FA3C18" w:rsidP="00FA3C18">
            <w:pPr>
              <w:pStyle w:val="TOC1"/>
              <w:tabs>
                <w:tab w:val="right" w:leader="dot" w:pos="15288"/>
              </w:tabs>
              <w:rPr>
                <w:rFonts w:ascii="Verdana" w:hAnsi="Verdana"/>
                <w:sz w:val="20"/>
                <w:szCs w:val="20"/>
              </w:rPr>
            </w:pPr>
          </w:p>
        </w:tc>
        <w:tc>
          <w:tcPr>
            <w:tcW w:w="3119" w:type="dxa"/>
            <w:gridSpan w:val="2"/>
            <w:tcBorders>
              <w:left w:val="nil"/>
            </w:tcBorders>
          </w:tcPr>
          <w:p w14:paraId="523B44D1" w14:textId="1D924AD3"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Executive Sign Off</w:t>
            </w:r>
          </w:p>
        </w:tc>
        <w:tc>
          <w:tcPr>
            <w:tcW w:w="4962" w:type="dxa"/>
            <w:gridSpan w:val="2"/>
          </w:tcPr>
          <w:p w14:paraId="46445B4B" w14:textId="65D75094" w:rsidR="00FA3C18" w:rsidRPr="006603A6" w:rsidRDefault="007C33A2" w:rsidP="008E55E8">
            <w:pPr>
              <w:pStyle w:val="TOC1"/>
              <w:tabs>
                <w:tab w:val="right" w:leader="dot" w:pos="15288"/>
              </w:tabs>
              <w:rPr>
                <w:rFonts w:ascii="Verdana" w:hAnsi="Verdana"/>
                <w:color w:val="002060"/>
              </w:rPr>
            </w:pPr>
            <w:r w:rsidRPr="006603A6">
              <w:rPr>
                <w:rFonts w:ascii="Verdana" w:hAnsi="Verdana"/>
                <w:color w:val="002060"/>
                <w:sz w:val="20"/>
                <w:szCs w:val="20"/>
              </w:rPr>
              <w:t>X</w:t>
            </w:r>
          </w:p>
        </w:tc>
      </w:tr>
      <w:tr w:rsidR="00FA3C18" w14:paraId="2C33FD71" w14:textId="77777777" w:rsidTr="007C3A55">
        <w:tc>
          <w:tcPr>
            <w:tcW w:w="6946" w:type="dxa"/>
            <w:vMerge/>
          </w:tcPr>
          <w:p w14:paraId="0C7F9DE7" w14:textId="77777777" w:rsidR="00FA3C18" w:rsidRPr="005F7207" w:rsidRDefault="00FA3C18" w:rsidP="00FA3C18">
            <w:pPr>
              <w:pStyle w:val="TOC1"/>
              <w:tabs>
                <w:tab w:val="right" w:leader="dot" w:pos="15288"/>
              </w:tabs>
              <w:rPr>
                <w:rFonts w:ascii="Verdana" w:hAnsi="Verdana"/>
                <w:sz w:val="20"/>
                <w:szCs w:val="20"/>
              </w:rPr>
            </w:pPr>
          </w:p>
        </w:tc>
        <w:tc>
          <w:tcPr>
            <w:tcW w:w="3119" w:type="dxa"/>
            <w:gridSpan w:val="2"/>
            <w:tcBorders>
              <w:left w:val="nil"/>
            </w:tcBorders>
          </w:tcPr>
          <w:p w14:paraId="6E9755B2" w14:textId="7F87889E"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Audit Committee</w:t>
            </w:r>
          </w:p>
        </w:tc>
        <w:tc>
          <w:tcPr>
            <w:tcW w:w="4962" w:type="dxa"/>
            <w:gridSpan w:val="2"/>
          </w:tcPr>
          <w:p w14:paraId="16D95F91" w14:textId="18B1978A" w:rsidR="00FA3C18" w:rsidRPr="006603A6" w:rsidRDefault="00FA3C18" w:rsidP="008E55E8">
            <w:pPr>
              <w:pStyle w:val="TOC1"/>
              <w:tabs>
                <w:tab w:val="right" w:leader="dot" w:pos="15288"/>
              </w:tabs>
              <w:rPr>
                <w:rFonts w:ascii="Verdana" w:hAnsi="Verdana"/>
                <w:color w:val="002060"/>
              </w:rPr>
            </w:pPr>
          </w:p>
        </w:tc>
      </w:tr>
      <w:tr w:rsidR="00FA3C18" w14:paraId="7B9FCA9D" w14:textId="77777777" w:rsidTr="007C3A55">
        <w:tc>
          <w:tcPr>
            <w:tcW w:w="6946" w:type="dxa"/>
            <w:vMerge/>
          </w:tcPr>
          <w:p w14:paraId="618EA1A1" w14:textId="77777777" w:rsidR="00FA3C18" w:rsidRPr="005F7207" w:rsidRDefault="00FA3C18" w:rsidP="00FA3C18">
            <w:pPr>
              <w:pStyle w:val="TOC1"/>
              <w:tabs>
                <w:tab w:val="right" w:leader="dot" w:pos="15288"/>
              </w:tabs>
              <w:rPr>
                <w:rFonts w:ascii="Verdana" w:hAnsi="Verdana"/>
                <w:sz w:val="20"/>
                <w:szCs w:val="20"/>
              </w:rPr>
            </w:pPr>
          </w:p>
        </w:tc>
        <w:tc>
          <w:tcPr>
            <w:tcW w:w="3119" w:type="dxa"/>
            <w:gridSpan w:val="2"/>
            <w:tcBorders>
              <w:left w:val="nil"/>
            </w:tcBorders>
          </w:tcPr>
          <w:p w14:paraId="5CA9FEB2" w14:textId="1CBDB42D"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Executive Lead </w:t>
            </w:r>
          </w:p>
        </w:tc>
        <w:tc>
          <w:tcPr>
            <w:tcW w:w="4962" w:type="dxa"/>
            <w:gridSpan w:val="2"/>
          </w:tcPr>
          <w:p w14:paraId="37DB8591" w14:textId="3B813065" w:rsidR="00FA3C18" w:rsidRPr="00DD24FE" w:rsidRDefault="00FD2B38" w:rsidP="008E55E8">
            <w:pPr>
              <w:pStyle w:val="TOC1"/>
              <w:tabs>
                <w:tab w:val="right" w:leader="dot" w:pos="15288"/>
              </w:tabs>
              <w:rPr>
                <w:rFonts w:ascii="Verdana" w:hAnsi="Verdana"/>
                <w:color w:val="002060"/>
                <w:sz w:val="20"/>
                <w:szCs w:val="20"/>
              </w:rPr>
            </w:pPr>
            <w:r>
              <w:rPr>
                <w:rFonts w:ascii="Verdana" w:hAnsi="Verdana"/>
                <w:color w:val="002060"/>
                <w:sz w:val="20"/>
                <w:szCs w:val="20"/>
              </w:rPr>
              <w:t>Darren Griffiths</w:t>
            </w:r>
            <w:r w:rsidR="003774E0">
              <w:rPr>
                <w:rFonts w:ascii="Verdana" w:hAnsi="Verdana"/>
                <w:color w:val="002060"/>
                <w:sz w:val="20"/>
                <w:szCs w:val="20"/>
              </w:rPr>
              <w:t xml:space="preserve">, </w:t>
            </w:r>
            <w:r>
              <w:rPr>
                <w:rFonts w:ascii="Verdana" w:hAnsi="Verdana"/>
                <w:color w:val="002060"/>
                <w:sz w:val="20"/>
                <w:szCs w:val="20"/>
              </w:rPr>
              <w:t>Director of Finance and Performance</w:t>
            </w:r>
          </w:p>
        </w:tc>
      </w:tr>
      <w:tr w:rsidR="00FA3C18" w14:paraId="67663E41" w14:textId="77777777" w:rsidTr="007C3A55">
        <w:tc>
          <w:tcPr>
            <w:tcW w:w="6946" w:type="dxa"/>
            <w:vMerge/>
          </w:tcPr>
          <w:p w14:paraId="3C2CD90E" w14:textId="77777777" w:rsidR="00FA3C18" w:rsidRPr="005F7207" w:rsidRDefault="00FA3C18" w:rsidP="00FA3C18">
            <w:pPr>
              <w:pStyle w:val="TOC1"/>
              <w:tabs>
                <w:tab w:val="right" w:leader="dot" w:pos="15288"/>
              </w:tabs>
              <w:rPr>
                <w:rFonts w:ascii="Verdana" w:hAnsi="Verdana"/>
                <w:sz w:val="20"/>
                <w:szCs w:val="20"/>
              </w:rPr>
            </w:pPr>
          </w:p>
        </w:tc>
        <w:tc>
          <w:tcPr>
            <w:tcW w:w="3119" w:type="dxa"/>
            <w:gridSpan w:val="2"/>
            <w:tcBorders>
              <w:left w:val="nil"/>
            </w:tcBorders>
          </w:tcPr>
          <w:p w14:paraId="197BA6AE" w14:textId="30AE80EE"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w:t>
            </w:r>
            <w:r w:rsidR="00520E38">
              <w:rPr>
                <w:rFonts w:ascii="Verdana" w:hAnsi="Verdana"/>
                <w:b/>
                <w:bCs/>
                <w:color w:val="002060"/>
                <w:sz w:val="20"/>
                <w:szCs w:val="20"/>
              </w:rPr>
              <w:t>Audit Team</w:t>
            </w:r>
          </w:p>
        </w:tc>
        <w:tc>
          <w:tcPr>
            <w:tcW w:w="4962" w:type="dxa"/>
            <w:gridSpan w:val="2"/>
          </w:tcPr>
          <w:p w14:paraId="1F8FB6D8" w14:textId="3B40F4E7" w:rsidR="00F814CA" w:rsidRPr="006458DE" w:rsidRDefault="00CC7F0E" w:rsidP="006458DE">
            <w:pPr>
              <w:pStyle w:val="TOC1"/>
              <w:tabs>
                <w:tab w:val="right" w:leader="dot" w:pos="15288"/>
              </w:tabs>
              <w:jc w:val="both"/>
              <w:rPr>
                <w:rFonts w:ascii="Verdana" w:hAnsi="Verdana"/>
                <w:color w:val="002060"/>
                <w:sz w:val="20"/>
                <w:szCs w:val="20"/>
              </w:rPr>
            </w:pPr>
            <w:r>
              <w:rPr>
                <w:rFonts w:ascii="Verdana" w:hAnsi="Verdana"/>
                <w:color w:val="002060"/>
                <w:sz w:val="20"/>
                <w:szCs w:val="20"/>
              </w:rPr>
              <w:t>Osian Lloyd</w:t>
            </w:r>
            <w:r w:rsidR="00520E38">
              <w:rPr>
                <w:rFonts w:ascii="Verdana" w:hAnsi="Verdana"/>
                <w:color w:val="002060"/>
                <w:sz w:val="20"/>
                <w:szCs w:val="20"/>
              </w:rPr>
              <w:t>, Head of Internal Audit</w:t>
            </w:r>
            <w:r w:rsidR="006458DE">
              <w:rPr>
                <w:rFonts w:ascii="Verdana" w:hAnsi="Verdana"/>
                <w:color w:val="002060"/>
                <w:sz w:val="20"/>
                <w:szCs w:val="20"/>
              </w:rPr>
              <w:t>; Felicity Quance, Deputy Head of Internal Audit</w:t>
            </w:r>
            <w:r w:rsidR="00A34611">
              <w:t xml:space="preserve"> </w:t>
            </w:r>
          </w:p>
        </w:tc>
      </w:tr>
      <w:tr w:rsidR="00FA3C18" w14:paraId="3589E664" w14:textId="77777777" w:rsidTr="007C3A55">
        <w:tc>
          <w:tcPr>
            <w:tcW w:w="6946" w:type="dxa"/>
            <w:vMerge/>
          </w:tcPr>
          <w:p w14:paraId="54BAA112" w14:textId="77777777" w:rsidR="00FA3C18" w:rsidRPr="005F7207" w:rsidRDefault="00FA3C18" w:rsidP="00FA3C18">
            <w:pPr>
              <w:pStyle w:val="TOC1"/>
              <w:tabs>
                <w:tab w:val="right" w:leader="dot" w:pos="15288"/>
              </w:tabs>
              <w:rPr>
                <w:rFonts w:ascii="Verdana" w:hAnsi="Verdana"/>
              </w:rPr>
            </w:pPr>
          </w:p>
        </w:tc>
        <w:tc>
          <w:tcPr>
            <w:tcW w:w="3119" w:type="dxa"/>
            <w:gridSpan w:val="2"/>
            <w:tcBorders>
              <w:left w:val="nil"/>
            </w:tcBorders>
          </w:tcPr>
          <w:p w14:paraId="16C21D03" w14:textId="0E37F42C" w:rsidR="00FA3C18" w:rsidRPr="00DD24FE" w:rsidRDefault="00FA3C18" w:rsidP="00520E38">
            <w:pPr>
              <w:pStyle w:val="TOC1"/>
              <w:tabs>
                <w:tab w:val="right" w:leader="dot" w:pos="15288"/>
              </w:tabs>
              <w:ind w:left="-247" w:firstLine="247"/>
              <w:rPr>
                <w:rFonts w:ascii="Verdana" w:hAnsi="Verdana"/>
                <w:b/>
                <w:bCs/>
                <w:color w:val="002060"/>
                <w:sz w:val="20"/>
                <w:szCs w:val="20"/>
              </w:rPr>
            </w:pPr>
          </w:p>
        </w:tc>
        <w:tc>
          <w:tcPr>
            <w:tcW w:w="4962" w:type="dxa"/>
            <w:gridSpan w:val="2"/>
          </w:tcPr>
          <w:p w14:paraId="2FDFBE07" w14:textId="6FE39C6D" w:rsidR="00FA3C18" w:rsidRPr="00DD24FE" w:rsidRDefault="00FA3C18" w:rsidP="008E55E8">
            <w:pPr>
              <w:spacing w:after="100"/>
              <w:rPr>
                <w:rFonts w:ascii="Verdana" w:hAnsi="Verdana"/>
                <w:color w:val="002060"/>
                <w:sz w:val="20"/>
                <w:szCs w:val="20"/>
              </w:rPr>
            </w:pPr>
          </w:p>
        </w:tc>
      </w:tr>
    </w:tbl>
    <w:p w14:paraId="53E1F5DF" w14:textId="1E175DB1" w:rsidR="00BD2583" w:rsidRPr="00BD2583" w:rsidRDefault="007C3A55" w:rsidP="00FE4914">
      <w:pPr>
        <w:tabs>
          <w:tab w:val="left" w:pos="1785"/>
        </w:tabs>
        <w:ind w:left="-142"/>
        <w:rPr>
          <w:rFonts w:ascii="Verdana" w:hAnsi="Verdana"/>
          <w:color w:val="3D5A8C"/>
          <w:sz w:val="56"/>
          <w:szCs w:val="56"/>
        </w:rPr>
        <w:sectPr w:rsidR="00BD2583" w:rsidRPr="00BD2583" w:rsidSect="005F7207">
          <w:headerReference w:type="default" r:id="rId13"/>
          <w:footerReference w:type="default" r:id="rId14"/>
          <w:pgSz w:w="16838" w:h="11906" w:orient="landscape"/>
          <w:pgMar w:top="0" w:right="1440" w:bottom="0" w:left="851" w:header="708" w:footer="708" w:gutter="0"/>
          <w:cols w:space="708"/>
          <w:docGrid w:linePitch="360"/>
        </w:sectPr>
      </w:pPr>
      <w:r w:rsidRPr="00BD2583">
        <w:rPr>
          <w:noProof/>
        </w:rPr>
        <w:drawing>
          <wp:anchor distT="0" distB="0" distL="114300" distR="114300" simplePos="0" relativeHeight="251658240" behindDoc="0" locked="0" layoutInCell="1" allowOverlap="1" wp14:anchorId="1598C5B8" wp14:editId="36DBC3B9">
            <wp:simplePos x="0" y="0"/>
            <wp:positionH relativeFrom="column">
              <wp:posOffset>2841083</wp:posOffset>
            </wp:positionH>
            <wp:positionV relativeFrom="paragraph">
              <wp:posOffset>326420</wp:posOffset>
            </wp:positionV>
            <wp:extent cx="603249" cy="598878"/>
            <wp:effectExtent l="0" t="0" r="6985" b="0"/>
            <wp:wrapNone/>
            <wp:docPr id="1160720129" name="Picture 1160720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15" cstate="print">
                      <a:extLst>
                        <a:ext uri="{28A0092B-C50C-407E-A947-70E740481C1C}">
                          <a14:useLocalDpi xmlns:a14="http://schemas.microsoft.com/office/drawing/2010/main" val="0"/>
                        </a:ext>
                      </a:extLst>
                    </a:blip>
                    <a:srcRect l="90184"/>
                    <a:stretch/>
                  </pic:blipFill>
                  <pic:spPr bwMode="auto">
                    <a:xfrm>
                      <a:off x="0" y="0"/>
                      <a:ext cx="607187" cy="6027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D2583">
        <w:rPr>
          <w:noProof/>
          <w:color w:val="2B579A"/>
          <w:shd w:val="clear" w:color="auto" w:fill="E6E6E6"/>
          <w:lang w:eastAsia="en-GB"/>
        </w:rPr>
        <w:drawing>
          <wp:anchor distT="0" distB="0" distL="114300" distR="114300" simplePos="0" relativeHeight="251658242" behindDoc="0" locked="0" layoutInCell="1" allowOverlap="1" wp14:anchorId="0A2CFF1D" wp14:editId="3F610671">
            <wp:simplePos x="0" y="0"/>
            <wp:positionH relativeFrom="column">
              <wp:posOffset>-59956</wp:posOffset>
            </wp:positionH>
            <wp:positionV relativeFrom="paragraph">
              <wp:posOffset>114300</wp:posOffset>
            </wp:positionV>
            <wp:extent cx="2649817" cy="812135"/>
            <wp:effectExtent l="57150" t="0" r="55880" b="121920"/>
            <wp:wrapNone/>
            <wp:docPr id="1120822083" name="Picture 1120822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16" cstate="print">
                      <a:alphaModFix amt="99000"/>
                      <a:extLst>
                        <a:ext uri="{28A0092B-C50C-407E-A947-70E740481C1C}">
                          <a14:useLocalDpi xmlns:a14="http://schemas.microsoft.com/office/drawing/2010/main" val="0"/>
                        </a:ext>
                      </a:extLst>
                    </a:blip>
                    <a:srcRect r="68233"/>
                    <a:stretch/>
                  </pic:blipFill>
                  <pic:spPr bwMode="auto">
                    <a:xfrm>
                      <a:off x="0" y="0"/>
                      <a:ext cx="2649817" cy="812135"/>
                    </a:xfrm>
                    <a:prstGeom prst="rect">
                      <a:avLst/>
                    </a:prstGeom>
                    <a:ln>
                      <a:noFill/>
                    </a:ln>
                    <a:effectLst>
                      <a:outerShdw blurRad="50800" dist="50800" dir="5400000" algn="ctr" rotWithShape="0">
                        <a:schemeClr val="bg1">
                          <a:alpha val="49000"/>
                        </a:scheme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6B1308" w14:textId="358E910C" w:rsidR="00DD24FE" w:rsidRPr="00EB73E2" w:rsidRDefault="00DD24FE" w:rsidP="003E32C6">
      <w:pPr>
        <w:pStyle w:val="Heading1"/>
        <w:spacing w:before="120"/>
        <w:ind w:left="-425"/>
        <w:rPr>
          <w:rFonts w:ascii="Verdana" w:hAnsi="Verdana"/>
          <w:color w:val="002060"/>
          <w:sz w:val="36"/>
          <w:szCs w:val="36"/>
        </w:rPr>
      </w:pPr>
      <w:bookmarkStart w:id="0" w:name="_Toc211856087"/>
      <w:bookmarkStart w:id="1" w:name="ExecSum"/>
      <w:bookmarkStart w:id="2" w:name="_Toc169186152"/>
      <w:r w:rsidRPr="00EB73E2">
        <w:rPr>
          <w:rFonts w:ascii="Verdana" w:hAnsi="Verdana"/>
          <w:color w:val="002060"/>
          <w:sz w:val="36"/>
          <w:szCs w:val="36"/>
        </w:rPr>
        <w:lastRenderedPageBreak/>
        <w:t>Executive Summary</w:t>
      </w:r>
      <w:bookmarkEnd w:id="0"/>
      <w:r w:rsidRPr="00EB73E2">
        <w:rPr>
          <w:rFonts w:ascii="Verdana" w:hAnsi="Verdana"/>
          <w:color w:val="002060"/>
          <w:sz w:val="36"/>
          <w:szCs w:val="36"/>
        </w:rPr>
        <w:t xml:space="preserve"> </w:t>
      </w:r>
    </w:p>
    <w:tbl>
      <w:tblPr>
        <w:tblStyle w:val="TableGrid"/>
        <w:tblW w:w="16161" w:type="dxa"/>
        <w:tblInd w:w="-4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61"/>
      </w:tblGrid>
      <w:tr w:rsidR="00F551E6" w14:paraId="79ED285A" w14:textId="77777777" w:rsidTr="04E33A4D">
        <w:tc>
          <w:tcPr>
            <w:tcW w:w="16161" w:type="dxa"/>
            <w:shd w:val="clear" w:color="auto" w:fill="D9E2F3" w:themeFill="accent1" w:themeFillTint="33"/>
          </w:tcPr>
          <w:bookmarkEnd w:id="1"/>
          <w:p w14:paraId="470D0AE8" w14:textId="77777777" w:rsidR="00F551E6" w:rsidRPr="00B95378" w:rsidRDefault="00F551E6" w:rsidP="00E870A6">
            <w:pPr>
              <w:spacing w:before="60" w:after="60"/>
              <w:jc w:val="both"/>
              <w:rPr>
                <w:rFonts w:ascii="Verdana" w:hAnsi="Verdana" w:cs="Arial"/>
                <w:color w:val="002060"/>
              </w:rPr>
            </w:pPr>
            <w:r w:rsidRPr="00B95378">
              <w:rPr>
                <w:rFonts w:ascii="Verdana" w:hAnsi="Verdana" w:cs="Arial"/>
                <w:color w:val="002060"/>
              </w:rPr>
              <w:t xml:space="preserve">Purpose </w:t>
            </w:r>
          </w:p>
          <w:p w14:paraId="2EB91FA6" w14:textId="2E2A8A87" w:rsidR="00B442B4" w:rsidRDefault="002811D0" w:rsidP="00E870A6">
            <w:pPr>
              <w:tabs>
                <w:tab w:val="right" w:pos="15945"/>
              </w:tabs>
              <w:spacing w:before="60" w:after="60"/>
              <w:jc w:val="both"/>
              <w:rPr>
                <w:rFonts w:ascii="Verdana" w:hAnsi="Verdana" w:cs="Arial"/>
                <w:sz w:val="20"/>
                <w:szCs w:val="20"/>
              </w:rPr>
            </w:pPr>
            <w:r w:rsidRPr="00990D00">
              <w:rPr>
                <w:rFonts w:ascii="Verdana" w:hAnsi="Verdana" w:cs="Arial"/>
                <w:sz w:val="20"/>
                <w:szCs w:val="20"/>
              </w:rPr>
              <w:t>In December 2023, Swansea Bay University Health Board</w:t>
            </w:r>
            <w:r>
              <w:rPr>
                <w:rFonts w:ascii="Verdana" w:hAnsi="Verdana" w:cs="Arial"/>
                <w:sz w:val="20"/>
                <w:szCs w:val="20"/>
              </w:rPr>
              <w:t xml:space="preserve"> (‘the health board’)</w:t>
            </w:r>
            <w:r w:rsidRPr="00990D00">
              <w:rPr>
                <w:rFonts w:ascii="Verdana" w:hAnsi="Verdana" w:cs="Arial"/>
                <w:sz w:val="20"/>
                <w:szCs w:val="20"/>
              </w:rPr>
              <w:t xml:space="preserve"> was escalated to Targeted Intervention (TI) status by Welsh Government</w:t>
            </w:r>
            <w:r w:rsidR="00CA60E5">
              <w:rPr>
                <w:rFonts w:ascii="Verdana" w:hAnsi="Verdana" w:cs="Arial"/>
                <w:sz w:val="20"/>
                <w:szCs w:val="20"/>
              </w:rPr>
              <w:t>,</w:t>
            </w:r>
            <w:r w:rsidRPr="00990D00">
              <w:rPr>
                <w:rFonts w:ascii="Verdana" w:hAnsi="Verdana" w:cs="Arial"/>
                <w:sz w:val="20"/>
                <w:szCs w:val="20"/>
              </w:rPr>
              <w:t xml:space="preserve"> </w:t>
            </w:r>
            <w:r w:rsidR="00F7698F">
              <w:rPr>
                <w:rFonts w:ascii="Verdana" w:hAnsi="Verdana" w:cs="Arial"/>
                <w:sz w:val="20"/>
                <w:szCs w:val="20"/>
              </w:rPr>
              <w:t>following</w:t>
            </w:r>
            <w:r w:rsidRPr="00990D00">
              <w:rPr>
                <w:rFonts w:ascii="Verdana" w:hAnsi="Verdana" w:cs="Arial"/>
                <w:sz w:val="20"/>
                <w:szCs w:val="20"/>
              </w:rPr>
              <w:t xml:space="preserve"> concerns across several critical service areas: Urgent and Emergency Care (UEC), Cancer, Planned Care, Healthcare Associated Infections (HCAIs), and Child and Adolescent Mental Health Services (CAMHS).</w:t>
            </w:r>
          </w:p>
          <w:p w14:paraId="6D885978" w14:textId="5FD8AA99" w:rsidR="00B442B4" w:rsidRDefault="0046478C" w:rsidP="00E870A6">
            <w:pPr>
              <w:tabs>
                <w:tab w:val="right" w:pos="15945"/>
              </w:tabs>
              <w:spacing w:before="60" w:after="60"/>
              <w:jc w:val="both"/>
              <w:rPr>
                <w:rFonts w:ascii="Verdana" w:hAnsi="Verdana" w:cs="Arial"/>
                <w:sz w:val="20"/>
                <w:szCs w:val="20"/>
              </w:rPr>
            </w:pPr>
            <w:r>
              <w:rPr>
                <w:rFonts w:ascii="Verdana" w:hAnsi="Verdana" w:cs="Arial"/>
                <w:sz w:val="20"/>
                <w:szCs w:val="20"/>
              </w:rPr>
              <w:t>In recent years</w:t>
            </w:r>
            <w:r w:rsidR="00F85E7E">
              <w:rPr>
                <w:rFonts w:ascii="Verdana" w:hAnsi="Verdana" w:cs="Arial"/>
                <w:sz w:val="20"/>
                <w:szCs w:val="20"/>
              </w:rPr>
              <w:t>, a number of</w:t>
            </w:r>
            <w:r w:rsidR="00DA2A43">
              <w:rPr>
                <w:rFonts w:ascii="Verdana" w:hAnsi="Verdana" w:cs="Arial"/>
                <w:sz w:val="20"/>
                <w:szCs w:val="20"/>
              </w:rPr>
              <w:t xml:space="preserve"> </w:t>
            </w:r>
            <w:r w:rsidR="00F85E7E">
              <w:rPr>
                <w:rFonts w:ascii="Verdana" w:hAnsi="Verdana" w:cs="Arial"/>
                <w:sz w:val="20"/>
                <w:szCs w:val="20"/>
              </w:rPr>
              <w:t>r</w:t>
            </w:r>
            <w:r w:rsidR="00C465B6">
              <w:rPr>
                <w:rFonts w:ascii="Verdana" w:hAnsi="Verdana" w:cs="Arial"/>
                <w:sz w:val="20"/>
                <w:szCs w:val="20"/>
              </w:rPr>
              <w:t xml:space="preserve">eviews </w:t>
            </w:r>
            <w:r w:rsidR="00D359A6">
              <w:rPr>
                <w:rFonts w:ascii="Verdana" w:hAnsi="Verdana" w:cs="Arial"/>
                <w:sz w:val="20"/>
                <w:szCs w:val="20"/>
              </w:rPr>
              <w:t xml:space="preserve">undertaken by </w:t>
            </w:r>
            <w:r w:rsidR="00BD08DF">
              <w:rPr>
                <w:rFonts w:ascii="Verdana" w:hAnsi="Verdana" w:cs="Arial"/>
                <w:sz w:val="20"/>
                <w:szCs w:val="20"/>
              </w:rPr>
              <w:t xml:space="preserve">NWSSP </w:t>
            </w:r>
            <w:r w:rsidR="00D359A6">
              <w:rPr>
                <w:rFonts w:ascii="Verdana" w:hAnsi="Verdana" w:cs="Arial"/>
                <w:sz w:val="20"/>
                <w:szCs w:val="20"/>
              </w:rPr>
              <w:t>Audit &amp; Assurance</w:t>
            </w:r>
            <w:r w:rsidR="004073FB">
              <w:rPr>
                <w:rFonts w:ascii="Verdana" w:hAnsi="Verdana" w:cs="Arial"/>
                <w:sz w:val="20"/>
                <w:szCs w:val="20"/>
              </w:rPr>
              <w:t>,</w:t>
            </w:r>
            <w:r w:rsidR="00D359A6">
              <w:rPr>
                <w:rFonts w:ascii="Verdana" w:hAnsi="Verdana" w:cs="Arial"/>
                <w:sz w:val="20"/>
                <w:szCs w:val="20"/>
              </w:rPr>
              <w:t xml:space="preserve"> </w:t>
            </w:r>
            <w:r w:rsidR="004A4111">
              <w:rPr>
                <w:rFonts w:ascii="Verdana" w:hAnsi="Verdana" w:cs="Arial"/>
                <w:sz w:val="20"/>
                <w:szCs w:val="20"/>
              </w:rPr>
              <w:t>alongside reports issued by</w:t>
            </w:r>
            <w:r w:rsidR="00D359A6">
              <w:rPr>
                <w:rFonts w:ascii="Verdana" w:hAnsi="Verdana" w:cs="Arial"/>
                <w:sz w:val="20"/>
                <w:szCs w:val="20"/>
              </w:rPr>
              <w:t xml:space="preserve"> Audit Wales (</w:t>
            </w:r>
            <w:r w:rsidR="003E168F">
              <w:rPr>
                <w:rFonts w:ascii="Verdana" w:hAnsi="Verdana" w:cs="Arial"/>
                <w:sz w:val="20"/>
                <w:szCs w:val="20"/>
              </w:rPr>
              <w:t xml:space="preserve">including </w:t>
            </w:r>
            <w:r w:rsidR="00DD6733">
              <w:rPr>
                <w:rFonts w:ascii="Verdana" w:hAnsi="Verdana" w:cs="Arial"/>
                <w:sz w:val="20"/>
                <w:szCs w:val="20"/>
              </w:rPr>
              <w:t>‘</w:t>
            </w:r>
            <w:r w:rsidR="00DD6733" w:rsidRPr="00884F05">
              <w:rPr>
                <w:rFonts w:ascii="Verdana" w:hAnsi="Verdana" w:cs="Arial"/>
                <w:i/>
                <w:sz w:val="20"/>
                <w:szCs w:val="20"/>
              </w:rPr>
              <w:t>Urgent and Emergency Care: Flow out of Hospital – West Glamorgan Region’</w:t>
            </w:r>
            <w:r w:rsidR="00DD6733">
              <w:rPr>
                <w:rFonts w:ascii="Verdana" w:hAnsi="Verdana" w:cs="Arial"/>
                <w:sz w:val="20"/>
                <w:szCs w:val="20"/>
              </w:rPr>
              <w:t xml:space="preserve">, </w:t>
            </w:r>
            <w:r w:rsidR="00D359A6" w:rsidRPr="00884F05">
              <w:rPr>
                <w:rFonts w:ascii="Verdana" w:hAnsi="Verdana" w:cs="Arial"/>
                <w:i/>
                <w:sz w:val="20"/>
                <w:szCs w:val="20"/>
              </w:rPr>
              <w:t>‘</w:t>
            </w:r>
            <w:r w:rsidR="008A720F" w:rsidRPr="00884F05">
              <w:rPr>
                <w:rFonts w:ascii="Verdana" w:hAnsi="Verdana" w:cs="Arial"/>
                <w:i/>
                <w:sz w:val="20"/>
                <w:szCs w:val="20"/>
              </w:rPr>
              <w:t>Urgent and Emergency Care: Arrangements for Managing Demand</w:t>
            </w:r>
            <w:r w:rsidR="00F5542D">
              <w:rPr>
                <w:rFonts w:ascii="Verdana" w:hAnsi="Verdana" w:cs="Arial"/>
                <w:sz w:val="20"/>
                <w:szCs w:val="20"/>
              </w:rPr>
              <w:t>’</w:t>
            </w:r>
            <w:r w:rsidR="00D359A6">
              <w:rPr>
                <w:rFonts w:ascii="Verdana" w:hAnsi="Verdana" w:cs="Arial"/>
                <w:sz w:val="20"/>
                <w:szCs w:val="20"/>
              </w:rPr>
              <w:t xml:space="preserve">, </w:t>
            </w:r>
            <w:r w:rsidR="00B442B4">
              <w:rPr>
                <w:rFonts w:ascii="Verdana" w:hAnsi="Verdana" w:cs="Arial"/>
                <w:sz w:val="20"/>
                <w:szCs w:val="20"/>
              </w:rPr>
              <w:t xml:space="preserve">and </w:t>
            </w:r>
            <w:r w:rsidR="00F5542D">
              <w:rPr>
                <w:rFonts w:ascii="Verdana" w:hAnsi="Verdana" w:cs="Arial"/>
                <w:sz w:val="20"/>
                <w:szCs w:val="20"/>
              </w:rPr>
              <w:t>‘</w:t>
            </w:r>
            <w:r w:rsidR="00F5542D" w:rsidRPr="00884F05">
              <w:rPr>
                <w:rFonts w:ascii="Verdana" w:hAnsi="Verdana" w:cs="Arial"/>
                <w:i/>
                <w:sz w:val="20"/>
                <w:szCs w:val="20"/>
              </w:rPr>
              <w:t>Tackling the</w:t>
            </w:r>
            <w:r w:rsidR="00C465B6" w:rsidRPr="00884F05">
              <w:rPr>
                <w:rFonts w:ascii="Verdana" w:hAnsi="Verdana" w:cs="Arial"/>
                <w:i/>
                <w:sz w:val="20"/>
                <w:szCs w:val="20"/>
              </w:rPr>
              <w:t xml:space="preserve"> </w:t>
            </w:r>
            <w:r w:rsidR="00E7675A" w:rsidRPr="00884F05">
              <w:rPr>
                <w:rFonts w:ascii="Verdana" w:hAnsi="Verdana" w:cs="Arial"/>
                <w:i/>
                <w:sz w:val="20"/>
                <w:szCs w:val="20"/>
              </w:rPr>
              <w:t>Planned Care Challenges’</w:t>
            </w:r>
            <w:r w:rsidR="006C6598">
              <w:rPr>
                <w:rFonts w:ascii="Verdana" w:hAnsi="Verdana" w:cs="Arial"/>
                <w:sz w:val="20"/>
                <w:szCs w:val="20"/>
              </w:rPr>
              <w:t xml:space="preserve">) </w:t>
            </w:r>
            <w:r w:rsidR="00351EAF">
              <w:rPr>
                <w:rFonts w:ascii="Verdana" w:hAnsi="Verdana" w:cs="Arial"/>
                <w:sz w:val="20"/>
                <w:szCs w:val="20"/>
              </w:rPr>
              <w:t xml:space="preserve">have </w:t>
            </w:r>
            <w:r w:rsidR="009876E6">
              <w:rPr>
                <w:rFonts w:ascii="Verdana" w:hAnsi="Verdana" w:cs="Arial"/>
                <w:sz w:val="20"/>
                <w:szCs w:val="20"/>
              </w:rPr>
              <w:t>acknowledged</w:t>
            </w:r>
            <w:r w:rsidR="009876E6" w:rsidRPr="009876E6">
              <w:rPr>
                <w:rFonts w:ascii="Verdana" w:hAnsi="Verdana" w:cs="Arial"/>
                <w:sz w:val="20"/>
                <w:szCs w:val="20"/>
              </w:rPr>
              <w:t xml:space="preserve"> steps taken </w:t>
            </w:r>
            <w:r w:rsidR="009876E6">
              <w:rPr>
                <w:rFonts w:ascii="Verdana" w:hAnsi="Verdana" w:cs="Arial"/>
                <w:sz w:val="20"/>
                <w:szCs w:val="20"/>
              </w:rPr>
              <w:t xml:space="preserve">by the health board </w:t>
            </w:r>
            <w:r w:rsidR="009876E6" w:rsidRPr="009876E6">
              <w:rPr>
                <w:rFonts w:ascii="Verdana" w:hAnsi="Verdana" w:cs="Arial"/>
                <w:sz w:val="20"/>
                <w:szCs w:val="20"/>
              </w:rPr>
              <w:t xml:space="preserve">to address </w:t>
            </w:r>
            <w:r w:rsidR="006C1D6C">
              <w:rPr>
                <w:rFonts w:ascii="Verdana" w:hAnsi="Verdana" w:cs="Arial"/>
                <w:sz w:val="20"/>
                <w:szCs w:val="20"/>
              </w:rPr>
              <w:t>these</w:t>
            </w:r>
            <w:r w:rsidR="009876E6" w:rsidRPr="009876E6">
              <w:rPr>
                <w:rFonts w:ascii="Verdana" w:hAnsi="Verdana" w:cs="Arial"/>
                <w:sz w:val="20"/>
                <w:szCs w:val="20"/>
              </w:rPr>
              <w:t xml:space="preserve"> challeng</w:t>
            </w:r>
            <w:r w:rsidR="006C1D6C">
              <w:rPr>
                <w:rFonts w:ascii="Verdana" w:hAnsi="Verdana" w:cs="Arial"/>
                <w:sz w:val="20"/>
                <w:szCs w:val="20"/>
              </w:rPr>
              <w:t>ing areas</w:t>
            </w:r>
            <w:r w:rsidR="009876E6" w:rsidRPr="009876E6">
              <w:rPr>
                <w:rFonts w:ascii="Verdana" w:hAnsi="Verdana" w:cs="Arial"/>
                <w:sz w:val="20"/>
                <w:szCs w:val="20"/>
              </w:rPr>
              <w:t xml:space="preserve">, </w:t>
            </w:r>
            <w:r w:rsidR="00923233">
              <w:rPr>
                <w:rFonts w:ascii="Verdana" w:hAnsi="Verdana" w:cs="Arial"/>
                <w:sz w:val="20"/>
                <w:szCs w:val="20"/>
              </w:rPr>
              <w:t>while recognising</w:t>
            </w:r>
            <w:r w:rsidR="009F0951" w:rsidRPr="009F0951">
              <w:rPr>
                <w:rFonts w:ascii="Verdana" w:hAnsi="Verdana" w:cs="Arial"/>
                <w:sz w:val="20"/>
                <w:szCs w:val="20"/>
              </w:rPr>
              <w:t xml:space="preserve"> the need for further work to embed and sustain improvement</w:t>
            </w:r>
            <w:r w:rsidR="006C1D6C">
              <w:rPr>
                <w:rFonts w:ascii="Verdana" w:hAnsi="Verdana" w:cs="Arial"/>
                <w:sz w:val="20"/>
                <w:szCs w:val="20"/>
              </w:rPr>
              <w:t>.</w:t>
            </w:r>
          </w:p>
          <w:p w14:paraId="5A68424B" w14:textId="0ADE05FD" w:rsidR="00F551E6" w:rsidRDefault="00312308" w:rsidP="00E870A6">
            <w:pPr>
              <w:tabs>
                <w:tab w:val="right" w:pos="15945"/>
              </w:tabs>
              <w:spacing w:before="60" w:after="60"/>
              <w:jc w:val="both"/>
              <w:rPr>
                <w:rFonts w:ascii="Verdana" w:hAnsi="Verdana"/>
                <w:sz w:val="20"/>
                <w:szCs w:val="20"/>
              </w:rPr>
            </w:pPr>
            <w:r>
              <w:rPr>
                <w:rFonts w:ascii="Verdana" w:hAnsi="Verdana" w:cs="Arial"/>
                <w:sz w:val="20"/>
                <w:szCs w:val="20"/>
              </w:rPr>
              <w:t xml:space="preserve">This review </w:t>
            </w:r>
            <w:r w:rsidR="003A2345" w:rsidRPr="003A2345">
              <w:rPr>
                <w:rFonts w:ascii="Verdana" w:hAnsi="Verdana" w:cs="Arial"/>
                <w:sz w:val="20"/>
                <w:szCs w:val="20"/>
              </w:rPr>
              <w:t xml:space="preserve">focused specifically on the governance arrangements </w:t>
            </w:r>
            <w:r w:rsidR="000B0499">
              <w:rPr>
                <w:rFonts w:ascii="Verdana" w:hAnsi="Verdana" w:cs="Arial"/>
                <w:sz w:val="20"/>
                <w:szCs w:val="20"/>
              </w:rPr>
              <w:t>in place to</w:t>
            </w:r>
            <w:r w:rsidR="003A2345" w:rsidRPr="003A2345">
              <w:rPr>
                <w:rFonts w:ascii="Verdana" w:hAnsi="Verdana" w:cs="Arial"/>
                <w:sz w:val="20"/>
                <w:szCs w:val="20"/>
              </w:rPr>
              <w:t xml:space="preserve"> overs</w:t>
            </w:r>
            <w:r w:rsidR="000B0499">
              <w:rPr>
                <w:rFonts w:ascii="Verdana" w:hAnsi="Verdana" w:cs="Arial"/>
                <w:sz w:val="20"/>
                <w:szCs w:val="20"/>
              </w:rPr>
              <w:t>ee</w:t>
            </w:r>
            <w:r w:rsidR="003A2345" w:rsidRPr="003A2345">
              <w:rPr>
                <w:rFonts w:ascii="Verdana" w:hAnsi="Verdana" w:cs="Arial"/>
                <w:sz w:val="20"/>
                <w:szCs w:val="20"/>
              </w:rPr>
              <w:t xml:space="preserve">, track, and </w:t>
            </w:r>
            <w:r w:rsidR="008B756E">
              <w:rPr>
                <w:rFonts w:ascii="Verdana" w:hAnsi="Verdana" w:cs="Arial"/>
                <w:sz w:val="20"/>
                <w:szCs w:val="20"/>
              </w:rPr>
              <w:t xml:space="preserve">support the </w:t>
            </w:r>
            <w:r w:rsidR="003A2345" w:rsidRPr="003A2345">
              <w:rPr>
                <w:rFonts w:ascii="Verdana" w:hAnsi="Verdana" w:cs="Arial"/>
                <w:sz w:val="20"/>
                <w:szCs w:val="20"/>
              </w:rPr>
              <w:t xml:space="preserve">closure of </w:t>
            </w:r>
            <w:r w:rsidR="00422D32">
              <w:rPr>
                <w:rFonts w:ascii="Verdana" w:hAnsi="Verdana" w:cs="Arial"/>
                <w:sz w:val="20"/>
                <w:szCs w:val="20"/>
              </w:rPr>
              <w:t xml:space="preserve">targeted intervention and enhanced monitoring </w:t>
            </w:r>
            <w:r w:rsidR="003A2345" w:rsidRPr="003A2345">
              <w:rPr>
                <w:rFonts w:ascii="Verdana" w:hAnsi="Verdana" w:cs="Arial"/>
                <w:sz w:val="20"/>
                <w:szCs w:val="20"/>
              </w:rPr>
              <w:t xml:space="preserve">actions. It did not </w:t>
            </w:r>
            <w:r w:rsidR="008B756E">
              <w:rPr>
                <w:rFonts w:ascii="Verdana" w:hAnsi="Verdana" w:cs="Arial"/>
                <w:sz w:val="20"/>
                <w:szCs w:val="20"/>
              </w:rPr>
              <w:t xml:space="preserve">consider or </w:t>
            </w:r>
            <w:r w:rsidR="003A2345" w:rsidRPr="003A2345">
              <w:rPr>
                <w:rFonts w:ascii="Verdana" w:hAnsi="Verdana" w:cs="Arial"/>
                <w:sz w:val="20"/>
                <w:szCs w:val="20"/>
              </w:rPr>
              <w:t xml:space="preserve">assess the operational delivery or performance of the </w:t>
            </w:r>
            <w:r w:rsidR="008B756E">
              <w:rPr>
                <w:rFonts w:ascii="Verdana" w:hAnsi="Verdana" w:cs="Arial"/>
                <w:sz w:val="20"/>
                <w:szCs w:val="20"/>
              </w:rPr>
              <w:t xml:space="preserve">services subject to </w:t>
            </w:r>
            <w:r w:rsidR="003A2345" w:rsidRPr="003A2345">
              <w:rPr>
                <w:rFonts w:ascii="Verdana" w:hAnsi="Verdana" w:cs="Arial"/>
                <w:sz w:val="20"/>
                <w:szCs w:val="20"/>
              </w:rPr>
              <w:t>escalat</w:t>
            </w:r>
            <w:r w:rsidR="008B756E">
              <w:rPr>
                <w:rFonts w:ascii="Verdana" w:hAnsi="Verdana" w:cs="Arial"/>
                <w:sz w:val="20"/>
                <w:szCs w:val="20"/>
              </w:rPr>
              <w:t>ion</w:t>
            </w:r>
            <w:r w:rsidR="003A2345" w:rsidRPr="003A2345">
              <w:rPr>
                <w:rFonts w:ascii="Verdana" w:hAnsi="Verdana" w:cs="Arial"/>
                <w:sz w:val="20"/>
                <w:szCs w:val="20"/>
              </w:rPr>
              <w:t>.</w:t>
            </w:r>
            <w:r w:rsidR="002A75C8">
              <w:rPr>
                <w:rFonts w:ascii="Verdana" w:hAnsi="Verdana"/>
                <w:sz w:val="20"/>
                <w:szCs w:val="20"/>
              </w:rPr>
              <w:tab/>
            </w:r>
          </w:p>
          <w:p w14:paraId="6CC4132E" w14:textId="1F2D54ED" w:rsidR="00F551E6" w:rsidRPr="00B95378" w:rsidRDefault="00084C96" w:rsidP="00E870A6">
            <w:pPr>
              <w:spacing w:before="60" w:after="60"/>
              <w:jc w:val="both"/>
              <w:rPr>
                <w:rFonts w:ascii="Verdana" w:hAnsi="Verdana" w:cs="Arial"/>
                <w:color w:val="002060"/>
              </w:rPr>
            </w:pPr>
            <w:r w:rsidRPr="00B95378">
              <w:rPr>
                <w:rFonts w:ascii="Verdana" w:hAnsi="Verdana" w:cs="Arial"/>
                <w:color w:val="002060"/>
              </w:rPr>
              <w:t>Overview</w:t>
            </w:r>
          </w:p>
          <w:p w14:paraId="35408DA3" w14:textId="65C33AD7" w:rsidR="00990D00" w:rsidRPr="00990D00" w:rsidRDefault="00531AF2" w:rsidP="00990D00">
            <w:pPr>
              <w:spacing w:before="120" w:after="120"/>
              <w:jc w:val="both"/>
              <w:rPr>
                <w:rFonts w:ascii="Verdana" w:hAnsi="Verdana" w:cs="Arial"/>
                <w:sz w:val="20"/>
                <w:szCs w:val="20"/>
              </w:rPr>
            </w:pPr>
            <w:r>
              <w:rPr>
                <w:rFonts w:ascii="Verdana" w:hAnsi="Verdana" w:cs="Arial"/>
                <w:sz w:val="20"/>
                <w:szCs w:val="20"/>
              </w:rPr>
              <w:t>I</w:t>
            </w:r>
            <w:r w:rsidRPr="00990D00">
              <w:rPr>
                <w:rFonts w:ascii="Verdana" w:hAnsi="Verdana" w:cs="Arial"/>
                <w:sz w:val="20"/>
                <w:szCs w:val="20"/>
              </w:rPr>
              <w:t>n March 2024</w:t>
            </w:r>
            <w:r w:rsidR="00DF46AA">
              <w:rPr>
                <w:rFonts w:ascii="Verdana" w:hAnsi="Verdana" w:cs="Arial"/>
                <w:sz w:val="20"/>
                <w:szCs w:val="20"/>
              </w:rPr>
              <w:t>, Welsh Government</w:t>
            </w:r>
            <w:r w:rsidR="008E42F1">
              <w:rPr>
                <w:rFonts w:ascii="Verdana" w:hAnsi="Verdana" w:cs="Arial"/>
                <w:sz w:val="20"/>
                <w:szCs w:val="20"/>
              </w:rPr>
              <w:t xml:space="preserve"> shared with the health board</w:t>
            </w:r>
            <w:r w:rsidRPr="00990D00">
              <w:rPr>
                <w:rFonts w:ascii="Verdana" w:hAnsi="Verdana" w:cs="Arial"/>
                <w:sz w:val="20"/>
                <w:szCs w:val="20"/>
              </w:rPr>
              <w:t xml:space="preserve"> a formal Escalation Framework,</w:t>
            </w:r>
            <w:r>
              <w:rPr>
                <w:rFonts w:ascii="Verdana" w:hAnsi="Verdana" w:cs="Arial"/>
                <w:sz w:val="20"/>
                <w:szCs w:val="20"/>
              </w:rPr>
              <w:t xml:space="preserve"> later revised in April 2025,</w:t>
            </w:r>
            <w:r w:rsidRPr="00990D00">
              <w:rPr>
                <w:rFonts w:ascii="Verdana" w:hAnsi="Verdana" w:cs="Arial"/>
                <w:sz w:val="20"/>
                <w:szCs w:val="20"/>
              </w:rPr>
              <w:t xml:space="preserve"> which set out the expected outcomes, roles and responsibilities, required actions, and criteria for de-escalation</w:t>
            </w:r>
            <w:r w:rsidR="00485876">
              <w:rPr>
                <w:rFonts w:ascii="Verdana" w:hAnsi="Verdana" w:cs="Arial"/>
                <w:sz w:val="20"/>
                <w:szCs w:val="20"/>
              </w:rPr>
              <w:t>.</w:t>
            </w:r>
            <w:r>
              <w:rPr>
                <w:rFonts w:ascii="Verdana" w:hAnsi="Verdana" w:cs="Arial"/>
                <w:sz w:val="20"/>
                <w:szCs w:val="20"/>
              </w:rPr>
              <w:t xml:space="preserve"> </w:t>
            </w:r>
            <w:r w:rsidR="00990D00" w:rsidRPr="00990D00">
              <w:rPr>
                <w:rFonts w:ascii="Verdana" w:hAnsi="Verdana" w:cs="Arial"/>
                <w:sz w:val="20"/>
                <w:szCs w:val="20"/>
              </w:rPr>
              <w:t xml:space="preserve">In response, the </w:t>
            </w:r>
            <w:r w:rsidR="00C3633D">
              <w:rPr>
                <w:rFonts w:ascii="Verdana" w:hAnsi="Verdana" w:cs="Arial"/>
                <w:sz w:val="20"/>
                <w:szCs w:val="20"/>
              </w:rPr>
              <w:t>h</w:t>
            </w:r>
            <w:r w:rsidR="00990D00" w:rsidRPr="00990D00">
              <w:rPr>
                <w:rFonts w:ascii="Verdana" w:hAnsi="Verdana" w:cs="Arial"/>
                <w:sz w:val="20"/>
                <w:szCs w:val="20"/>
              </w:rPr>
              <w:t xml:space="preserve">ealth </w:t>
            </w:r>
            <w:r w:rsidR="00C3633D">
              <w:rPr>
                <w:rFonts w:ascii="Verdana" w:hAnsi="Verdana" w:cs="Arial"/>
                <w:sz w:val="20"/>
                <w:szCs w:val="20"/>
              </w:rPr>
              <w:t>b</w:t>
            </w:r>
            <w:r w:rsidR="00990D00" w:rsidRPr="00990D00">
              <w:rPr>
                <w:rFonts w:ascii="Verdana" w:hAnsi="Verdana" w:cs="Arial"/>
                <w:sz w:val="20"/>
                <w:szCs w:val="20"/>
              </w:rPr>
              <w:t xml:space="preserve">oard initially established a series of governance groups to oversee </w:t>
            </w:r>
            <w:r w:rsidR="00231700">
              <w:rPr>
                <w:rFonts w:ascii="Verdana" w:hAnsi="Verdana" w:cs="Arial"/>
                <w:sz w:val="20"/>
                <w:szCs w:val="20"/>
              </w:rPr>
              <w:t>TI</w:t>
            </w:r>
            <w:r w:rsidR="00990D00" w:rsidRPr="00990D00">
              <w:rPr>
                <w:rFonts w:ascii="Verdana" w:hAnsi="Verdana" w:cs="Arial"/>
                <w:sz w:val="20"/>
                <w:szCs w:val="20"/>
              </w:rPr>
              <w:t xml:space="preserve"> areas. These groups have since been stood down, with the focus shifting toward improving performance against the de-escalation criteria. However, we found no evidence that this change in approach was formally communicated to the Board. Compared to other NHS Wales organisations, the </w:t>
            </w:r>
            <w:r w:rsidR="00C3633D">
              <w:rPr>
                <w:rFonts w:ascii="Verdana" w:hAnsi="Verdana" w:cs="Arial"/>
                <w:sz w:val="20"/>
                <w:szCs w:val="20"/>
              </w:rPr>
              <w:t>h</w:t>
            </w:r>
            <w:r w:rsidR="00990D00" w:rsidRPr="00990D00">
              <w:rPr>
                <w:rFonts w:ascii="Verdana" w:hAnsi="Verdana" w:cs="Arial"/>
                <w:sz w:val="20"/>
                <w:szCs w:val="20"/>
              </w:rPr>
              <w:t xml:space="preserve">ealth </w:t>
            </w:r>
            <w:r w:rsidR="00C3633D">
              <w:rPr>
                <w:rFonts w:ascii="Verdana" w:hAnsi="Verdana" w:cs="Arial"/>
                <w:sz w:val="20"/>
                <w:szCs w:val="20"/>
              </w:rPr>
              <w:t>b</w:t>
            </w:r>
            <w:r w:rsidR="00990D00" w:rsidRPr="00990D00">
              <w:rPr>
                <w:rFonts w:ascii="Verdana" w:hAnsi="Verdana" w:cs="Arial"/>
                <w:sz w:val="20"/>
                <w:szCs w:val="20"/>
              </w:rPr>
              <w:t>oard’s current arrangements lack</w:t>
            </w:r>
            <w:r w:rsidR="00663F0D">
              <w:rPr>
                <w:rFonts w:ascii="Verdana" w:hAnsi="Verdana" w:cs="Arial"/>
                <w:sz w:val="20"/>
                <w:szCs w:val="20"/>
              </w:rPr>
              <w:t xml:space="preserve"> </w:t>
            </w:r>
            <w:r w:rsidR="006C76C7">
              <w:rPr>
                <w:rFonts w:ascii="Verdana" w:hAnsi="Verdana" w:cs="Arial"/>
                <w:sz w:val="20"/>
                <w:szCs w:val="20"/>
              </w:rPr>
              <w:t>formality,</w:t>
            </w:r>
            <w:r w:rsidR="00F95A12">
              <w:rPr>
                <w:rFonts w:ascii="Verdana" w:hAnsi="Verdana" w:cs="Arial"/>
                <w:sz w:val="20"/>
                <w:szCs w:val="20"/>
              </w:rPr>
              <w:t xml:space="preserve"> and we could not identify</w:t>
            </w:r>
            <w:r w:rsidR="00990D00" w:rsidRPr="00990D00">
              <w:rPr>
                <w:rFonts w:ascii="Verdana" w:hAnsi="Verdana" w:cs="Arial"/>
                <w:sz w:val="20"/>
                <w:szCs w:val="20"/>
              </w:rPr>
              <w:t xml:space="preserve"> </w:t>
            </w:r>
            <w:r w:rsidR="00757FD4">
              <w:rPr>
                <w:rFonts w:ascii="Verdana" w:hAnsi="Verdana" w:cs="Arial"/>
                <w:sz w:val="20"/>
                <w:szCs w:val="20"/>
              </w:rPr>
              <w:t>a</w:t>
            </w:r>
            <w:r w:rsidR="00F95A12">
              <w:rPr>
                <w:rFonts w:ascii="Verdana" w:hAnsi="Verdana" w:cs="Arial"/>
                <w:sz w:val="20"/>
                <w:szCs w:val="20"/>
              </w:rPr>
              <w:t>ny</w:t>
            </w:r>
            <w:r w:rsidR="00990D00" w:rsidRPr="00990D00">
              <w:rPr>
                <w:rFonts w:ascii="Verdana" w:hAnsi="Verdana" w:cs="Arial"/>
                <w:sz w:val="20"/>
                <w:szCs w:val="20"/>
              </w:rPr>
              <w:t xml:space="preserve"> defined process for closing or signing off escalation-related actions.</w:t>
            </w:r>
            <w:r w:rsidR="00D50F02">
              <w:rPr>
                <w:rFonts w:ascii="Verdana" w:hAnsi="Verdana" w:cs="Arial"/>
                <w:sz w:val="20"/>
                <w:szCs w:val="20"/>
              </w:rPr>
              <w:t xml:space="preserve"> </w:t>
            </w:r>
          </w:p>
          <w:p w14:paraId="48464B27" w14:textId="6A659F53" w:rsidR="00C3633D" w:rsidRPr="00C05A8A" w:rsidRDefault="00990D00" w:rsidP="00C3633D">
            <w:pPr>
              <w:spacing w:before="120" w:after="120"/>
              <w:jc w:val="both"/>
              <w:rPr>
                <w:rFonts w:ascii="Verdana" w:hAnsi="Verdana" w:cs="Arial"/>
                <w:sz w:val="20"/>
                <w:szCs w:val="20"/>
              </w:rPr>
            </w:pPr>
            <w:r w:rsidRPr="00990D00">
              <w:rPr>
                <w:rFonts w:ascii="Verdana" w:hAnsi="Verdana" w:cs="Arial"/>
                <w:sz w:val="20"/>
                <w:szCs w:val="20"/>
              </w:rPr>
              <w:t>While actions to address performance in escalated areas are regularly reported,</w:t>
            </w:r>
            <w:r w:rsidR="00947EE9">
              <w:rPr>
                <w:rFonts w:ascii="Verdana" w:hAnsi="Verdana" w:cs="Arial"/>
                <w:sz w:val="20"/>
                <w:szCs w:val="20"/>
              </w:rPr>
              <w:t xml:space="preserve"> </w:t>
            </w:r>
            <w:r w:rsidR="00BB4FEA">
              <w:rPr>
                <w:rFonts w:ascii="Verdana" w:hAnsi="Verdana" w:cs="Arial"/>
                <w:sz w:val="20"/>
                <w:szCs w:val="20"/>
              </w:rPr>
              <w:t xml:space="preserve">they </w:t>
            </w:r>
            <w:r w:rsidR="00947EE9">
              <w:rPr>
                <w:rFonts w:ascii="Verdana" w:hAnsi="Verdana" w:cs="Arial"/>
                <w:sz w:val="20"/>
                <w:szCs w:val="20"/>
              </w:rPr>
              <w:t xml:space="preserve">represent </w:t>
            </w:r>
            <w:r w:rsidR="009C3C59">
              <w:rPr>
                <w:rFonts w:ascii="Verdana" w:hAnsi="Verdana" w:cs="Arial"/>
                <w:sz w:val="20"/>
                <w:szCs w:val="20"/>
              </w:rPr>
              <w:t>initiatives</w:t>
            </w:r>
            <w:r w:rsidR="00C91A59">
              <w:rPr>
                <w:rFonts w:ascii="Verdana" w:hAnsi="Verdana" w:cs="Arial"/>
                <w:sz w:val="20"/>
                <w:szCs w:val="20"/>
              </w:rPr>
              <w:t xml:space="preserve"> driven at an operational level</w:t>
            </w:r>
            <w:r w:rsidR="00947EE9">
              <w:rPr>
                <w:rFonts w:ascii="Verdana" w:hAnsi="Verdana" w:cs="Arial"/>
                <w:sz w:val="20"/>
                <w:szCs w:val="20"/>
              </w:rPr>
              <w:t xml:space="preserve"> rather than</w:t>
            </w:r>
            <w:r w:rsidRPr="00990D00">
              <w:rPr>
                <w:rFonts w:ascii="Verdana" w:hAnsi="Verdana" w:cs="Arial"/>
                <w:sz w:val="20"/>
                <w:szCs w:val="20"/>
              </w:rPr>
              <w:t xml:space="preserve"> a consolidated</w:t>
            </w:r>
            <w:r w:rsidR="00BD7711">
              <w:rPr>
                <w:rFonts w:ascii="Verdana" w:hAnsi="Verdana" w:cs="Arial"/>
                <w:sz w:val="20"/>
                <w:szCs w:val="20"/>
              </w:rPr>
              <w:t xml:space="preserve"> formal</w:t>
            </w:r>
            <w:r w:rsidRPr="00990D00">
              <w:rPr>
                <w:rFonts w:ascii="Verdana" w:hAnsi="Verdana" w:cs="Arial"/>
                <w:sz w:val="20"/>
                <w:szCs w:val="20"/>
              </w:rPr>
              <w:t xml:space="preserve"> </w:t>
            </w:r>
            <w:r w:rsidR="00B3080F">
              <w:rPr>
                <w:rFonts w:ascii="Verdana" w:hAnsi="Verdana" w:cs="Arial"/>
                <w:sz w:val="20"/>
                <w:szCs w:val="20"/>
              </w:rPr>
              <w:t xml:space="preserve">improvement </w:t>
            </w:r>
            <w:r w:rsidRPr="00990D00">
              <w:rPr>
                <w:rFonts w:ascii="Verdana" w:hAnsi="Verdana" w:cs="Arial"/>
                <w:sz w:val="20"/>
                <w:szCs w:val="20"/>
              </w:rPr>
              <w:t>plan</w:t>
            </w:r>
            <w:r w:rsidR="008D52B4">
              <w:rPr>
                <w:rFonts w:ascii="Verdana" w:hAnsi="Verdana" w:cs="Arial"/>
                <w:sz w:val="20"/>
                <w:szCs w:val="20"/>
              </w:rPr>
              <w:t xml:space="preserve"> </w:t>
            </w:r>
            <w:r w:rsidR="00B3080F">
              <w:rPr>
                <w:rFonts w:ascii="Verdana" w:hAnsi="Verdana" w:cs="Arial"/>
                <w:sz w:val="20"/>
                <w:szCs w:val="20"/>
              </w:rPr>
              <w:t>aligned with</w:t>
            </w:r>
            <w:r w:rsidRPr="00990D00">
              <w:rPr>
                <w:rFonts w:ascii="Verdana" w:hAnsi="Verdana" w:cs="Arial"/>
                <w:sz w:val="20"/>
                <w:szCs w:val="20"/>
              </w:rPr>
              <w:t xml:space="preserve"> the Escalation Framework</w:t>
            </w:r>
            <w:r w:rsidR="00300A9F">
              <w:rPr>
                <w:rFonts w:ascii="Verdana" w:hAnsi="Verdana" w:cs="Arial"/>
                <w:sz w:val="20"/>
                <w:szCs w:val="20"/>
              </w:rPr>
              <w:t>.</w:t>
            </w:r>
            <w:r w:rsidRPr="00990D00">
              <w:rPr>
                <w:rFonts w:ascii="Verdana" w:hAnsi="Verdana" w:cs="Arial"/>
                <w:sz w:val="20"/>
                <w:szCs w:val="20"/>
              </w:rPr>
              <w:t xml:space="preserve"> Reporting has evolved with the introduction of an Escalation and Oversight Report</w:t>
            </w:r>
            <w:r w:rsidR="003B6A7D">
              <w:rPr>
                <w:rFonts w:ascii="Verdana" w:hAnsi="Verdana" w:cs="Arial"/>
                <w:sz w:val="20"/>
                <w:szCs w:val="20"/>
              </w:rPr>
              <w:t xml:space="preserve"> in March 2025</w:t>
            </w:r>
            <w:r w:rsidRPr="00990D00">
              <w:rPr>
                <w:rFonts w:ascii="Verdana" w:hAnsi="Verdana" w:cs="Arial"/>
                <w:sz w:val="20"/>
                <w:szCs w:val="20"/>
              </w:rPr>
              <w:t>, but the</w:t>
            </w:r>
            <w:r w:rsidR="00A80E24">
              <w:rPr>
                <w:rFonts w:ascii="Verdana" w:hAnsi="Verdana" w:cs="Arial"/>
                <w:sz w:val="20"/>
                <w:szCs w:val="20"/>
              </w:rPr>
              <w:t>re are limitation</w:t>
            </w:r>
            <w:r w:rsidR="00AB2C59">
              <w:rPr>
                <w:rFonts w:ascii="Verdana" w:hAnsi="Verdana" w:cs="Arial"/>
                <w:sz w:val="20"/>
                <w:szCs w:val="20"/>
              </w:rPr>
              <w:t>s</w:t>
            </w:r>
            <w:r w:rsidR="00A80E24">
              <w:rPr>
                <w:rFonts w:ascii="Verdana" w:hAnsi="Verdana" w:cs="Arial"/>
                <w:sz w:val="20"/>
                <w:szCs w:val="20"/>
              </w:rPr>
              <w:t xml:space="preserve"> in </w:t>
            </w:r>
            <w:r w:rsidR="003F01DD">
              <w:rPr>
                <w:rFonts w:ascii="Verdana" w:hAnsi="Verdana" w:cs="Arial"/>
                <w:sz w:val="20"/>
                <w:szCs w:val="20"/>
              </w:rPr>
              <w:t>the detail</w:t>
            </w:r>
            <w:r w:rsidR="002C3A4D">
              <w:rPr>
                <w:rFonts w:ascii="Verdana" w:hAnsi="Verdana" w:cs="Arial"/>
                <w:sz w:val="20"/>
                <w:szCs w:val="20"/>
              </w:rPr>
              <w:t xml:space="preserve">, ownership and </w:t>
            </w:r>
            <w:r w:rsidR="005F2812">
              <w:rPr>
                <w:rFonts w:ascii="Verdana" w:hAnsi="Verdana" w:cs="Arial"/>
                <w:sz w:val="20"/>
                <w:szCs w:val="20"/>
              </w:rPr>
              <w:t>follow up</w:t>
            </w:r>
            <w:r w:rsidR="000A3EBA">
              <w:rPr>
                <w:rFonts w:ascii="Verdana" w:hAnsi="Verdana" w:cs="Arial"/>
                <w:sz w:val="20"/>
                <w:szCs w:val="20"/>
              </w:rPr>
              <w:t xml:space="preserve"> of </w:t>
            </w:r>
            <w:r w:rsidR="00A80E24">
              <w:rPr>
                <w:rFonts w:ascii="Verdana" w:hAnsi="Verdana" w:cs="Arial"/>
                <w:sz w:val="20"/>
                <w:szCs w:val="20"/>
              </w:rPr>
              <w:t>actions</w:t>
            </w:r>
            <w:r w:rsidR="004C5009">
              <w:rPr>
                <w:rFonts w:ascii="Verdana" w:hAnsi="Verdana" w:cs="Arial"/>
                <w:sz w:val="20"/>
                <w:szCs w:val="20"/>
              </w:rPr>
              <w:t>.</w:t>
            </w:r>
            <w:r w:rsidR="00C3633D" w:rsidRPr="00990D00">
              <w:rPr>
                <w:rFonts w:ascii="Verdana" w:hAnsi="Verdana" w:cs="Arial"/>
                <w:sz w:val="20"/>
                <w:szCs w:val="20"/>
              </w:rPr>
              <w:t xml:space="preserve"> </w:t>
            </w:r>
            <w:r w:rsidR="008912AF">
              <w:rPr>
                <w:rFonts w:ascii="Verdana" w:hAnsi="Verdana" w:cs="Arial"/>
                <w:sz w:val="20"/>
                <w:szCs w:val="20"/>
              </w:rPr>
              <w:t xml:space="preserve">The health board has </w:t>
            </w:r>
            <w:r w:rsidR="00A21CE2">
              <w:rPr>
                <w:rFonts w:ascii="Verdana" w:hAnsi="Verdana" w:cs="Arial"/>
                <w:sz w:val="20"/>
                <w:szCs w:val="20"/>
              </w:rPr>
              <w:t>achieved de</w:t>
            </w:r>
            <w:r w:rsidR="00294DF2">
              <w:rPr>
                <w:rFonts w:ascii="Verdana" w:hAnsi="Verdana" w:cs="Arial"/>
                <w:sz w:val="20"/>
                <w:szCs w:val="20"/>
              </w:rPr>
              <w:t>-escalation to Enhanced Monitoring</w:t>
            </w:r>
            <w:r w:rsidR="00890F7C">
              <w:rPr>
                <w:rFonts w:ascii="Verdana" w:hAnsi="Verdana" w:cs="Arial"/>
                <w:sz w:val="20"/>
                <w:szCs w:val="20"/>
              </w:rPr>
              <w:t xml:space="preserve"> (EM)</w:t>
            </w:r>
            <w:r w:rsidR="00294DF2">
              <w:rPr>
                <w:rFonts w:ascii="Verdana" w:hAnsi="Verdana" w:cs="Arial"/>
                <w:sz w:val="20"/>
                <w:szCs w:val="20"/>
              </w:rPr>
              <w:t xml:space="preserve"> for</w:t>
            </w:r>
            <w:r w:rsidR="00B13619">
              <w:rPr>
                <w:rFonts w:ascii="Verdana" w:hAnsi="Verdana" w:cs="Arial"/>
                <w:sz w:val="20"/>
                <w:szCs w:val="20"/>
              </w:rPr>
              <w:t xml:space="preserve"> </w:t>
            </w:r>
            <w:r w:rsidR="00C3633D" w:rsidRPr="00990D00">
              <w:rPr>
                <w:rFonts w:ascii="Verdana" w:hAnsi="Verdana" w:cs="Arial"/>
                <w:sz w:val="20"/>
                <w:szCs w:val="20"/>
              </w:rPr>
              <w:t>Planned Care and CAMHS, and performance in UEC has recently improved</w:t>
            </w:r>
            <w:r w:rsidR="00B13619">
              <w:rPr>
                <w:rFonts w:ascii="Verdana" w:hAnsi="Verdana" w:cs="Arial"/>
                <w:sz w:val="20"/>
                <w:szCs w:val="20"/>
              </w:rPr>
              <w:t>.</w:t>
            </w:r>
            <w:r w:rsidR="00C3633D" w:rsidRPr="00990D00">
              <w:rPr>
                <w:rFonts w:ascii="Verdana" w:hAnsi="Verdana" w:cs="Arial"/>
                <w:sz w:val="20"/>
                <w:szCs w:val="20"/>
              </w:rPr>
              <w:t xml:space="preserve"> </w:t>
            </w:r>
            <w:r w:rsidR="00256F51">
              <w:rPr>
                <w:rFonts w:ascii="Verdana" w:hAnsi="Verdana" w:cs="Arial"/>
                <w:sz w:val="20"/>
                <w:szCs w:val="20"/>
              </w:rPr>
              <w:t>However,</w:t>
            </w:r>
            <w:r w:rsidR="002303AB">
              <w:rPr>
                <w:rFonts w:ascii="Verdana" w:hAnsi="Verdana" w:cs="Arial"/>
                <w:sz w:val="20"/>
                <w:szCs w:val="20"/>
              </w:rPr>
              <w:t xml:space="preserve"> </w:t>
            </w:r>
            <w:r w:rsidR="00C3633D" w:rsidRPr="00990D00">
              <w:rPr>
                <w:rFonts w:ascii="Verdana" w:hAnsi="Verdana" w:cs="Arial"/>
                <w:sz w:val="20"/>
                <w:szCs w:val="20"/>
              </w:rPr>
              <w:t>challenges</w:t>
            </w:r>
            <w:r w:rsidR="00426906">
              <w:rPr>
                <w:rFonts w:ascii="Verdana" w:hAnsi="Verdana" w:cs="Arial"/>
                <w:sz w:val="20"/>
                <w:szCs w:val="20"/>
              </w:rPr>
              <w:t xml:space="preserve"> </w:t>
            </w:r>
            <w:r w:rsidR="00256F51">
              <w:rPr>
                <w:rFonts w:ascii="Verdana" w:hAnsi="Verdana" w:cs="Arial"/>
                <w:sz w:val="20"/>
                <w:szCs w:val="20"/>
              </w:rPr>
              <w:t xml:space="preserve">persist </w:t>
            </w:r>
            <w:r w:rsidR="00426906">
              <w:rPr>
                <w:rFonts w:ascii="Verdana" w:hAnsi="Verdana" w:cs="Arial"/>
                <w:sz w:val="20"/>
                <w:szCs w:val="20"/>
              </w:rPr>
              <w:t xml:space="preserve">in meeting </w:t>
            </w:r>
            <w:r w:rsidR="002303AB">
              <w:rPr>
                <w:rFonts w:ascii="Verdana" w:hAnsi="Verdana" w:cs="Arial"/>
                <w:sz w:val="20"/>
                <w:szCs w:val="20"/>
              </w:rPr>
              <w:t xml:space="preserve">the </w:t>
            </w:r>
            <w:r w:rsidR="00426906">
              <w:rPr>
                <w:rFonts w:ascii="Verdana" w:hAnsi="Verdana" w:cs="Arial"/>
                <w:sz w:val="20"/>
                <w:szCs w:val="20"/>
              </w:rPr>
              <w:t xml:space="preserve">de-escalation </w:t>
            </w:r>
            <w:r w:rsidR="003406EF">
              <w:rPr>
                <w:rFonts w:ascii="Verdana" w:hAnsi="Verdana" w:cs="Arial"/>
                <w:sz w:val="20"/>
                <w:szCs w:val="20"/>
              </w:rPr>
              <w:t>criteria for</w:t>
            </w:r>
            <w:r w:rsidR="00F02589">
              <w:rPr>
                <w:rFonts w:ascii="Verdana" w:hAnsi="Verdana" w:cs="Arial"/>
                <w:sz w:val="20"/>
                <w:szCs w:val="20"/>
              </w:rPr>
              <w:t xml:space="preserve"> HCAI</w:t>
            </w:r>
            <w:r w:rsidR="00C91990">
              <w:rPr>
                <w:rFonts w:ascii="Verdana" w:hAnsi="Verdana" w:cs="Arial"/>
                <w:sz w:val="20"/>
                <w:szCs w:val="20"/>
              </w:rPr>
              <w:t>s and Cancer</w:t>
            </w:r>
            <w:r w:rsidR="003406EF">
              <w:rPr>
                <w:rFonts w:ascii="Verdana" w:hAnsi="Verdana" w:cs="Arial"/>
                <w:sz w:val="20"/>
                <w:szCs w:val="20"/>
              </w:rPr>
              <w:t xml:space="preserve">. </w:t>
            </w:r>
            <w:r w:rsidR="00C3633D" w:rsidRPr="00990D00">
              <w:rPr>
                <w:rFonts w:ascii="Verdana" w:hAnsi="Verdana" w:cs="Arial"/>
                <w:sz w:val="20"/>
                <w:szCs w:val="20"/>
              </w:rPr>
              <w:t xml:space="preserve">Notably, some EM targets </w:t>
            </w:r>
            <w:r w:rsidR="002648B8">
              <w:rPr>
                <w:rFonts w:ascii="Verdana" w:hAnsi="Verdana" w:cs="Arial"/>
                <w:sz w:val="20"/>
                <w:szCs w:val="20"/>
              </w:rPr>
              <w:t xml:space="preserve">for the de-escalated services </w:t>
            </w:r>
            <w:r w:rsidR="00C3633D" w:rsidRPr="00990D00">
              <w:rPr>
                <w:rFonts w:ascii="Verdana" w:hAnsi="Verdana" w:cs="Arial"/>
                <w:sz w:val="20"/>
                <w:szCs w:val="20"/>
              </w:rPr>
              <w:t xml:space="preserve">are more demanding than those required under </w:t>
            </w:r>
            <w:r w:rsidR="007642D9">
              <w:rPr>
                <w:rFonts w:ascii="Verdana" w:hAnsi="Verdana" w:cs="Arial"/>
                <w:sz w:val="20"/>
                <w:szCs w:val="20"/>
              </w:rPr>
              <w:t>TI</w:t>
            </w:r>
            <w:r w:rsidR="00C3633D" w:rsidRPr="00990D00">
              <w:rPr>
                <w:rFonts w:ascii="Verdana" w:hAnsi="Verdana" w:cs="Arial"/>
                <w:sz w:val="20"/>
                <w:szCs w:val="20"/>
              </w:rPr>
              <w:t>.</w:t>
            </w:r>
          </w:p>
          <w:p w14:paraId="67489617" w14:textId="672F2260" w:rsidR="00990D00" w:rsidRPr="00990D00" w:rsidRDefault="00940062" w:rsidP="00990D00">
            <w:pPr>
              <w:spacing w:before="120" w:after="120"/>
              <w:jc w:val="both"/>
              <w:rPr>
                <w:rFonts w:ascii="Verdana" w:hAnsi="Verdana" w:cs="Arial"/>
                <w:sz w:val="20"/>
                <w:szCs w:val="20"/>
              </w:rPr>
            </w:pPr>
            <w:r w:rsidRPr="00940062">
              <w:rPr>
                <w:rFonts w:ascii="Verdana" w:hAnsi="Verdana" w:cs="Arial"/>
                <w:sz w:val="20"/>
                <w:szCs w:val="20"/>
              </w:rPr>
              <w:t xml:space="preserve">Our review </w:t>
            </w:r>
            <w:r w:rsidR="00426906">
              <w:rPr>
                <w:rFonts w:ascii="Verdana" w:hAnsi="Verdana" w:cs="Arial"/>
                <w:sz w:val="20"/>
                <w:szCs w:val="20"/>
              </w:rPr>
              <w:t xml:space="preserve">included </w:t>
            </w:r>
            <w:r>
              <w:rPr>
                <w:rFonts w:ascii="Verdana" w:hAnsi="Verdana" w:cs="Arial"/>
                <w:sz w:val="20"/>
                <w:szCs w:val="20"/>
              </w:rPr>
              <w:t xml:space="preserve">a sample of actions taken from </w:t>
            </w:r>
            <w:r w:rsidRPr="00940062">
              <w:rPr>
                <w:rFonts w:ascii="Verdana" w:hAnsi="Verdana" w:cs="Arial"/>
                <w:sz w:val="20"/>
                <w:szCs w:val="20"/>
              </w:rPr>
              <w:t>the May 2025 Escalation and Oversight Report</w:t>
            </w:r>
            <w:r w:rsidR="004E5713">
              <w:rPr>
                <w:rFonts w:ascii="Verdana" w:hAnsi="Verdana" w:cs="Arial"/>
                <w:sz w:val="20"/>
                <w:szCs w:val="20"/>
              </w:rPr>
              <w:t>, fo</w:t>
            </w:r>
            <w:r w:rsidR="004B539C">
              <w:rPr>
                <w:rFonts w:ascii="Verdana" w:hAnsi="Verdana" w:cs="Arial"/>
                <w:sz w:val="20"/>
                <w:szCs w:val="20"/>
              </w:rPr>
              <w:t>cusing on</w:t>
            </w:r>
            <w:r w:rsidR="004E5713">
              <w:rPr>
                <w:rFonts w:ascii="Verdana" w:hAnsi="Verdana" w:cs="Arial"/>
                <w:sz w:val="20"/>
                <w:szCs w:val="20"/>
              </w:rPr>
              <w:t xml:space="preserve"> areas escalated under the Performance and Outcomes domain</w:t>
            </w:r>
            <w:r w:rsidR="002C350E">
              <w:rPr>
                <w:rStyle w:val="FootnoteReference"/>
                <w:rFonts w:ascii="Verdana" w:hAnsi="Verdana" w:cs="Arial"/>
                <w:sz w:val="20"/>
                <w:szCs w:val="20"/>
              </w:rPr>
              <w:footnoteReference w:id="2"/>
            </w:r>
            <w:r w:rsidR="004E5713">
              <w:rPr>
                <w:rFonts w:ascii="Verdana" w:hAnsi="Verdana" w:cs="Arial"/>
                <w:sz w:val="20"/>
                <w:szCs w:val="20"/>
              </w:rPr>
              <w:t>,</w:t>
            </w:r>
            <w:r w:rsidR="00AA1D54">
              <w:rPr>
                <w:rFonts w:ascii="Verdana" w:hAnsi="Verdana" w:cs="Arial"/>
                <w:sz w:val="20"/>
                <w:szCs w:val="20"/>
              </w:rPr>
              <w:t xml:space="preserve"> to </w:t>
            </w:r>
            <w:r w:rsidR="004B0BCF">
              <w:rPr>
                <w:rFonts w:ascii="Verdana" w:hAnsi="Verdana" w:cs="Arial"/>
                <w:sz w:val="20"/>
                <w:szCs w:val="20"/>
              </w:rPr>
              <w:t xml:space="preserve">assess </w:t>
            </w:r>
            <w:r w:rsidR="00AA1D54">
              <w:rPr>
                <w:rFonts w:ascii="Verdana" w:hAnsi="Verdana" w:cs="Arial"/>
                <w:sz w:val="20"/>
                <w:szCs w:val="20"/>
              </w:rPr>
              <w:t xml:space="preserve">their </w:t>
            </w:r>
            <w:proofErr w:type="gramStart"/>
            <w:r w:rsidR="00AA1D54">
              <w:rPr>
                <w:rFonts w:ascii="Verdana" w:hAnsi="Verdana" w:cs="Arial"/>
                <w:sz w:val="20"/>
                <w:szCs w:val="20"/>
              </w:rPr>
              <w:t>current status</w:t>
            </w:r>
            <w:proofErr w:type="gramEnd"/>
            <w:r w:rsidR="00825598">
              <w:rPr>
                <w:rFonts w:ascii="Verdana" w:hAnsi="Verdana" w:cs="Arial"/>
                <w:sz w:val="20"/>
                <w:szCs w:val="20"/>
              </w:rPr>
              <w:t xml:space="preserve"> against reported</w:t>
            </w:r>
            <w:r w:rsidR="004B0BCF">
              <w:rPr>
                <w:rFonts w:ascii="Verdana" w:hAnsi="Verdana" w:cs="Arial"/>
                <w:sz w:val="20"/>
                <w:szCs w:val="20"/>
              </w:rPr>
              <w:t xml:space="preserve"> progress.</w:t>
            </w:r>
            <w:r w:rsidR="0017235A">
              <w:rPr>
                <w:rFonts w:ascii="Verdana" w:hAnsi="Verdana" w:cs="Arial"/>
                <w:sz w:val="20"/>
                <w:szCs w:val="20"/>
              </w:rPr>
              <w:t xml:space="preserve"> </w:t>
            </w:r>
          </w:p>
          <w:p w14:paraId="7DB4DB8D" w14:textId="1C5BAF23" w:rsidR="00F551E6" w:rsidRDefault="00182816" w:rsidP="00A03760">
            <w:pPr>
              <w:spacing w:before="120" w:after="120"/>
              <w:jc w:val="both"/>
              <w:rPr>
                <w:rFonts w:ascii="Verdana" w:hAnsi="Verdana" w:cs="Arial"/>
                <w:sz w:val="20"/>
                <w:szCs w:val="20"/>
              </w:rPr>
            </w:pPr>
            <w:r>
              <w:rPr>
                <w:rFonts w:ascii="Verdana" w:hAnsi="Verdana" w:cs="Arial"/>
                <w:sz w:val="20"/>
                <w:szCs w:val="20"/>
              </w:rPr>
              <w:t xml:space="preserve">We have concluded </w:t>
            </w:r>
            <w:r w:rsidR="00CD1AA7">
              <w:rPr>
                <w:rFonts w:ascii="Verdana" w:hAnsi="Verdana" w:cs="Arial"/>
                <w:b/>
                <w:bCs/>
                <w:sz w:val="20"/>
                <w:szCs w:val="20"/>
              </w:rPr>
              <w:t>limited</w:t>
            </w:r>
            <w:r w:rsidRPr="00D87E6E">
              <w:rPr>
                <w:rFonts w:ascii="Verdana" w:hAnsi="Verdana" w:cs="Arial"/>
                <w:sz w:val="20"/>
                <w:szCs w:val="20"/>
              </w:rPr>
              <w:t xml:space="preserve"> </w:t>
            </w:r>
            <w:r>
              <w:rPr>
                <w:rFonts w:ascii="Verdana" w:hAnsi="Verdana" w:cs="Arial"/>
                <w:sz w:val="20"/>
                <w:szCs w:val="20"/>
              </w:rPr>
              <w:t>assurance on this area</w:t>
            </w:r>
            <w:r w:rsidRPr="00801B2E">
              <w:rPr>
                <w:rFonts w:ascii="Verdana" w:hAnsi="Verdana" w:cs="Arial"/>
                <w:sz w:val="20"/>
                <w:szCs w:val="20"/>
              </w:rPr>
              <w:t>.</w:t>
            </w:r>
            <w:r w:rsidR="00470DC8" w:rsidRPr="00801B2E">
              <w:rPr>
                <w:rFonts w:ascii="Verdana" w:hAnsi="Verdana" w:cs="Arial"/>
                <w:sz w:val="20"/>
                <w:szCs w:val="20"/>
              </w:rPr>
              <w:t xml:space="preserve"> </w:t>
            </w:r>
            <w:r w:rsidR="00496D48">
              <w:rPr>
                <w:rFonts w:ascii="Verdana" w:hAnsi="Verdana" w:cs="Arial"/>
                <w:sz w:val="20"/>
                <w:szCs w:val="20"/>
              </w:rPr>
              <w:t>Key issues</w:t>
            </w:r>
            <w:r w:rsidR="00470DC8" w:rsidRPr="00801B2E">
              <w:rPr>
                <w:rFonts w:ascii="Verdana" w:hAnsi="Verdana" w:cs="Arial"/>
                <w:sz w:val="20"/>
                <w:szCs w:val="20"/>
              </w:rPr>
              <w:t xml:space="preserve"> requiring management attention include:</w:t>
            </w:r>
          </w:p>
          <w:p w14:paraId="0B459E7A" w14:textId="318D0AFE" w:rsidR="00B247F6" w:rsidRDefault="008C11BD" w:rsidP="008C11BD">
            <w:pPr>
              <w:pStyle w:val="ListParagraph"/>
              <w:numPr>
                <w:ilvl w:val="0"/>
                <w:numId w:val="15"/>
              </w:numPr>
              <w:spacing w:before="120" w:after="120"/>
              <w:jc w:val="both"/>
              <w:rPr>
                <w:rFonts w:ascii="Verdana" w:hAnsi="Verdana" w:cs="Arial"/>
                <w:sz w:val="20"/>
                <w:szCs w:val="20"/>
              </w:rPr>
            </w:pPr>
            <w:r w:rsidRPr="008C11BD">
              <w:rPr>
                <w:rFonts w:ascii="Verdana" w:hAnsi="Verdana" w:cs="Arial"/>
                <w:sz w:val="20"/>
                <w:szCs w:val="20"/>
              </w:rPr>
              <w:t>TI governance structures were stood down without formal communication to the Board. Oversight reverted to business-as-usual groups, whose terms of reference do not consistently reflect escalation responsibilities.</w:t>
            </w:r>
          </w:p>
          <w:p w14:paraId="1BB39E31" w14:textId="704FAEA9" w:rsidR="008C11BD" w:rsidRDefault="00B104F4" w:rsidP="008C11BD">
            <w:pPr>
              <w:pStyle w:val="ListParagraph"/>
              <w:numPr>
                <w:ilvl w:val="0"/>
                <w:numId w:val="15"/>
              </w:numPr>
              <w:spacing w:before="120" w:after="120"/>
              <w:jc w:val="both"/>
              <w:rPr>
                <w:rFonts w:ascii="Verdana" w:hAnsi="Verdana" w:cs="Arial"/>
                <w:sz w:val="20"/>
                <w:szCs w:val="20"/>
              </w:rPr>
            </w:pPr>
            <w:r>
              <w:rPr>
                <w:rFonts w:ascii="Verdana" w:hAnsi="Verdana" w:cs="Arial"/>
                <w:sz w:val="20"/>
                <w:szCs w:val="20"/>
              </w:rPr>
              <w:t>There are a range of actions underway to address escalated areas</w:t>
            </w:r>
            <w:r w:rsidR="00405238">
              <w:rPr>
                <w:rFonts w:ascii="Verdana" w:hAnsi="Verdana" w:cs="Arial"/>
                <w:sz w:val="20"/>
                <w:szCs w:val="20"/>
              </w:rPr>
              <w:t>,</w:t>
            </w:r>
            <w:r>
              <w:rPr>
                <w:rFonts w:ascii="Verdana" w:hAnsi="Verdana" w:cs="Arial"/>
                <w:sz w:val="20"/>
                <w:szCs w:val="20"/>
              </w:rPr>
              <w:t xml:space="preserve"> but </w:t>
            </w:r>
            <w:r w:rsidR="00A60F79">
              <w:rPr>
                <w:rFonts w:ascii="Verdana" w:hAnsi="Verdana" w:cs="Arial"/>
                <w:sz w:val="20"/>
                <w:szCs w:val="20"/>
              </w:rPr>
              <w:t xml:space="preserve">we note the </w:t>
            </w:r>
            <w:r w:rsidR="00A60F79" w:rsidRPr="00A60F79">
              <w:rPr>
                <w:rFonts w:ascii="Verdana" w:hAnsi="Verdana" w:cs="Arial"/>
                <w:sz w:val="20"/>
                <w:szCs w:val="20"/>
              </w:rPr>
              <w:t>absence of a consolidated improvement plan</w:t>
            </w:r>
            <w:r w:rsidR="00A60F79">
              <w:rPr>
                <w:rFonts w:ascii="Verdana" w:hAnsi="Verdana" w:cs="Arial"/>
                <w:sz w:val="20"/>
                <w:szCs w:val="20"/>
              </w:rPr>
              <w:t xml:space="preserve"> as referenced in the Escalation Framework.</w:t>
            </w:r>
          </w:p>
          <w:p w14:paraId="7223FE55" w14:textId="290826D1" w:rsidR="00A60F79" w:rsidRDefault="00E4691B" w:rsidP="008C11BD">
            <w:pPr>
              <w:pStyle w:val="ListParagraph"/>
              <w:numPr>
                <w:ilvl w:val="0"/>
                <w:numId w:val="15"/>
              </w:numPr>
              <w:spacing w:before="120" w:after="120"/>
              <w:jc w:val="both"/>
              <w:rPr>
                <w:rFonts w:ascii="Verdana" w:hAnsi="Verdana" w:cs="Arial"/>
                <w:sz w:val="20"/>
                <w:szCs w:val="20"/>
              </w:rPr>
            </w:pPr>
            <w:r>
              <w:rPr>
                <w:rFonts w:ascii="Verdana" w:hAnsi="Verdana" w:cs="Arial"/>
                <w:sz w:val="20"/>
                <w:szCs w:val="20"/>
              </w:rPr>
              <w:t xml:space="preserve">Actions included within the </w:t>
            </w:r>
            <w:r w:rsidRPr="00E4691B">
              <w:rPr>
                <w:rFonts w:ascii="Verdana" w:hAnsi="Verdana" w:cs="Arial"/>
                <w:sz w:val="20"/>
                <w:szCs w:val="20"/>
              </w:rPr>
              <w:t>Escalation and Oversight reports</w:t>
            </w:r>
            <w:r>
              <w:rPr>
                <w:rFonts w:ascii="Verdana" w:hAnsi="Verdana" w:cs="Arial"/>
                <w:sz w:val="20"/>
                <w:szCs w:val="20"/>
              </w:rPr>
              <w:t xml:space="preserve"> provided to the Board</w:t>
            </w:r>
            <w:r w:rsidRPr="00E4691B">
              <w:rPr>
                <w:rFonts w:ascii="Verdana" w:hAnsi="Verdana" w:cs="Arial"/>
                <w:sz w:val="20"/>
                <w:szCs w:val="20"/>
              </w:rPr>
              <w:t xml:space="preserve"> lack defined action ownership, timelines, and impact assessments, and do not consistently </w:t>
            </w:r>
            <w:r w:rsidR="007B0E12">
              <w:rPr>
                <w:rFonts w:ascii="Verdana" w:hAnsi="Verdana" w:cs="Arial"/>
                <w:sz w:val="20"/>
                <w:szCs w:val="20"/>
              </w:rPr>
              <w:t>include follow up status.</w:t>
            </w:r>
            <w:r w:rsidR="0003069E">
              <w:rPr>
                <w:rFonts w:ascii="Verdana" w:hAnsi="Verdana" w:cs="Arial"/>
                <w:sz w:val="20"/>
                <w:szCs w:val="20"/>
              </w:rPr>
              <w:t xml:space="preserve"> Historical achievement against the de-escalation criteria is not included within performance reports.</w:t>
            </w:r>
          </w:p>
          <w:p w14:paraId="7EF57D2B" w14:textId="65B79A6E" w:rsidR="00883216" w:rsidRDefault="00883216" w:rsidP="008C11BD">
            <w:pPr>
              <w:pStyle w:val="ListParagraph"/>
              <w:numPr>
                <w:ilvl w:val="0"/>
                <w:numId w:val="15"/>
              </w:numPr>
              <w:spacing w:before="120" w:after="120"/>
              <w:jc w:val="both"/>
              <w:rPr>
                <w:rFonts w:ascii="Verdana" w:hAnsi="Verdana" w:cs="Arial"/>
                <w:sz w:val="20"/>
                <w:szCs w:val="20"/>
              </w:rPr>
            </w:pPr>
            <w:r>
              <w:rPr>
                <w:rFonts w:ascii="Verdana" w:hAnsi="Verdana" w:cs="Arial"/>
                <w:sz w:val="20"/>
                <w:szCs w:val="20"/>
              </w:rPr>
              <w:t xml:space="preserve">The health board’s Performance and Assurance Framework </w:t>
            </w:r>
            <w:r w:rsidR="00D970E7">
              <w:rPr>
                <w:rFonts w:ascii="Verdana" w:hAnsi="Verdana" w:cs="Arial"/>
                <w:sz w:val="20"/>
                <w:szCs w:val="20"/>
              </w:rPr>
              <w:t>does not</w:t>
            </w:r>
            <w:r w:rsidR="00BD1CAD">
              <w:rPr>
                <w:rFonts w:ascii="Verdana" w:hAnsi="Verdana" w:cs="Arial"/>
                <w:sz w:val="20"/>
                <w:szCs w:val="20"/>
              </w:rPr>
              <w:t xml:space="preserve"> provide clear guidance on how the health board should respond to external escalation of services</w:t>
            </w:r>
            <w:r w:rsidR="00BA2987">
              <w:rPr>
                <w:rFonts w:ascii="Verdana" w:hAnsi="Verdana" w:cs="Arial"/>
                <w:sz w:val="20"/>
                <w:szCs w:val="20"/>
              </w:rPr>
              <w:t>/performance.</w:t>
            </w:r>
          </w:p>
          <w:p w14:paraId="42D8A3C6" w14:textId="430383DC" w:rsidR="00F3143B" w:rsidRDefault="00853348" w:rsidP="008C11BD">
            <w:pPr>
              <w:pStyle w:val="ListParagraph"/>
              <w:numPr>
                <w:ilvl w:val="0"/>
                <w:numId w:val="15"/>
              </w:numPr>
              <w:spacing w:before="120" w:after="120"/>
              <w:jc w:val="both"/>
              <w:rPr>
                <w:rFonts w:ascii="Verdana" w:hAnsi="Verdana" w:cs="Arial"/>
                <w:sz w:val="20"/>
                <w:szCs w:val="20"/>
              </w:rPr>
            </w:pPr>
            <w:r w:rsidRPr="00853348">
              <w:rPr>
                <w:rFonts w:ascii="Verdana" w:hAnsi="Verdana" w:cs="Arial"/>
                <w:sz w:val="20"/>
                <w:szCs w:val="20"/>
              </w:rPr>
              <w:lastRenderedPageBreak/>
              <w:t>Planned Care actions remain unchanged across reporting periods, with outdated references and missing updates on key initiatives</w:t>
            </w:r>
            <w:r>
              <w:rPr>
                <w:rFonts w:ascii="Verdana" w:hAnsi="Verdana" w:cs="Arial"/>
                <w:sz w:val="20"/>
                <w:szCs w:val="20"/>
              </w:rPr>
              <w:t xml:space="preserve"> reported elsewhere.</w:t>
            </w:r>
          </w:p>
          <w:p w14:paraId="373D15D2" w14:textId="2D839924" w:rsidR="00853348" w:rsidRDefault="008F051F" w:rsidP="008C11BD">
            <w:pPr>
              <w:pStyle w:val="ListParagraph"/>
              <w:numPr>
                <w:ilvl w:val="0"/>
                <w:numId w:val="15"/>
              </w:numPr>
              <w:spacing w:before="120" w:after="120"/>
              <w:jc w:val="both"/>
              <w:rPr>
                <w:rFonts w:ascii="Verdana" w:hAnsi="Verdana" w:cs="Arial"/>
                <w:sz w:val="20"/>
                <w:szCs w:val="20"/>
              </w:rPr>
            </w:pPr>
            <w:r w:rsidRPr="008F051F">
              <w:rPr>
                <w:rFonts w:ascii="Verdana" w:hAnsi="Verdana" w:cs="Arial"/>
                <w:sz w:val="20"/>
                <w:szCs w:val="20"/>
              </w:rPr>
              <w:t>Cancer performance reports and tumour site action plans are inconsistently maintained, with outdated entries and missing updates</w:t>
            </w:r>
          </w:p>
          <w:p w14:paraId="7B60A088" w14:textId="7214E6E4" w:rsidR="009B6E62" w:rsidRDefault="008F051F">
            <w:pPr>
              <w:pStyle w:val="ListParagraph"/>
              <w:numPr>
                <w:ilvl w:val="0"/>
                <w:numId w:val="15"/>
              </w:numPr>
              <w:spacing w:before="120" w:after="120"/>
              <w:jc w:val="both"/>
              <w:rPr>
                <w:rFonts w:ascii="Verdana" w:hAnsi="Verdana" w:cs="Arial"/>
                <w:sz w:val="20"/>
                <w:szCs w:val="20"/>
              </w:rPr>
            </w:pPr>
            <w:r w:rsidRPr="0032368F">
              <w:rPr>
                <w:rFonts w:ascii="Verdana" w:hAnsi="Verdana" w:cs="Arial"/>
                <w:sz w:val="20"/>
                <w:szCs w:val="20"/>
              </w:rPr>
              <w:t>Key HCAI oversight forums</w:t>
            </w:r>
            <w:r w:rsidR="00342BA7" w:rsidRPr="0032368F">
              <w:rPr>
                <w:rFonts w:ascii="Verdana" w:hAnsi="Verdana" w:cs="Arial"/>
                <w:sz w:val="20"/>
                <w:szCs w:val="20"/>
              </w:rPr>
              <w:t>,</w:t>
            </w:r>
            <w:r w:rsidRPr="0032368F">
              <w:rPr>
                <w:rFonts w:ascii="Verdana" w:hAnsi="Verdana" w:cs="Arial"/>
                <w:sz w:val="20"/>
                <w:szCs w:val="20"/>
              </w:rPr>
              <w:t xml:space="preserve"> including the Gold C. diff Management Group and Executive Scrutiny Meeting</w:t>
            </w:r>
            <w:r w:rsidR="005A44AB">
              <w:rPr>
                <w:rFonts w:ascii="Verdana" w:hAnsi="Verdana" w:cs="Arial"/>
                <w:sz w:val="20"/>
                <w:szCs w:val="20"/>
              </w:rPr>
              <w:t>,</w:t>
            </w:r>
            <w:r w:rsidR="00342BA7" w:rsidRPr="0032368F">
              <w:rPr>
                <w:rFonts w:ascii="Verdana" w:hAnsi="Verdana" w:cs="Arial"/>
                <w:sz w:val="20"/>
                <w:szCs w:val="20"/>
              </w:rPr>
              <w:t xml:space="preserve"> have been paused since May 2025 due to leadership changes</w:t>
            </w:r>
            <w:r w:rsidR="0032368F" w:rsidRPr="0032368F">
              <w:rPr>
                <w:rFonts w:ascii="Verdana" w:hAnsi="Verdana" w:cs="Arial"/>
                <w:sz w:val="20"/>
                <w:szCs w:val="20"/>
              </w:rPr>
              <w:t>.</w:t>
            </w:r>
          </w:p>
          <w:p w14:paraId="343265B3" w14:textId="0176BC26" w:rsidR="002214D6" w:rsidRPr="002214D6" w:rsidRDefault="00970CDA" w:rsidP="00970CDA">
            <w:pPr>
              <w:pStyle w:val="ListParagraph"/>
              <w:numPr>
                <w:ilvl w:val="0"/>
                <w:numId w:val="15"/>
              </w:numPr>
              <w:spacing w:before="120" w:after="120"/>
              <w:jc w:val="both"/>
              <w:rPr>
                <w:rFonts w:ascii="Verdana" w:hAnsi="Verdana" w:cs="Arial"/>
                <w:color w:val="FF0000"/>
                <w:sz w:val="20"/>
                <w:szCs w:val="20"/>
              </w:rPr>
            </w:pPr>
            <w:r w:rsidRPr="00970CDA">
              <w:rPr>
                <w:rFonts w:ascii="Verdana" w:hAnsi="Verdana" w:cs="Arial"/>
                <w:sz w:val="20"/>
                <w:szCs w:val="20"/>
              </w:rPr>
              <w:t>The de-escalation criteria for U</w:t>
            </w:r>
            <w:r w:rsidR="00012FD8">
              <w:rPr>
                <w:rFonts w:ascii="Verdana" w:hAnsi="Verdana" w:cs="Arial"/>
                <w:sz w:val="20"/>
                <w:szCs w:val="20"/>
              </w:rPr>
              <w:t>EC</w:t>
            </w:r>
            <w:r w:rsidRPr="00970CDA">
              <w:rPr>
                <w:rFonts w:ascii="Verdana" w:hAnsi="Verdana" w:cs="Arial"/>
                <w:sz w:val="20"/>
                <w:szCs w:val="20"/>
              </w:rPr>
              <w:t xml:space="preserve"> include the assessment and learning from business continuity incidents; however, this process has not been undertaken</w:t>
            </w:r>
            <w:r w:rsidR="00012FD8">
              <w:rPr>
                <w:rFonts w:ascii="Verdana" w:hAnsi="Verdana" w:cs="Arial"/>
                <w:sz w:val="20"/>
                <w:szCs w:val="20"/>
              </w:rPr>
              <w:t xml:space="preserve"> for those repo</w:t>
            </w:r>
            <w:r w:rsidR="00D82906">
              <w:rPr>
                <w:rFonts w:ascii="Verdana" w:hAnsi="Verdana" w:cs="Arial"/>
                <w:sz w:val="20"/>
                <w:szCs w:val="20"/>
              </w:rPr>
              <w:t>rted in October 2024 and February 2025.</w:t>
            </w:r>
          </w:p>
          <w:p w14:paraId="2C34A00F" w14:textId="3FCEA360" w:rsidR="00C50D9F" w:rsidRPr="00801B2E" w:rsidRDefault="00271A85" w:rsidP="00801B2E">
            <w:pPr>
              <w:spacing w:before="120" w:after="120"/>
              <w:jc w:val="both"/>
              <w:rPr>
                <w:rFonts w:ascii="Verdana" w:hAnsi="Verdana" w:cs="Arial"/>
                <w:sz w:val="20"/>
                <w:szCs w:val="20"/>
              </w:rPr>
            </w:pPr>
            <w:r>
              <w:rPr>
                <w:rFonts w:ascii="Verdana" w:hAnsi="Verdana" w:cs="Arial"/>
                <w:sz w:val="20"/>
                <w:szCs w:val="20"/>
              </w:rPr>
              <w:t xml:space="preserve">Full details of matters arising are detailed within the Findings &amp; Agreed Action Plan. </w:t>
            </w:r>
          </w:p>
        </w:tc>
      </w:tr>
      <w:tr w:rsidR="00A8783F" w14:paraId="53305C38" w14:textId="77777777" w:rsidTr="04E33A4D">
        <w:trPr>
          <w:trHeight w:val="20"/>
        </w:trPr>
        <w:tc>
          <w:tcPr>
            <w:tcW w:w="16161" w:type="dxa"/>
          </w:tcPr>
          <w:p w14:paraId="0A6EAEB0" w14:textId="77777777" w:rsidR="00A8783F" w:rsidRPr="00A8783F" w:rsidRDefault="00A8783F" w:rsidP="00A8783F">
            <w:pPr>
              <w:rPr>
                <w:rFonts w:ascii="Verdana" w:hAnsi="Verdana" w:cs="Arial"/>
                <w:color w:val="002060"/>
                <w:sz w:val="10"/>
                <w:szCs w:val="10"/>
              </w:rPr>
            </w:pPr>
          </w:p>
        </w:tc>
      </w:tr>
      <w:tr w:rsidR="00DD24FE" w14:paraId="009CCA50" w14:textId="77777777" w:rsidTr="04E33A4D">
        <w:trPr>
          <w:trHeight w:val="2723"/>
        </w:trPr>
        <w:tc>
          <w:tcPr>
            <w:tcW w:w="16161" w:type="dxa"/>
            <w:shd w:val="clear" w:color="auto" w:fill="FFFFFF" w:themeFill="background1"/>
          </w:tcPr>
          <w:p w14:paraId="014EB8B9" w14:textId="6E43897B" w:rsidR="00DD24FE" w:rsidRDefault="00DD24FE" w:rsidP="003E32C6">
            <w:pPr>
              <w:spacing w:before="120"/>
              <w:rPr>
                <w:rFonts w:ascii="Verdana" w:hAnsi="Verdana" w:cs="Arial"/>
                <w:color w:val="002060"/>
                <w:sz w:val="24"/>
                <w:szCs w:val="24"/>
              </w:rPr>
            </w:pPr>
            <w:r>
              <w:rPr>
                <w:rFonts w:ascii="Verdana" w:hAnsi="Verdana" w:cs="Arial"/>
                <w:color w:val="002060"/>
                <w:sz w:val="24"/>
                <w:szCs w:val="24"/>
              </w:rPr>
              <w:t>Scope &amp; Assurance Summary</w:t>
            </w:r>
          </w:p>
          <w:tbl>
            <w:tblPr>
              <w:tblStyle w:val="TableGrid"/>
              <w:tblW w:w="157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8"/>
              <w:gridCol w:w="10595"/>
              <w:gridCol w:w="2265"/>
              <w:gridCol w:w="2280"/>
            </w:tblGrid>
            <w:tr w:rsidR="00DD24FE" w:rsidRPr="00333664" w14:paraId="250129DF" w14:textId="77777777" w:rsidTr="04E33A4D">
              <w:trPr>
                <w:trHeight w:val="371"/>
              </w:trPr>
              <w:tc>
                <w:tcPr>
                  <w:tcW w:w="11233" w:type="dxa"/>
                  <w:gridSpan w:val="2"/>
                  <w:tcBorders>
                    <w:bottom w:val="single" w:sz="4" w:space="0" w:color="auto"/>
                  </w:tcBorders>
                </w:tcPr>
                <w:p w14:paraId="441145A8" w14:textId="3E4718F5" w:rsidR="00DD24FE" w:rsidRPr="00DD24FE" w:rsidRDefault="00DD24FE" w:rsidP="00A8783F">
                  <w:pPr>
                    <w:spacing w:before="120" w:after="120"/>
                    <w:jc w:val="both"/>
                    <w:rPr>
                      <w:rFonts w:ascii="Verdana" w:hAnsi="Verdana" w:cs="Arial"/>
                    </w:rPr>
                  </w:pPr>
                  <w:r w:rsidRPr="04E33A4D">
                    <w:rPr>
                      <w:rFonts w:ascii="Verdana" w:hAnsi="Verdana" w:cs="Arial"/>
                      <w:color w:val="3D5A8C"/>
                    </w:rPr>
                    <w:t>Objectives</w:t>
                  </w:r>
                  <w:r w:rsidR="00EE1331" w:rsidRPr="04E33A4D">
                    <w:rPr>
                      <w:rFonts w:ascii="Verdana" w:hAnsi="Verdana" w:cs="Arial"/>
                      <w:color w:val="3D5A8C"/>
                    </w:rPr>
                    <w:t xml:space="preserve"> </w:t>
                  </w:r>
                  <w:r w:rsidR="00EE1331" w:rsidRPr="04E33A4D">
                    <w:rPr>
                      <w:rFonts w:ascii="Verdana" w:hAnsi="Verdana" w:cs="Arial"/>
                      <w:color w:val="3D5A8C"/>
                      <w:vertAlign w:val="superscript"/>
                    </w:rPr>
                    <w:t xml:space="preserve">The objectives and associated assurance ratings are not necessarily </w:t>
                  </w:r>
                  <w:r w:rsidR="003A2C06" w:rsidRPr="04E33A4D">
                    <w:rPr>
                      <w:rFonts w:ascii="Verdana" w:hAnsi="Verdana" w:cs="Arial"/>
                      <w:color w:val="3D5A8C"/>
                      <w:vertAlign w:val="superscript"/>
                    </w:rPr>
                    <w:t>given equal weighting when formulating the overall audit opinion.</w:t>
                  </w:r>
                </w:p>
              </w:tc>
              <w:tc>
                <w:tcPr>
                  <w:tcW w:w="2265" w:type="dxa"/>
                  <w:tcBorders>
                    <w:bottom w:val="single" w:sz="4" w:space="0" w:color="auto"/>
                  </w:tcBorders>
                </w:tcPr>
                <w:p w14:paraId="65AA1D90" w14:textId="77777777" w:rsidR="00DD24FE" w:rsidRPr="00DD24FE" w:rsidRDefault="00DD24FE" w:rsidP="00A8783F">
                  <w:pPr>
                    <w:spacing w:before="120" w:after="120"/>
                    <w:jc w:val="center"/>
                    <w:rPr>
                      <w:rFonts w:ascii="Verdana" w:hAnsi="Verdana" w:cs="Arial"/>
                      <w:color w:val="3D5A8C"/>
                    </w:rPr>
                  </w:pPr>
                  <w:r w:rsidRPr="00DD24FE">
                    <w:rPr>
                      <w:rFonts w:ascii="Verdana" w:hAnsi="Verdana" w:cs="Arial"/>
                      <w:color w:val="3D5A8C"/>
                    </w:rPr>
                    <w:t>Related Findings</w:t>
                  </w:r>
                </w:p>
              </w:tc>
              <w:tc>
                <w:tcPr>
                  <w:tcW w:w="2280" w:type="dxa"/>
                  <w:tcBorders>
                    <w:bottom w:val="single" w:sz="4" w:space="0" w:color="auto"/>
                  </w:tcBorders>
                </w:tcPr>
                <w:p w14:paraId="4A3D1952" w14:textId="77777777" w:rsidR="00DD24FE" w:rsidRPr="00DD24FE" w:rsidRDefault="00DD24FE" w:rsidP="00A8783F">
                  <w:pPr>
                    <w:spacing w:before="120" w:after="120"/>
                    <w:jc w:val="center"/>
                    <w:rPr>
                      <w:rFonts w:ascii="Verdana" w:hAnsi="Verdana" w:cs="Arial"/>
                      <w:color w:val="3D5A8C"/>
                    </w:rPr>
                  </w:pPr>
                  <w:r w:rsidRPr="00DD24FE">
                    <w:rPr>
                      <w:rFonts w:ascii="Verdana" w:hAnsi="Verdana" w:cs="Arial"/>
                      <w:color w:val="3D5A8C"/>
                    </w:rPr>
                    <w:t>Assurance</w:t>
                  </w:r>
                </w:p>
              </w:tc>
            </w:tr>
            <w:tr w:rsidR="00DD24FE" w:rsidRPr="00333664" w14:paraId="2CD0217D" w14:textId="77777777" w:rsidTr="00B95A80">
              <w:trPr>
                <w:trHeight w:val="20"/>
              </w:trPr>
              <w:tc>
                <w:tcPr>
                  <w:tcW w:w="638" w:type="dxa"/>
                  <w:tcBorders>
                    <w:top w:val="single" w:sz="4" w:space="0" w:color="auto"/>
                    <w:bottom w:val="dashed" w:sz="4" w:space="0" w:color="auto"/>
                  </w:tcBorders>
                  <w:vAlign w:val="center"/>
                </w:tcPr>
                <w:p w14:paraId="38B003A3" w14:textId="77777777" w:rsidR="00DD24FE" w:rsidRPr="00406895" w:rsidRDefault="00DD24FE" w:rsidP="00B95378">
                  <w:pPr>
                    <w:spacing w:before="60" w:after="60"/>
                    <w:jc w:val="center"/>
                    <w:rPr>
                      <w:rFonts w:ascii="Verdana" w:hAnsi="Verdana" w:cs="Arial"/>
                      <w:sz w:val="20"/>
                      <w:szCs w:val="20"/>
                    </w:rPr>
                  </w:pPr>
                  <w:r w:rsidRPr="00406895">
                    <w:rPr>
                      <w:rFonts w:ascii="Verdana" w:hAnsi="Verdana" w:cs="Arial"/>
                      <w:sz w:val="20"/>
                      <w:szCs w:val="20"/>
                    </w:rPr>
                    <w:t>1</w:t>
                  </w:r>
                </w:p>
              </w:tc>
              <w:tc>
                <w:tcPr>
                  <w:tcW w:w="10595" w:type="dxa"/>
                  <w:tcBorders>
                    <w:top w:val="single" w:sz="4" w:space="0" w:color="auto"/>
                    <w:bottom w:val="dashed" w:sz="4" w:space="0" w:color="auto"/>
                  </w:tcBorders>
                </w:tcPr>
                <w:p w14:paraId="538863D3" w14:textId="44606918" w:rsidR="00DD24FE" w:rsidRPr="00564D9E" w:rsidRDefault="00B95A80" w:rsidP="00B95378">
                  <w:pPr>
                    <w:spacing w:before="60" w:after="60"/>
                    <w:jc w:val="both"/>
                    <w:rPr>
                      <w:rFonts w:ascii="Verdana" w:hAnsi="Verdana" w:cs="Arial"/>
                      <w:sz w:val="20"/>
                      <w:szCs w:val="20"/>
                      <w:highlight w:val="yellow"/>
                    </w:rPr>
                  </w:pPr>
                  <w:r w:rsidRPr="00B95A80">
                    <w:rPr>
                      <w:rFonts w:ascii="Verdana" w:hAnsi="Verdana" w:cs="Arial"/>
                      <w:sz w:val="20"/>
                      <w:szCs w:val="20"/>
                    </w:rPr>
                    <w:t>Appropriate governance arrangements have been established to manage the six domains of the NHS Wales Escalation and Oversight Framework.</w:t>
                  </w:r>
                </w:p>
              </w:tc>
              <w:tc>
                <w:tcPr>
                  <w:tcW w:w="2265" w:type="dxa"/>
                  <w:tcBorders>
                    <w:top w:val="single" w:sz="4" w:space="0" w:color="auto"/>
                    <w:bottom w:val="dashed" w:sz="4" w:space="0" w:color="auto"/>
                  </w:tcBorders>
                </w:tcPr>
                <w:p w14:paraId="326A66CD" w14:textId="3BC782A4" w:rsidR="00DD24FE" w:rsidRPr="00406895" w:rsidRDefault="00115E76" w:rsidP="00B95378">
                  <w:pPr>
                    <w:spacing w:before="60" w:after="60"/>
                    <w:jc w:val="center"/>
                    <w:rPr>
                      <w:rFonts w:ascii="Verdana" w:hAnsi="Verdana" w:cs="Arial"/>
                      <w:sz w:val="20"/>
                      <w:szCs w:val="20"/>
                    </w:rPr>
                  </w:pPr>
                  <w:r>
                    <w:rPr>
                      <w:rFonts w:ascii="Verdana" w:hAnsi="Verdana" w:cs="Arial"/>
                      <w:sz w:val="20"/>
                      <w:szCs w:val="20"/>
                    </w:rPr>
                    <w:t>1, 2, 3, 4</w:t>
                  </w:r>
                </w:p>
              </w:tc>
              <w:sdt>
                <w:sdtPr>
                  <w:rPr>
                    <w:rFonts w:ascii="Verdana" w:hAnsi="Verdana" w:cs="Arial"/>
                    <w:b/>
                    <w:bCs/>
                    <w:sz w:val="20"/>
                    <w:szCs w:val="20"/>
                  </w:rPr>
                  <w:alias w:val="Assurance"/>
                  <w:tag w:val="Assurance"/>
                  <w:id w:val="-521003971"/>
                  <w:placeholder>
                    <w:docPart w:val="DefaultPlaceholder_-1854013438"/>
                  </w:placeholder>
                  <w:comboBox>
                    <w:listItem w:value="Choose an item."/>
                    <w:listItem w:displayText="Substantial" w:value="Substantial"/>
                    <w:listItem w:displayText="Reasonable" w:value="Reasonable"/>
                    <w:listItem w:displayText="Limited" w:value="Limited"/>
                    <w:listItem w:displayText="Unsatisfactory" w:value="Unsatisfactory"/>
                  </w:comboBox>
                </w:sdtPr>
                <w:sdtEndPr/>
                <w:sdtContent>
                  <w:tc>
                    <w:tcPr>
                      <w:tcW w:w="2280" w:type="dxa"/>
                      <w:tcBorders>
                        <w:top w:val="single" w:sz="4" w:space="0" w:color="auto"/>
                        <w:bottom w:val="dashed" w:sz="4" w:space="0" w:color="auto"/>
                      </w:tcBorders>
                      <w:shd w:val="clear" w:color="auto" w:fill="FFC000"/>
                      <w:vAlign w:val="center"/>
                    </w:tcPr>
                    <w:p w14:paraId="36F69573" w14:textId="672D1B8E" w:rsidR="00DD24FE" w:rsidRPr="00406895" w:rsidRDefault="00B95A80" w:rsidP="00B95378">
                      <w:pPr>
                        <w:spacing w:before="60" w:after="60"/>
                        <w:jc w:val="center"/>
                        <w:rPr>
                          <w:rFonts w:ascii="Verdana" w:hAnsi="Verdana" w:cs="Arial"/>
                          <w:b/>
                          <w:bCs/>
                          <w:sz w:val="20"/>
                          <w:szCs w:val="20"/>
                        </w:rPr>
                      </w:pPr>
                      <w:r>
                        <w:rPr>
                          <w:rFonts w:ascii="Verdana" w:hAnsi="Verdana" w:cs="Arial"/>
                          <w:b/>
                          <w:bCs/>
                          <w:sz w:val="20"/>
                          <w:szCs w:val="20"/>
                        </w:rPr>
                        <w:t>Limited</w:t>
                      </w:r>
                    </w:p>
                  </w:tc>
                </w:sdtContent>
              </w:sdt>
            </w:tr>
            <w:tr w:rsidR="00DD24FE" w:rsidRPr="00F2322F" w14:paraId="7F62BA9A" w14:textId="77777777" w:rsidTr="00CD1AA7">
              <w:trPr>
                <w:trHeight w:val="20"/>
              </w:trPr>
              <w:tc>
                <w:tcPr>
                  <w:tcW w:w="638" w:type="dxa"/>
                  <w:tcBorders>
                    <w:top w:val="dashed" w:sz="4" w:space="0" w:color="auto"/>
                    <w:bottom w:val="single" w:sz="4" w:space="0" w:color="auto"/>
                  </w:tcBorders>
                  <w:vAlign w:val="center"/>
                </w:tcPr>
                <w:p w14:paraId="12991F20" w14:textId="11B0F9E2" w:rsidR="00DD24FE" w:rsidRPr="00406895" w:rsidRDefault="003F37B3" w:rsidP="00B95378">
                  <w:pPr>
                    <w:spacing w:before="60" w:after="60"/>
                    <w:jc w:val="center"/>
                    <w:rPr>
                      <w:rFonts w:ascii="Verdana" w:hAnsi="Verdana" w:cs="Arial"/>
                      <w:sz w:val="20"/>
                      <w:szCs w:val="20"/>
                    </w:rPr>
                  </w:pPr>
                  <w:r>
                    <w:rPr>
                      <w:rFonts w:ascii="Verdana" w:hAnsi="Verdana" w:cs="Arial"/>
                      <w:sz w:val="20"/>
                      <w:szCs w:val="20"/>
                    </w:rPr>
                    <w:t>2</w:t>
                  </w:r>
                </w:p>
              </w:tc>
              <w:tc>
                <w:tcPr>
                  <w:tcW w:w="10595" w:type="dxa"/>
                  <w:tcBorders>
                    <w:top w:val="dashed" w:sz="4" w:space="0" w:color="auto"/>
                    <w:bottom w:val="single" w:sz="4" w:space="0" w:color="auto"/>
                  </w:tcBorders>
                </w:tcPr>
                <w:p w14:paraId="174BCF97" w14:textId="474A987C" w:rsidR="00DD24FE" w:rsidRPr="00564D9E" w:rsidRDefault="003F37B3" w:rsidP="00F51B98">
                  <w:pPr>
                    <w:spacing w:before="60" w:after="60"/>
                    <w:jc w:val="both"/>
                    <w:rPr>
                      <w:rFonts w:ascii="Verdana" w:hAnsi="Verdana" w:cs="Arial"/>
                      <w:sz w:val="20"/>
                      <w:szCs w:val="20"/>
                      <w:highlight w:val="yellow"/>
                    </w:rPr>
                  </w:pPr>
                  <w:r w:rsidRPr="003F37B3">
                    <w:rPr>
                      <w:rFonts w:ascii="Verdana" w:hAnsi="Verdana" w:cs="Arial"/>
                      <w:sz w:val="20"/>
                      <w:szCs w:val="20"/>
                    </w:rPr>
                    <w:t>Targeted Intervention actions are only closed on approval of an appropriate forum on the basis that they are</w:t>
                  </w:r>
                  <w:r w:rsidR="00F51B98">
                    <w:rPr>
                      <w:rFonts w:ascii="Verdana" w:hAnsi="Verdana" w:cs="Arial"/>
                      <w:sz w:val="20"/>
                      <w:szCs w:val="20"/>
                    </w:rPr>
                    <w:t xml:space="preserve"> (i) </w:t>
                  </w:r>
                  <w:r w:rsidRPr="003F37B3">
                    <w:rPr>
                      <w:rFonts w:ascii="Verdana" w:hAnsi="Verdana" w:cs="Arial"/>
                      <w:sz w:val="20"/>
                      <w:szCs w:val="20"/>
                    </w:rPr>
                    <w:t>supported by sufficient and appropriate evidence demonstrating completion, or</w:t>
                  </w:r>
                  <w:r w:rsidR="00F51B98">
                    <w:rPr>
                      <w:rFonts w:ascii="Verdana" w:hAnsi="Verdana" w:cs="Arial"/>
                      <w:sz w:val="20"/>
                      <w:szCs w:val="20"/>
                    </w:rPr>
                    <w:t xml:space="preserve"> (</w:t>
                  </w:r>
                  <w:r w:rsidRPr="003F37B3">
                    <w:rPr>
                      <w:rFonts w:ascii="Verdana" w:hAnsi="Verdana" w:cs="Arial"/>
                      <w:sz w:val="20"/>
                      <w:szCs w:val="20"/>
                    </w:rPr>
                    <w:t>ii</w:t>
                  </w:r>
                  <w:r w:rsidR="00F51B98">
                    <w:rPr>
                      <w:rFonts w:ascii="Verdana" w:hAnsi="Verdana" w:cs="Arial"/>
                      <w:sz w:val="20"/>
                      <w:szCs w:val="20"/>
                    </w:rPr>
                    <w:t>)</w:t>
                  </w:r>
                  <w:r w:rsidR="00937FE3">
                    <w:rPr>
                      <w:rFonts w:ascii="Verdana" w:hAnsi="Verdana" w:cs="Arial"/>
                      <w:sz w:val="20"/>
                      <w:szCs w:val="20"/>
                    </w:rPr>
                    <w:t xml:space="preserve"> </w:t>
                  </w:r>
                  <w:r w:rsidRPr="003F37B3">
                    <w:rPr>
                      <w:rFonts w:ascii="Verdana" w:hAnsi="Verdana" w:cs="Arial"/>
                      <w:sz w:val="20"/>
                      <w:szCs w:val="20"/>
                    </w:rPr>
                    <w:t>subject to alternative ‘business as usual’ monitoring arrangements with mechanisms in place to provide assurance over progress and completion.</w:t>
                  </w:r>
                </w:p>
              </w:tc>
              <w:tc>
                <w:tcPr>
                  <w:tcW w:w="2265" w:type="dxa"/>
                  <w:tcBorders>
                    <w:top w:val="dashed" w:sz="4" w:space="0" w:color="auto"/>
                    <w:bottom w:val="single" w:sz="4" w:space="0" w:color="auto"/>
                  </w:tcBorders>
                </w:tcPr>
                <w:p w14:paraId="526799D6" w14:textId="25C81E25" w:rsidR="00DD24FE" w:rsidRPr="002A0D43" w:rsidRDefault="00115E76" w:rsidP="00B95378">
                  <w:pPr>
                    <w:spacing w:before="60" w:after="60"/>
                    <w:jc w:val="center"/>
                    <w:rPr>
                      <w:rFonts w:ascii="Verdana" w:hAnsi="Verdana" w:cs="Arial"/>
                      <w:sz w:val="20"/>
                      <w:szCs w:val="20"/>
                    </w:rPr>
                  </w:pPr>
                  <w:r>
                    <w:rPr>
                      <w:rFonts w:ascii="Verdana" w:hAnsi="Verdana" w:cs="Arial"/>
                      <w:sz w:val="20"/>
                      <w:szCs w:val="20"/>
                    </w:rPr>
                    <w:t>5, 6, 7, 8</w:t>
                  </w:r>
                </w:p>
              </w:tc>
              <w:sdt>
                <w:sdtPr>
                  <w:rPr>
                    <w:rFonts w:ascii="Verdana" w:hAnsi="Verdana" w:cs="Arial"/>
                    <w:b/>
                    <w:bCs/>
                    <w:sz w:val="20"/>
                    <w:szCs w:val="20"/>
                  </w:rPr>
                  <w:alias w:val="Assurance"/>
                  <w:tag w:val="Assurance"/>
                  <w:id w:val="2105842658"/>
                  <w:placeholder>
                    <w:docPart w:val="17AC710D5BE24F0AB168B1FADDB94281"/>
                  </w:placeholder>
                  <w:comboBox>
                    <w:listItem w:value="Choose an item."/>
                    <w:listItem w:displayText="Substantial" w:value="Substantial"/>
                    <w:listItem w:displayText="Reasonable" w:value="Reasonable"/>
                    <w:listItem w:displayText="Limited" w:value="Limited"/>
                    <w:listItem w:displayText="Unsatisfactory" w:value="Unsatisfactory"/>
                  </w:comboBox>
                </w:sdtPr>
                <w:sdtEndPr/>
                <w:sdtContent>
                  <w:tc>
                    <w:tcPr>
                      <w:tcW w:w="2280" w:type="dxa"/>
                      <w:tcBorders>
                        <w:top w:val="dashed" w:sz="4" w:space="0" w:color="auto"/>
                        <w:bottom w:val="single" w:sz="4" w:space="0" w:color="auto"/>
                      </w:tcBorders>
                      <w:shd w:val="clear" w:color="auto" w:fill="FFC000"/>
                      <w:vAlign w:val="center"/>
                    </w:tcPr>
                    <w:p w14:paraId="6B85999B" w14:textId="6963814B" w:rsidR="00DD24FE" w:rsidRPr="00A27768" w:rsidRDefault="00CD1AA7" w:rsidP="00B95378">
                      <w:pPr>
                        <w:spacing w:before="60" w:after="60"/>
                        <w:jc w:val="center"/>
                        <w:rPr>
                          <w:rFonts w:ascii="Verdana" w:hAnsi="Verdana" w:cs="Arial"/>
                          <w:b/>
                          <w:bCs/>
                          <w:sz w:val="20"/>
                          <w:szCs w:val="20"/>
                        </w:rPr>
                      </w:pPr>
                      <w:r>
                        <w:rPr>
                          <w:rFonts w:ascii="Verdana" w:hAnsi="Verdana" w:cs="Arial"/>
                          <w:b/>
                          <w:bCs/>
                          <w:sz w:val="20"/>
                          <w:szCs w:val="20"/>
                        </w:rPr>
                        <w:t>Limited</w:t>
                      </w:r>
                    </w:p>
                  </w:tc>
                </w:sdtContent>
              </w:sdt>
            </w:tr>
          </w:tbl>
          <w:p w14:paraId="099DAA59" w14:textId="77777777" w:rsidR="00AC7F4C" w:rsidRPr="00AC7F4C" w:rsidRDefault="00AC7F4C" w:rsidP="00A8783F">
            <w:pPr>
              <w:spacing w:before="120" w:after="120"/>
              <w:jc w:val="right"/>
              <w:rPr>
                <w:rFonts w:ascii="Verdana" w:hAnsi="Verdana" w:cs="Arial"/>
                <w:sz w:val="24"/>
                <w:szCs w:val="24"/>
              </w:rPr>
            </w:pPr>
          </w:p>
        </w:tc>
      </w:tr>
      <w:tr w:rsidR="005C67E3" w14:paraId="7153A059" w14:textId="77777777" w:rsidTr="04E33A4D">
        <w:trPr>
          <w:trHeight w:val="113"/>
        </w:trPr>
        <w:tc>
          <w:tcPr>
            <w:tcW w:w="16161" w:type="dxa"/>
            <w:shd w:val="clear" w:color="auto" w:fill="F0F0F5"/>
          </w:tcPr>
          <w:p w14:paraId="12375F67" w14:textId="77777777" w:rsidR="005C67E3" w:rsidRPr="005C67E3" w:rsidRDefault="005C67E3" w:rsidP="005C67E3">
            <w:pPr>
              <w:rPr>
                <w:rFonts w:ascii="Verdana" w:hAnsi="Verdana" w:cs="Arial"/>
                <w:color w:val="002060"/>
                <w:sz w:val="8"/>
                <w:szCs w:val="8"/>
              </w:rPr>
            </w:pPr>
          </w:p>
        </w:tc>
      </w:tr>
      <w:tr w:rsidR="00EE1358" w:rsidRPr="00AC7F4C" w14:paraId="15115DDD" w14:textId="77777777" w:rsidTr="04E33A4D">
        <w:trPr>
          <w:trHeight w:val="2921"/>
        </w:trPr>
        <w:tc>
          <w:tcPr>
            <w:tcW w:w="16161" w:type="dxa"/>
            <w:shd w:val="clear" w:color="auto" w:fill="FFFFFF" w:themeFill="background1"/>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0"/>
              <w:gridCol w:w="5526"/>
              <w:gridCol w:w="5209"/>
            </w:tblGrid>
            <w:tr w:rsidR="00EE1358" w14:paraId="53EAAD81" w14:textId="77777777" w:rsidTr="00731CAF">
              <w:tc>
                <w:tcPr>
                  <w:tcW w:w="5311" w:type="dxa"/>
                  <w:vAlign w:val="center"/>
                </w:tcPr>
                <w:p w14:paraId="0879E91F" w14:textId="77777777" w:rsidR="00EE1358" w:rsidRDefault="00EE1358" w:rsidP="00EE1358">
                  <w:pPr>
                    <w:tabs>
                      <w:tab w:val="left" w:pos="6690"/>
                    </w:tabs>
                    <w:spacing w:before="120" w:after="120"/>
                    <w:jc w:val="center"/>
                    <w:rPr>
                      <w:rFonts w:ascii="Verdana" w:hAnsi="Verdana" w:cs="Arial"/>
                      <w:noProof/>
                      <w:sz w:val="24"/>
                      <w:szCs w:val="24"/>
                    </w:rPr>
                  </w:pPr>
                  <w:r>
                    <w:rPr>
                      <w:rFonts w:ascii="Verdana" w:hAnsi="Verdana" w:cs="Arial"/>
                      <w:color w:val="002060"/>
                      <w:sz w:val="24"/>
                      <w:szCs w:val="24"/>
                    </w:rPr>
                    <w:t>Management Actions</w:t>
                  </w:r>
                </w:p>
              </w:tc>
              <w:tc>
                <w:tcPr>
                  <w:tcW w:w="5312" w:type="dxa"/>
                  <w:vAlign w:val="center"/>
                </w:tcPr>
                <w:p w14:paraId="47F1030F" w14:textId="77777777" w:rsidR="00EE1358" w:rsidRDefault="00EE1358" w:rsidP="00EE1358">
                  <w:pPr>
                    <w:tabs>
                      <w:tab w:val="left" w:pos="6690"/>
                    </w:tabs>
                    <w:spacing w:before="120" w:after="120"/>
                    <w:jc w:val="center"/>
                    <w:rPr>
                      <w:rFonts w:ascii="Verdana" w:hAnsi="Verdana" w:cs="Arial"/>
                      <w:sz w:val="24"/>
                      <w:szCs w:val="24"/>
                    </w:rPr>
                  </w:pPr>
                  <w:r>
                    <w:rPr>
                      <w:rFonts w:ascii="Verdana" w:hAnsi="Verdana" w:cs="Arial"/>
                      <w:color w:val="002060"/>
                      <w:sz w:val="24"/>
                      <w:szCs w:val="24"/>
                    </w:rPr>
                    <w:t>Themes</w:t>
                  </w:r>
                </w:p>
              </w:tc>
              <w:tc>
                <w:tcPr>
                  <w:tcW w:w="5312" w:type="dxa"/>
                  <w:vAlign w:val="center"/>
                </w:tcPr>
                <w:p w14:paraId="040F2427" w14:textId="77777777" w:rsidR="00EE1358" w:rsidRDefault="00EE1358" w:rsidP="00EE1358">
                  <w:pPr>
                    <w:tabs>
                      <w:tab w:val="left" w:pos="6690"/>
                    </w:tabs>
                    <w:spacing w:before="120" w:after="120"/>
                    <w:jc w:val="center"/>
                    <w:rPr>
                      <w:rFonts w:ascii="Verdana" w:hAnsi="Verdana" w:cs="Arial"/>
                      <w:sz w:val="24"/>
                      <w:szCs w:val="24"/>
                    </w:rPr>
                  </w:pPr>
                  <w:r>
                    <w:rPr>
                      <w:rFonts w:ascii="Verdana" w:hAnsi="Verdana" w:cs="Arial"/>
                      <w:color w:val="002060"/>
                      <w:sz w:val="24"/>
                      <w:szCs w:val="24"/>
                    </w:rPr>
                    <w:t>Risk Types</w:t>
                  </w:r>
                </w:p>
              </w:tc>
            </w:tr>
            <w:tr w:rsidR="00EE1358" w14:paraId="5F4F09A7" w14:textId="77777777" w:rsidTr="00731CAF">
              <w:trPr>
                <w:trHeight w:val="2296"/>
              </w:trPr>
              <w:tc>
                <w:tcPr>
                  <w:tcW w:w="5311" w:type="dxa"/>
                </w:tcPr>
                <w:p w14:paraId="6D0F16AF" w14:textId="77777777" w:rsidR="00EE1358" w:rsidRDefault="00EE1358" w:rsidP="00EE1358">
                  <w:pPr>
                    <w:tabs>
                      <w:tab w:val="left" w:pos="6690"/>
                    </w:tabs>
                    <w:spacing w:before="120" w:after="120"/>
                    <w:jc w:val="center"/>
                    <w:rPr>
                      <w:rFonts w:ascii="Verdana" w:hAnsi="Verdana" w:cs="Arial"/>
                      <w:sz w:val="24"/>
                      <w:szCs w:val="24"/>
                    </w:rPr>
                  </w:pPr>
                  <w:r>
                    <w:rPr>
                      <w:rFonts w:ascii="Verdana" w:hAnsi="Verdana" w:cs="Arial"/>
                      <w:noProof/>
                      <w:sz w:val="24"/>
                      <w:szCs w:val="24"/>
                    </w:rPr>
                    <mc:AlternateContent>
                      <mc:Choice Requires="wpg">
                        <w:drawing>
                          <wp:anchor distT="0" distB="0" distL="114300" distR="114300" simplePos="0" relativeHeight="251658243" behindDoc="0" locked="0" layoutInCell="1" allowOverlap="1" wp14:anchorId="7632450C" wp14:editId="018FE775">
                            <wp:simplePos x="0" y="0"/>
                            <wp:positionH relativeFrom="column">
                              <wp:posOffset>339725</wp:posOffset>
                            </wp:positionH>
                            <wp:positionV relativeFrom="paragraph">
                              <wp:posOffset>308610</wp:posOffset>
                            </wp:positionV>
                            <wp:extent cx="2609850" cy="438150"/>
                            <wp:effectExtent l="0" t="0" r="19050" b="19050"/>
                            <wp:wrapNone/>
                            <wp:docPr id="1747316663" name="Group 4"/>
                            <wp:cNvGraphicFramePr/>
                            <a:graphic xmlns:a="http://schemas.openxmlformats.org/drawingml/2006/main">
                              <a:graphicData uri="http://schemas.microsoft.com/office/word/2010/wordprocessingGroup">
                                <wpg:wgp>
                                  <wpg:cNvGrpSpPr/>
                                  <wpg:grpSpPr>
                                    <a:xfrm>
                                      <a:off x="0" y="0"/>
                                      <a:ext cx="2609850" cy="438150"/>
                                      <a:chOff x="0" y="0"/>
                                      <a:chExt cx="2609850" cy="438150"/>
                                    </a:xfrm>
                                  </wpg:grpSpPr>
                                  <wps:wsp>
                                    <wps:cNvPr id="923184225" name="Rectangle: Rounded Corners 2"/>
                                    <wps:cNvSpPr/>
                                    <wps:spPr>
                                      <a:xfrm>
                                        <a:off x="0" y="0"/>
                                        <a:ext cx="1200150" cy="438150"/>
                                      </a:xfrm>
                                      <a:prstGeom prst="roundRect">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960A3AE" w14:textId="0F0EDB46" w:rsidR="00EE1358" w:rsidRPr="0086699D" w:rsidRDefault="00E54386" w:rsidP="00EE1358">
                                          <w:pPr>
                                            <w:jc w:val="center"/>
                                            <w:rPr>
                                              <w:rFonts w:ascii="Verdana" w:hAnsi="Verdana"/>
                                              <w:b/>
                                              <w:bCs/>
                                              <w:sz w:val="24"/>
                                              <w:szCs w:val="24"/>
                                            </w:rPr>
                                          </w:pPr>
                                          <w:r>
                                            <w:rPr>
                                              <w:rFonts w:ascii="Verdana" w:hAnsi="Verdana"/>
                                              <w:b/>
                                              <w:bCs/>
                                              <w:sz w:val="24"/>
                                              <w:szCs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8388561" name="Rectangle: Rounded Corners 2"/>
                                    <wps:cNvSpPr/>
                                    <wps:spPr>
                                      <a:xfrm>
                                        <a:off x="1409700" y="0"/>
                                        <a:ext cx="1200150" cy="438150"/>
                                      </a:xfrm>
                                      <a:prstGeom prst="round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B7451FC" w14:textId="16597352" w:rsidR="00EE1358" w:rsidRPr="0086699D" w:rsidRDefault="00E54386" w:rsidP="00EE1358">
                                          <w:pPr>
                                            <w:shd w:val="clear" w:color="auto" w:fill="FFFF00"/>
                                            <w:jc w:val="center"/>
                                            <w:rPr>
                                              <w:rFonts w:ascii="Verdana" w:hAnsi="Verdana"/>
                                              <w:b/>
                                              <w:bCs/>
                                              <w:sz w:val="24"/>
                                              <w:szCs w:val="24"/>
                                            </w:rPr>
                                          </w:pPr>
                                          <w:r>
                                            <w:rPr>
                                              <w:rFonts w:ascii="Verdana" w:hAnsi="Verdana"/>
                                              <w:b/>
                                              <w:bCs/>
                                              <w:sz w:val="24"/>
                                              <w:szCs w:val="24"/>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632450C" id="Group 4" o:spid="_x0000_s1026" style="position:absolute;left:0;text-align:left;margin-left:26.75pt;margin-top:24.3pt;width:205.5pt;height:34.5pt;z-index:251658243" coordsize="26098,4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">
                            <v:roundrect id="Rectangle: Rounded Corners 2" o:spid="_x0000_s1027" style="position:absolute;width:12001;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" fillcolor="red" strokecolor="red" strokeweight="1pt">
                              <v:stroke joinstyle="miter"/>
                              <v:textbox>
                                <w:txbxContent>
                                  <w:p w14:paraId="7960A3AE" w14:textId="0F0EDB46" w:rsidR="00EE1358" w:rsidRPr="0086699D" w:rsidRDefault="00E54386" w:rsidP="00EE1358">
                                    <w:pPr>
                                      <w:jc w:val="center"/>
                                      <w:rPr>
                                        <w:rFonts w:ascii="Verdana" w:hAnsi="Verdana"/>
                                        <w:b/>
                                        <w:bCs/>
                                        <w:sz w:val="24"/>
                                        <w:szCs w:val="24"/>
                                      </w:rPr>
                                    </w:pPr>
                                    <w:r>
                                      <w:rPr>
                                        <w:rFonts w:ascii="Verdana" w:hAnsi="Verdana"/>
                                        <w:b/>
                                        <w:bCs/>
                                        <w:sz w:val="24"/>
                                        <w:szCs w:val="24"/>
                                      </w:rPr>
                                      <w:t>2</w:t>
                                    </w:r>
                                  </w:p>
                                </w:txbxContent>
                              </v:textbox>
                            </v:roundrect>
                            <v:roundrect id="Rectangle: Rounded Corners 2" o:spid="_x0000_s1028" style="position:absolute;left:14097;width:12001;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" fillcolor="yellow" strokecolor="yellow" strokeweight="1pt">
                              <v:stroke joinstyle="miter"/>
                              <v:textbox>
                                <w:txbxContent>
                                  <w:p w14:paraId="0B7451FC" w14:textId="16597352" w:rsidR="00EE1358" w:rsidRPr="0086699D" w:rsidRDefault="00E54386" w:rsidP="00EE1358">
                                    <w:pPr>
                                      <w:shd w:val="clear" w:color="auto" w:fill="FFFF00"/>
                                      <w:jc w:val="center"/>
                                      <w:rPr>
                                        <w:rFonts w:ascii="Verdana" w:hAnsi="Verdana"/>
                                        <w:b/>
                                        <w:bCs/>
                                        <w:sz w:val="24"/>
                                        <w:szCs w:val="24"/>
                                      </w:rPr>
                                    </w:pPr>
                                    <w:r>
                                      <w:rPr>
                                        <w:rFonts w:ascii="Verdana" w:hAnsi="Verdana"/>
                                        <w:b/>
                                        <w:bCs/>
                                        <w:sz w:val="24"/>
                                        <w:szCs w:val="24"/>
                                      </w:rPr>
                                      <w:t>6</w:t>
                                    </w:r>
                                  </w:p>
                                </w:txbxContent>
                              </v:textbox>
                            </v:roundrect>
                          </v:group>
                        </w:pict>
                      </mc:Fallback>
                    </mc:AlternateContent>
                  </w:r>
                </w:p>
                <w:p w14:paraId="76E63C32" w14:textId="77777777" w:rsidR="00EE1358" w:rsidRDefault="00EE1358" w:rsidP="00EE1358">
                  <w:pPr>
                    <w:tabs>
                      <w:tab w:val="left" w:pos="6690"/>
                    </w:tabs>
                    <w:ind w:firstLine="215"/>
                    <w:jc w:val="center"/>
                    <w:rPr>
                      <w:rFonts w:ascii="Verdana" w:hAnsi="Verdana" w:cs="Arial"/>
                      <w:sz w:val="20"/>
                      <w:szCs w:val="20"/>
                    </w:rPr>
                  </w:pPr>
                </w:p>
                <w:p w14:paraId="79A0377B" w14:textId="77777777" w:rsidR="00EE1358" w:rsidRDefault="00EE1358" w:rsidP="00EE1358">
                  <w:pPr>
                    <w:tabs>
                      <w:tab w:val="left" w:pos="6690"/>
                    </w:tabs>
                    <w:spacing w:before="120" w:after="120"/>
                    <w:ind w:firstLine="215"/>
                    <w:jc w:val="center"/>
                    <w:rPr>
                      <w:rFonts w:ascii="Verdana" w:hAnsi="Verdana" w:cs="Arial"/>
                      <w:sz w:val="20"/>
                      <w:szCs w:val="20"/>
                    </w:rPr>
                  </w:pPr>
                </w:p>
                <w:p w14:paraId="127D6A7D" w14:textId="25C188C5" w:rsidR="00EE1358" w:rsidRPr="00AD43CE" w:rsidRDefault="0048707A" w:rsidP="00EE1358">
                  <w:pPr>
                    <w:tabs>
                      <w:tab w:val="left" w:pos="6690"/>
                    </w:tabs>
                    <w:spacing w:before="120" w:after="120"/>
                    <w:ind w:firstLine="215"/>
                    <w:jc w:val="center"/>
                    <w:rPr>
                      <w:rFonts w:ascii="Verdana" w:hAnsi="Verdana" w:cs="Arial"/>
                      <w:sz w:val="20"/>
                      <w:szCs w:val="20"/>
                    </w:rPr>
                  </w:pPr>
                  <w:r>
                    <w:rPr>
                      <w:rFonts w:ascii="Verdana" w:hAnsi="Verdana" w:cs="Arial"/>
                      <w:sz w:val="20"/>
                      <w:szCs w:val="20"/>
                    </w:rPr>
                    <w:t xml:space="preserve">   </w:t>
                  </w:r>
                  <w:r w:rsidR="00EE1358" w:rsidRPr="00E16DB2">
                    <w:rPr>
                      <w:rFonts w:ascii="Verdana" w:hAnsi="Verdana" w:cs="Arial"/>
                      <w:sz w:val="20"/>
                      <w:szCs w:val="20"/>
                    </w:rPr>
                    <w:t xml:space="preserve">High Priority      </w:t>
                  </w:r>
                  <w:r w:rsidR="00EE1358">
                    <w:rPr>
                      <w:rFonts w:ascii="Verdana" w:hAnsi="Verdana" w:cs="Arial"/>
                      <w:sz w:val="20"/>
                      <w:szCs w:val="20"/>
                    </w:rPr>
                    <w:t xml:space="preserve">      </w:t>
                  </w:r>
                  <w:r w:rsidR="00EE1358" w:rsidRPr="00E16DB2">
                    <w:rPr>
                      <w:rFonts w:ascii="Verdana" w:hAnsi="Verdana" w:cs="Arial"/>
                      <w:sz w:val="20"/>
                      <w:szCs w:val="20"/>
                    </w:rPr>
                    <w:t>Medium Priority</w:t>
                  </w:r>
                </w:p>
              </w:tc>
              <w:tc>
                <w:tcPr>
                  <w:tcW w:w="5312" w:type="dxa"/>
                </w:tcPr>
                <w:p w14:paraId="706AFA2D" w14:textId="77777777" w:rsidR="00EE1358" w:rsidRPr="005F7F5C" w:rsidRDefault="00EE1358" w:rsidP="00EE1358">
                  <w:pPr>
                    <w:tabs>
                      <w:tab w:val="left" w:pos="6690"/>
                    </w:tabs>
                    <w:spacing w:before="120" w:after="120"/>
                    <w:rPr>
                      <w:rFonts w:ascii="Verdana" w:hAnsi="Verdana" w:cs="Arial"/>
                      <w:color w:val="FFFFFF" w:themeColor="background1"/>
                      <w:sz w:val="24"/>
                      <w:szCs w:val="24"/>
                    </w:rPr>
                  </w:pPr>
                  <w:r w:rsidRPr="005F7F5C">
                    <w:rPr>
                      <w:rFonts w:ascii="Verdana" w:hAnsi="Verdana" w:cs="Arial"/>
                      <w:noProof/>
                      <w:color w:val="FFFFFF" w:themeColor="background1"/>
                      <w:sz w:val="24"/>
                      <w:szCs w:val="24"/>
                    </w:rPr>
                    <w:drawing>
                      <wp:inline distT="0" distB="0" distL="0" distR="0" wp14:anchorId="08AF1DFE" wp14:editId="02355762">
                        <wp:extent cx="3371850" cy="1323975"/>
                        <wp:effectExtent l="0" t="0" r="0" b="0"/>
                        <wp:docPr id="89992266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c>
                <w:tcPr>
                  <w:tcW w:w="5312"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7"/>
                  </w:tblGrid>
                  <w:tr w:rsidR="00EE1358" w:rsidRPr="00252CCE" w14:paraId="201B90B3" w14:textId="77777777">
                    <w:tc>
                      <w:tcPr>
                        <w:tcW w:w="4967" w:type="dxa"/>
                        <w:vAlign w:val="bottom"/>
                      </w:tcPr>
                      <w:p w14:paraId="530C7619" w14:textId="77777777" w:rsidR="00EE1358" w:rsidRPr="00252CCE" w:rsidRDefault="00EE1358" w:rsidP="00EE1358">
                        <w:pPr>
                          <w:tabs>
                            <w:tab w:val="left" w:pos="6690"/>
                          </w:tabs>
                          <w:spacing w:before="120" w:after="120"/>
                          <w:jc w:val="center"/>
                          <w:rPr>
                            <w:rFonts w:ascii="Verdana" w:hAnsi="Verdana" w:cs="Arial"/>
                            <w:sz w:val="2"/>
                            <w:szCs w:val="2"/>
                          </w:rPr>
                        </w:pPr>
                      </w:p>
                    </w:tc>
                  </w:tr>
                  <w:tr w:rsidR="00EE1358" w14:paraId="56E3728F" w14:textId="77777777">
                    <w:sdt>
                      <w:sdtPr>
                        <w:rPr>
                          <w:rFonts w:ascii="Verdana" w:hAnsi="Verdana" w:cs="Arial"/>
                          <w:sz w:val="20"/>
                          <w:szCs w:val="20"/>
                        </w:rPr>
                        <w:alias w:val="Risk Type"/>
                        <w:tag w:val="Risk Type"/>
                        <w:id w:val="553208704"/>
                        <w:placeholder>
                          <w:docPart w:val="E0D0434D25AE44A39406CC4926A9ED8A"/>
                        </w:placeholder>
                        <w:comboBox>
                          <w:listItem w:value="Choose an item."/>
                          <w:listItem w:displayText="Financial Loss" w:value="Financial Loss"/>
                          <w:listItem w:displayText="Quality or Safety Issues" w:value="Quality or Safety Issues"/>
                          <w:listItem w:displayText="Legal &amp; Regulatory Non-Compliance" w:value="Legal &amp; Regulatory Non-Compliance"/>
                          <w:listItem w:displayText="Public Perception &amp; Reputational Risk" w:value="Public Perception &amp; Reputational Risk"/>
                        </w:comboBox>
                      </w:sdtPr>
                      <w:sdtEndPr/>
                      <w:sdtContent>
                        <w:tc>
                          <w:tcPr>
                            <w:tcW w:w="4967" w:type="dxa"/>
                            <w:vAlign w:val="bottom"/>
                          </w:tcPr>
                          <w:p w14:paraId="5C8AE0EB" w14:textId="54A8AB14" w:rsidR="00EE1358" w:rsidRPr="007553BD" w:rsidRDefault="006D0609" w:rsidP="00EE1358">
                            <w:pPr>
                              <w:tabs>
                                <w:tab w:val="left" w:pos="6690"/>
                              </w:tabs>
                              <w:spacing w:before="120" w:after="120"/>
                              <w:jc w:val="center"/>
                              <w:rPr>
                                <w:rFonts w:ascii="Verdana" w:hAnsi="Verdana" w:cs="Arial"/>
                                <w:sz w:val="20"/>
                                <w:szCs w:val="20"/>
                              </w:rPr>
                            </w:pPr>
                            <w:r>
                              <w:rPr>
                                <w:rFonts w:ascii="Verdana" w:hAnsi="Verdana" w:cs="Arial"/>
                                <w:sz w:val="20"/>
                                <w:szCs w:val="20"/>
                              </w:rPr>
                              <w:t>Quality or Safety Issues</w:t>
                            </w:r>
                          </w:p>
                        </w:tc>
                      </w:sdtContent>
                    </w:sdt>
                  </w:tr>
                  <w:tr w:rsidR="00EE1358" w14:paraId="3F3AC04E" w14:textId="77777777">
                    <w:sdt>
                      <w:sdtPr>
                        <w:rPr>
                          <w:rFonts w:ascii="Verdana" w:hAnsi="Verdana" w:cs="Arial"/>
                          <w:sz w:val="20"/>
                          <w:szCs w:val="20"/>
                        </w:rPr>
                        <w:alias w:val="Risk Type"/>
                        <w:tag w:val="Risk Type"/>
                        <w:id w:val="-451558168"/>
                        <w:placeholder>
                          <w:docPart w:val="30D0F6B42825495EB958C7AC9B607D1D"/>
                        </w:placeholder>
                        <w:comboBox>
                          <w:listItem w:value="Choose an item."/>
                          <w:listItem w:displayText="Financial Loss" w:value="Financial Loss"/>
                          <w:listItem w:displayText="Quality or Safety Issues" w:value="Quality or Safety Issues"/>
                          <w:listItem w:displayText="Legal &amp; Regulatory Non-Compliance" w:value="Legal &amp; Regulatory Non-Compliance"/>
                          <w:listItem w:displayText="Public Perception &amp; Reputational Risk" w:value="Public Perception &amp; Reputational Risk"/>
                        </w:comboBox>
                      </w:sdtPr>
                      <w:sdtEndPr/>
                      <w:sdtContent>
                        <w:tc>
                          <w:tcPr>
                            <w:tcW w:w="4967" w:type="dxa"/>
                            <w:vAlign w:val="bottom"/>
                          </w:tcPr>
                          <w:p w14:paraId="6EAEB3F5" w14:textId="5DC734B4" w:rsidR="00EE1358" w:rsidRPr="007553BD" w:rsidRDefault="006D0609" w:rsidP="00EE1358">
                            <w:pPr>
                              <w:tabs>
                                <w:tab w:val="left" w:pos="6690"/>
                              </w:tabs>
                              <w:spacing w:before="120" w:after="120"/>
                              <w:jc w:val="center"/>
                              <w:rPr>
                                <w:rFonts w:ascii="Verdana" w:hAnsi="Verdana" w:cs="Arial"/>
                                <w:sz w:val="20"/>
                                <w:szCs w:val="20"/>
                              </w:rPr>
                            </w:pPr>
                            <w:r>
                              <w:rPr>
                                <w:rFonts w:ascii="Verdana" w:hAnsi="Verdana" w:cs="Arial"/>
                                <w:sz w:val="20"/>
                                <w:szCs w:val="20"/>
                              </w:rPr>
                              <w:t>Public Perception &amp; Reputational Risk</w:t>
                            </w:r>
                          </w:p>
                        </w:tc>
                      </w:sdtContent>
                    </w:sdt>
                  </w:tr>
                  <w:tr w:rsidR="00EE1358" w14:paraId="5BA27A4C" w14:textId="77777777">
                    <w:sdt>
                      <w:sdtPr>
                        <w:rPr>
                          <w:rFonts w:ascii="Verdana" w:hAnsi="Verdana" w:cs="Arial"/>
                          <w:sz w:val="20"/>
                          <w:szCs w:val="20"/>
                        </w:rPr>
                        <w:alias w:val="Risk Type"/>
                        <w:tag w:val="Risk Type"/>
                        <w:id w:val="-1636559186"/>
                        <w:placeholder>
                          <w:docPart w:val="C5759FE585794CACB2397E7BC43F6DA3"/>
                        </w:placeholder>
                        <w:showingPlcHdr/>
                        <w:comboBox>
                          <w:listItem w:value="Choose an item."/>
                          <w:listItem w:displayText="Financial Loss" w:value="Financial Loss"/>
                          <w:listItem w:displayText="Quality or Safety Issues" w:value="Quality or Safety Issues"/>
                          <w:listItem w:displayText="Legal &amp; Regulatory Non-Compliance" w:value="Legal &amp; Regulatory Non-Compliance"/>
                          <w:listItem w:displayText="Public Perception &amp; Reputational Risk" w:value="Public Perception &amp; Reputational Risk"/>
                        </w:comboBox>
                      </w:sdtPr>
                      <w:sdtEndPr/>
                      <w:sdtContent>
                        <w:tc>
                          <w:tcPr>
                            <w:tcW w:w="4967" w:type="dxa"/>
                            <w:vAlign w:val="bottom"/>
                          </w:tcPr>
                          <w:p w14:paraId="4BF04561" w14:textId="77777777" w:rsidR="00EE1358" w:rsidRPr="007553BD" w:rsidRDefault="00EE1358" w:rsidP="00EE1358">
                            <w:pPr>
                              <w:tabs>
                                <w:tab w:val="left" w:pos="6690"/>
                              </w:tabs>
                              <w:spacing w:before="120" w:after="120"/>
                              <w:jc w:val="center"/>
                              <w:rPr>
                                <w:rFonts w:ascii="Verdana" w:hAnsi="Verdana" w:cs="Arial"/>
                                <w:sz w:val="20"/>
                                <w:szCs w:val="20"/>
                              </w:rPr>
                            </w:pPr>
                            <w:r w:rsidRPr="00E870F8">
                              <w:rPr>
                                <w:rStyle w:val="PlaceholderText"/>
                              </w:rPr>
                              <w:t>Choose an item.</w:t>
                            </w:r>
                          </w:p>
                        </w:tc>
                      </w:sdtContent>
                    </w:sdt>
                  </w:tr>
                  <w:tr w:rsidR="00EE1358" w14:paraId="77D4C980" w14:textId="77777777">
                    <w:sdt>
                      <w:sdtPr>
                        <w:rPr>
                          <w:rFonts w:ascii="Verdana" w:hAnsi="Verdana" w:cs="Arial"/>
                          <w:sz w:val="20"/>
                          <w:szCs w:val="20"/>
                        </w:rPr>
                        <w:alias w:val="Risk Type"/>
                        <w:tag w:val="Risk Type"/>
                        <w:id w:val="-2097775493"/>
                        <w:placeholder>
                          <w:docPart w:val="ABAAF1F27E824616A4FF773F365ABF8A"/>
                        </w:placeholder>
                        <w:showingPlcHdr/>
                        <w:comboBox>
                          <w:listItem w:value="Choose an item."/>
                          <w:listItem w:displayText="Financial Loss" w:value="Financial Loss"/>
                          <w:listItem w:displayText="Quality or Safety Issues" w:value="Quality or Safety Issues"/>
                          <w:listItem w:displayText="Legal &amp; Regulatory Non-Compliance" w:value="Legal &amp; Regulatory Non-Compliance"/>
                          <w:listItem w:displayText="Public Perception &amp; Reputational Risk" w:value="Public Perception &amp; Reputational Risk"/>
                        </w:comboBox>
                      </w:sdtPr>
                      <w:sdtEndPr/>
                      <w:sdtContent>
                        <w:tc>
                          <w:tcPr>
                            <w:tcW w:w="4967" w:type="dxa"/>
                            <w:vAlign w:val="bottom"/>
                          </w:tcPr>
                          <w:p w14:paraId="033A8A35" w14:textId="77777777" w:rsidR="00EE1358" w:rsidRPr="007553BD" w:rsidRDefault="00EE1358" w:rsidP="00EE1358">
                            <w:pPr>
                              <w:tabs>
                                <w:tab w:val="left" w:pos="6690"/>
                              </w:tabs>
                              <w:spacing w:before="120" w:after="120"/>
                              <w:jc w:val="center"/>
                              <w:rPr>
                                <w:rFonts w:ascii="Verdana" w:hAnsi="Verdana" w:cs="Arial"/>
                                <w:sz w:val="20"/>
                                <w:szCs w:val="20"/>
                              </w:rPr>
                            </w:pPr>
                            <w:r w:rsidRPr="00E870F8">
                              <w:rPr>
                                <w:rStyle w:val="PlaceholderText"/>
                              </w:rPr>
                              <w:t>Choose an item.</w:t>
                            </w:r>
                          </w:p>
                        </w:tc>
                      </w:sdtContent>
                    </w:sdt>
                  </w:tr>
                </w:tbl>
                <w:p w14:paraId="394320D3" w14:textId="77777777" w:rsidR="00EE1358" w:rsidRDefault="00EE1358" w:rsidP="00EE1358">
                  <w:pPr>
                    <w:tabs>
                      <w:tab w:val="left" w:pos="6690"/>
                    </w:tabs>
                    <w:spacing w:before="120" w:after="120"/>
                    <w:rPr>
                      <w:rFonts w:ascii="Verdana" w:hAnsi="Verdana" w:cs="Arial"/>
                      <w:sz w:val="24"/>
                      <w:szCs w:val="24"/>
                    </w:rPr>
                  </w:pPr>
                </w:p>
              </w:tc>
            </w:tr>
          </w:tbl>
          <w:p w14:paraId="4707E60D" w14:textId="77777777" w:rsidR="00EE1358" w:rsidRPr="00AC7F4C" w:rsidRDefault="00EE1358" w:rsidP="00EE1358">
            <w:pPr>
              <w:spacing w:before="120" w:after="120"/>
              <w:rPr>
                <w:rFonts w:ascii="Verdana" w:hAnsi="Verdana" w:cs="Arial"/>
                <w:sz w:val="24"/>
                <w:szCs w:val="24"/>
              </w:rPr>
            </w:pPr>
          </w:p>
        </w:tc>
      </w:tr>
    </w:tbl>
    <w:p w14:paraId="70F97059" w14:textId="75C9D8F1" w:rsidR="00F82A43" w:rsidRDefault="00F82A43" w:rsidP="009D2DF3">
      <w:pPr>
        <w:rPr>
          <w:rFonts w:ascii="Verdana" w:hAnsi="Verdana" w:cs="Arial"/>
          <w:color w:val="002060"/>
          <w:sz w:val="36"/>
          <w:szCs w:val="36"/>
          <w:highlight w:val="yellow"/>
        </w:rPr>
      </w:pPr>
    </w:p>
    <w:p w14:paraId="229629AF" w14:textId="7F264846" w:rsidR="00B95378" w:rsidRDefault="00F82A43" w:rsidP="009D2DF3">
      <w:pPr>
        <w:rPr>
          <w:rFonts w:ascii="Verdana" w:hAnsi="Verdana" w:cs="Arial"/>
          <w:color w:val="002060"/>
          <w:sz w:val="36"/>
          <w:szCs w:val="36"/>
        </w:rPr>
      </w:pPr>
      <w:r>
        <w:rPr>
          <w:rFonts w:ascii="Verdana" w:hAnsi="Verdana" w:cs="Arial"/>
          <w:color w:val="002060"/>
          <w:sz w:val="36"/>
          <w:szCs w:val="36"/>
          <w:highlight w:val="yellow"/>
        </w:rPr>
        <w:br w:type="page"/>
      </w:r>
    </w:p>
    <w:p w14:paraId="1D0B895D" w14:textId="2ADDDFF1" w:rsidR="00682EB6" w:rsidRPr="00B167F9" w:rsidRDefault="00682EB6" w:rsidP="00D84C90">
      <w:pPr>
        <w:pStyle w:val="Heading1"/>
        <w:spacing w:after="120"/>
        <w:ind w:left="-426"/>
        <w:rPr>
          <w:rFonts w:ascii="Verdana" w:hAnsi="Verdana"/>
          <w:sz w:val="36"/>
          <w:szCs w:val="36"/>
        </w:rPr>
      </w:pPr>
      <w:bookmarkStart w:id="3" w:name="_Toc211856088"/>
      <w:bookmarkStart w:id="4" w:name="FindAP"/>
      <w:r w:rsidRPr="00B167F9">
        <w:rPr>
          <w:rFonts w:ascii="Verdana" w:hAnsi="Verdana"/>
          <w:color w:val="002060"/>
          <w:sz w:val="36"/>
          <w:szCs w:val="36"/>
        </w:rPr>
        <w:lastRenderedPageBreak/>
        <w:t xml:space="preserve">Findings &amp; </w:t>
      </w:r>
      <w:r w:rsidR="00264529" w:rsidRPr="00B167F9">
        <w:rPr>
          <w:rFonts w:ascii="Verdana" w:hAnsi="Verdana"/>
          <w:color w:val="002060"/>
          <w:sz w:val="36"/>
          <w:szCs w:val="36"/>
        </w:rPr>
        <w:t xml:space="preserve">Agreed </w:t>
      </w:r>
      <w:r w:rsidRPr="00B167F9">
        <w:rPr>
          <w:rFonts w:ascii="Verdana" w:hAnsi="Verdana"/>
          <w:color w:val="002060"/>
          <w:sz w:val="36"/>
          <w:szCs w:val="36"/>
        </w:rPr>
        <w:t>Action Plan</w:t>
      </w:r>
      <w:bookmarkEnd w:id="3"/>
      <w:r w:rsidR="0099281E" w:rsidRPr="00B167F9">
        <w:rPr>
          <w:rFonts w:ascii="Verdana" w:hAnsi="Verdana"/>
          <w:color w:val="002060"/>
          <w:sz w:val="36"/>
          <w:szCs w:val="36"/>
        </w:rPr>
        <w:t xml:space="preserve"> </w:t>
      </w:r>
      <w:bookmarkEnd w:id="4"/>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4551"/>
        <w:gridCol w:w="1615"/>
      </w:tblGrid>
      <w:tr w:rsidR="00CF2367" w:rsidRPr="000929B0" w14:paraId="53EDBA9B" w14:textId="77777777" w:rsidTr="008B5E08">
        <w:tc>
          <w:tcPr>
            <w:tcW w:w="14551" w:type="dxa"/>
            <w:tcBorders>
              <w:top w:val="nil"/>
              <w:left w:val="nil"/>
              <w:bottom w:val="nil"/>
              <w:right w:val="nil"/>
            </w:tcBorders>
            <w:shd w:val="clear" w:color="auto" w:fill="002060"/>
            <w:vAlign w:val="center"/>
          </w:tcPr>
          <w:bookmarkEnd w:id="2"/>
          <w:p w14:paraId="7EBB7903" w14:textId="5C6F20A9" w:rsidR="00CF2367" w:rsidRPr="000929B0" w:rsidRDefault="00CF2367" w:rsidP="00A04777">
            <w:pPr>
              <w:spacing w:before="120" w:after="120"/>
              <w:jc w:val="both"/>
              <w:rPr>
                <w:rFonts w:ascii="Verdana" w:hAnsi="Verdana"/>
              </w:rPr>
            </w:pPr>
            <w:r w:rsidRPr="000929B0">
              <w:rPr>
                <w:rFonts w:ascii="Verdana" w:hAnsi="Verdana"/>
                <w:b/>
                <w:bCs/>
              </w:rPr>
              <w:t>Objective 1:</w:t>
            </w:r>
            <w:r w:rsidRPr="000929B0">
              <w:rPr>
                <w:rFonts w:ascii="Verdana" w:hAnsi="Verdana"/>
              </w:rPr>
              <w:t xml:space="preserve"> </w:t>
            </w:r>
            <w:r w:rsidR="008262B2" w:rsidRPr="008262B2">
              <w:rPr>
                <w:rFonts w:ascii="Verdana" w:hAnsi="Verdana"/>
              </w:rPr>
              <w:t>Appropriate governance arrangements have been established to manage the six domains of the NHS Wales Escalation and Oversight Framework</w:t>
            </w:r>
            <w:r w:rsidR="0054358F" w:rsidRPr="0054358F">
              <w:rPr>
                <w:rFonts w:ascii="Verdana" w:hAnsi="Verdana"/>
              </w:rPr>
              <w:t>.</w:t>
            </w:r>
          </w:p>
        </w:tc>
        <w:tc>
          <w:tcPr>
            <w:tcW w:w="1615" w:type="dxa"/>
            <w:tcBorders>
              <w:top w:val="nil"/>
              <w:left w:val="nil"/>
              <w:bottom w:val="nil"/>
              <w:right w:val="nil"/>
            </w:tcBorders>
            <w:shd w:val="clear" w:color="auto" w:fill="FFC000"/>
            <w:vAlign w:val="center"/>
          </w:tcPr>
          <w:p w14:paraId="0FD75BE9" w14:textId="25296C5B" w:rsidR="00CF2367" w:rsidRPr="004963E2" w:rsidRDefault="008B5E08" w:rsidP="00CB1224">
            <w:pPr>
              <w:spacing w:before="120" w:after="120"/>
              <w:jc w:val="center"/>
              <w:rPr>
                <w:rFonts w:ascii="Verdana" w:hAnsi="Verdana"/>
              </w:rPr>
            </w:pPr>
            <w:r>
              <w:rPr>
                <w:rFonts w:ascii="Verdana" w:hAnsi="Verdana"/>
                <w:b/>
                <w:bCs/>
              </w:rPr>
              <w:t>Limited</w:t>
            </w:r>
          </w:p>
        </w:tc>
      </w:tr>
      <w:tr w:rsidR="00DD24FE" w:rsidRPr="000929B0" w14:paraId="0A7D8C6E" w14:textId="77777777" w:rsidTr="00F92AED">
        <w:tc>
          <w:tcPr>
            <w:tcW w:w="16166" w:type="dxa"/>
            <w:gridSpan w:val="2"/>
            <w:tcBorders>
              <w:top w:val="nil"/>
              <w:left w:val="nil"/>
              <w:bottom w:val="nil"/>
              <w:right w:val="nil"/>
            </w:tcBorders>
            <w:shd w:val="clear" w:color="auto" w:fill="FFFFFF" w:themeFill="background1"/>
          </w:tcPr>
          <w:p w14:paraId="28474B11" w14:textId="77777777" w:rsidR="00DF7BD2" w:rsidRPr="007C4D37" w:rsidRDefault="00CF7EF6" w:rsidP="001C19A9">
            <w:pPr>
              <w:spacing w:before="120" w:after="120"/>
              <w:jc w:val="both"/>
              <w:rPr>
                <w:rFonts w:ascii="Verdana" w:hAnsi="Verdana" w:cs="Arial"/>
              </w:rPr>
            </w:pPr>
            <w:r w:rsidRPr="007C4D37">
              <w:rPr>
                <w:rFonts w:ascii="Verdana" w:hAnsi="Verdana" w:cs="Arial"/>
                <w:u w:val="single"/>
              </w:rPr>
              <w:t>Governance</w:t>
            </w:r>
            <w:r w:rsidRPr="007C4D37">
              <w:rPr>
                <w:rFonts w:ascii="Verdana" w:hAnsi="Verdana" w:cs="Arial"/>
              </w:rPr>
              <w:t xml:space="preserve"> </w:t>
            </w:r>
          </w:p>
          <w:p w14:paraId="50B6E21C" w14:textId="3EA07A0C" w:rsidR="00510AA8" w:rsidRPr="007C4D37" w:rsidRDefault="000A6E36" w:rsidP="001C19A9">
            <w:pPr>
              <w:spacing w:before="120" w:after="120"/>
              <w:jc w:val="both"/>
              <w:rPr>
                <w:rFonts w:ascii="Verdana" w:hAnsi="Verdana" w:cs="Arial"/>
              </w:rPr>
            </w:pPr>
            <w:r w:rsidRPr="007C4D37">
              <w:rPr>
                <w:rFonts w:ascii="Verdana" w:hAnsi="Verdana" w:cs="Arial"/>
              </w:rPr>
              <w:t>I</w:t>
            </w:r>
            <w:r w:rsidR="00E06810" w:rsidRPr="007C4D37">
              <w:rPr>
                <w:rFonts w:ascii="Verdana" w:hAnsi="Verdana" w:cs="Arial"/>
              </w:rPr>
              <w:t xml:space="preserve">n May 2024, the Board received an initial outline of the governance structures and work programmes established to support the </w:t>
            </w:r>
            <w:r w:rsidR="008B5E08" w:rsidRPr="007C4D37">
              <w:rPr>
                <w:rFonts w:ascii="Verdana" w:hAnsi="Verdana" w:cs="Arial"/>
              </w:rPr>
              <w:t>h</w:t>
            </w:r>
            <w:r w:rsidR="00E06810" w:rsidRPr="007C4D37">
              <w:rPr>
                <w:rFonts w:ascii="Verdana" w:hAnsi="Verdana" w:cs="Arial"/>
              </w:rPr>
              <w:t xml:space="preserve">ealth </w:t>
            </w:r>
            <w:r w:rsidR="008B5E08" w:rsidRPr="007C4D37">
              <w:rPr>
                <w:rFonts w:ascii="Verdana" w:hAnsi="Verdana" w:cs="Arial"/>
              </w:rPr>
              <w:t>b</w:t>
            </w:r>
            <w:r w:rsidR="00E06810" w:rsidRPr="007C4D37">
              <w:rPr>
                <w:rFonts w:ascii="Verdana" w:hAnsi="Verdana" w:cs="Arial"/>
              </w:rPr>
              <w:t xml:space="preserve">oard’s response to </w:t>
            </w:r>
            <w:r w:rsidR="00CB1FB7" w:rsidRPr="007C4D37">
              <w:rPr>
                <w:rFonts w:ascii="Verdana" w:hAnsi="Verdana" w:cs="Arial"/>
              </w:rPr>
              <w:t>its</w:t>
            </w:r>
            <w:r w:rsidR="00E06810" w:rsidRPr="007C4D37">
              <w:rPr>
                <w:rFonts w:ascii="Verdana" w:hAnsi="Verdana" w:cs="Arial"/>
              </w:rPr>
              <w:t xml:space="preserve"> escalation</w:t>
            </w:r>
            <w:r w:rsidR="00863759" w:rsidRPr="007C4D37">
              <w:rPr>
                <w:rFonts w:ascii="Verdana" w:hAnsi="Verdana" w:cs="Arial"/>
              </w:rPr>
              <w:t xml:space="preserve"> into TI</w:t>
            </w:r>
            <w:r w:rsidR="00E06810" w:rsidRPr="007C4D37">
              <w:rPr>
                <w:rFonts w:ascii="Verdana" w:hAnsi="Verdana" w:cs="Arial"/>
              </w:rPr>
              <w:t>. This included a series of proposed actions aimed at improving performance in the escalated areas, alongside confirmation of leadership arrangements</w:t>
            </w:r>
            <w:r w:rsidR="000F730C" w:rsidRPr="007C4D37">
              <w:rPr>
                <w:rFonts w:ascii="Verdana" w:hAnsi="Verdana" w:cs="Arial"/>
              </w:rPr>
              <w:t xml:space="preserve"> with</w:t>
            </w:r>
            <w:r w:rsidR="00E06810" w:rsidRPr="007C4D37">
              <w:rPr>
                <w:rFonts w:ascii="Verdana" w:hAnsi="Verdana" w:cs="Arial"/>
              </w:rPr>
              <w:t xml:space="preserve"> the Chief Operating Officer</w:t>
            </w:r>
            <w:r w:rsidR="00D979CD">
              <w:rPr>
                <w:rFonts w:ascii="Verdana" w:hAnsi="Verdana" w:cs="Arial"/>
              </w:rPr>
              <w:t xml:space="preserve"> (COO)</w:t>
            </w:r>
            <w:r w:rsidR="00E06810" w:rsidRPr="007C4D37">
              <w:rPr>
                <w:rFonts w:ascii="Verdana" w:hAnsi="Verdana" w:cs="Arial"/>
              </w:rPr>
              <w:t xml:space="preserve"> appointed as the Senior Responsible Officer (SRO) for the TI programme. A TI Oversight Group was established to coordinate the response, supported by dedicated improvement groups</w:t>
            </w:r>
            <w:r w:rsidR="006A1D21" w:rsidRPr="007C4D37">
              <w:rPr>
                <w:rFonts w:ascii="Verdana" w:hAnsi="Verdana" w:cs="Arial"/>
              </w:rPr>
              <w:t xml:space="preserve"> across </w:t>
            </w:r>
            <w:r w:rsidR="005525FC">
              <w:rPr>
                <w:rFonts w:ascii="Verdana" w:hAnsi="Verdana" w:cs="Arial"/>
              </w:rPr>
              <w:t xml:space="preserve">the affected </w:t>
            </w:r>
            <w:r w:rsidR="006A1D21" w:rsidRPr="007C4D37">
              <w:rPr>
                <w:rFonts w:ascii="Verdana" w:hAnsi="Verdana" w:cs="Arial"/>
              </w:rPr>
              <w:t>areas</w:t>
            </w:r>
            <w:r w:rsidR="00E06810" w:rsidRPr="007C4D37">
              <w:rPr>
                <w:rFonts w:ascii="Verdana" w:hAnsi="Verdana" w:cs="Arial"/>
              </w:rPr>
              <w:t>.</w:t>
            </w:r>
            <w:r w:rsidR="00C4124A" w:rsidRPr="007C4D37">
              <w:rPr>
                <w:rFonts w:ascii="Verdana" w:hAnsi="Verdana" w:cs="Arial"/>
              </w:rPr>
              <w:t xml:space="preserve"> </w:t>
            </w:r>
            <w:r w:rsidR="00E06810" w:rsidRPr="007C4D37">
              <w:rPr>
                <w:rFonts w:ascii="Verdana" w:hAnsi="Verdana" w:cs="Arial"/>
              </w:rPr>
              <w:t>However, subsequent discussions with management confirmed that these TI-specific structures have since been stood down</w:t>
            </w:r>
            <w:r w:rsidR="000F730C" w:rsidRPr="007C4D37">
              <w:rPr>
                <w:rFonts w:ascii="Verdana" w:hAnsi="Verdana" w:cs="Arial"/>
              </w:rPr>
              <w:t xml:space="preserve"> or </w:t>
            </w:r>
            <w:r w:rsidR="00156875" w:rsidRPr="007C4D37">
              <w:rPr>
                <w:rFonts w:ascii="Verdana" w:hAnsi="Verdana" w:cs="Arial"/>
              </w:rPr>
              <w:t>paused</w:t>
            </w:r>
            <w:r w:rsidR="00E06810" w:rsidRPr="007C4D37">
              <w:rPr>
                <w:rFonts w:ascii="Verdana" w:hAnsi="Verdana" w:cs="Arial"/>
              </w:rPr>
              <w:t xml:space="preserve">. </w:t>
            </w:r>
            <w:r w:rsidR="00A750A9" w:rsidRPr="007C4D37">
              <w:rPr>
                <w:rFonts w:ascii="Verdana" w:hAnsi="Verdana" w:cs="Arial"/>
              </w:rPr>
              <w:t xml:space="preserve">As a </w:t>
            </w:r>
            <w:r w:rsidR="0088642F" w:rsidRPr="007C4D37">
              <w:rPr>
                <w:rFonts w:ascii="Verdana" w:hAnsi="Verdana" w:cs="Arial"/>
              </w:rPr>
              <w:t>result,</w:t>
            </w:r>
            <w:r w:rsidR="00A750A9" w:rsidRPr="007C4D37">
              <w:rPr>
                <w:rFonts w:ascii="Verdana" w:hAnsi="Verdana" w:cs="Arial"/>
              </w:rPr>
              <w:t xml:space="preserve"> the</w:t>
            </w:r>
            <w:r w:rsidR="00E06810" w:rsidRPr="007C4D37">
              <w:rPr>
                <w:rFonts w:ascii="Verdana" w:hAnsi="Verdana" w:cs="Arial"/>
              </w:rPr>
              <w:t xml:space="preserve"> </w:t>
            </w:r>
            <w:r w:rsidR="00156875" w:rsidRPr="007C4D37">
              <w:rPr>
                <w:rFonts w:ascii="Verdana" w:hAnsi="Verdana" w:cs="Arial"/>
              </w:rPr>
              <w:t>h</w:t>
            </w:r>
            <w:r w:rsidR="00E06810" w:rsidRPr="007C4D37">
              <w:rPr>
                <w:rFonts w:ascii="Verdana" w:hAnsi="Verdana" w:cs="Arial"/>
              </w:rPr>
              <w:t xml:space="preserve">ealth </w:t>
            </w:r>
            <w:r w:rsidR="00156875" w:rsidRPr="007C4D37">
              <w:rPr>
                <w:rFonts w:ascii="Verdana" w:hAnsi="Verdana" w:cs="Arial"/>
              </w:rPr>
              <w:t>b</w:t>
            </w:r>
            <w:r w:rsidR="00E06810" w:rsidRPr="007C4D37">
              <w:rPr>
                <w:rFonts w:ascii="Verdana" w:hAnsi="Verdana" w:cs="Arial"/>
              </w:rPr>
              <w:t xml:space="preserve">oard has reverted to its established business-as-usual groups </w:t>
            </w:r>
            <w:r w:rsidR="00A23B4B" w:rsidRPr="007C4D37">
              <w:rPr>
                <w:rFonts w:ascii="Verdana" w:hAnsi="Verdana" w:cs="Arial"/>
              </w:rPr>
              <w:t xml:space="preserve">for continued oversight </w:t>
            </w:r>
            <w:r w:rsidR="00A750A9" w:rsidRPr="007C4D37">
              <w:rPr>
                <w:rFonts w:ascii="Verdana" w:hAnsi="Verdana" w:cs="Arial"/>
              </w:rPr>
              <w:t>of</w:t>
            </w:r>
            <w:r w:rsidR="00A23B4B" w:rsidRPr="007C4D37">
              <w:rPr>
                <w:rFonts w:ascii="Verdana" w:hAnsi="Verdana" w:cs="Arial"/>
              </w:rPr>
              <w:t xml:space="preserve"> the</w:t>
            </w:r>
            <w:r w:rsidR="00A750A9" w:rsidRPr="007C4D37">
              <w:rPr>
                <w:rFonts w:ascii="Verdana" w:hAnsi="Verdana" w:cs="Arial"/>
              </w:rPr>
              <w:t xml:space="preserve"> escalat</w:t>
            </w:r>
            <w:r w:rsidR="00A23B4B" w:rsidRPr="007C4D37">
              <w:rPr>
                <w:rFonts w:ascii="Verdana" w:hAnsi="Verdana" w:cs="Arial"/>
              </w:rPr>
              <w:t>ed</w:t>
            </w:r>
            <w:r w:rsidR="00E06810" w:rsidRPr="007C4D37">
              <w:rPr>
                <w:rFonts w:ascii="Verdana" w:hAnsi="Verdana" w:cs="Arial"/>
              </w:rPr>
              <w:t xml:space="preserve"> areas. While this approach is understood to promote continuity and reduce duplication of effort, </w:t>
            </w:r>
            <w:r w:rsidR="00A23B4B" w:rsidRPr="007C4D37">
              <w:rPr>
                <w:rFonts w:ascii="Verdana" w:hAnsi="Verdana" w:cs="Arial"/>
              </w:rPr>
              <w:t>we could identify no communication to the</w:t>
            </w:r>
            <w:r w:rsidR="00E06810" w:rsidRPr="007C4D37">
              <w:rPr>
                <w:rFonts w:ascii="Verdana" w:hAnsi="Verdana" w:cs="Arial"/>
              </w:rPr>
              <w:t xml:space="preserve"> Board </w:t>
            </w:r>
            <w:r w:rsidR="003B29F9" w:rsidRPr="007C4D37">
              <w:rPr>
                <w:rFonts w:ascii="Verdana" w:hAnsi="Verdana" w:cs="Arial"/>
              </w:rPr>
              <w:t xml:space="preserve">of this </w:t>
            </w:r>
            <w:r w:rsidR="00E06810" w:rsidRPr="007C4D37">
              <w:rPr>
                <w:rFonts w:ascii="Verdana" w:hAnsi="Verdana" w:cs="Arial"/>
              </w:rPr>
              <w:t xml:space="preserve">change in approach (see </w:t>
            </w:r>
            <w:r w:rsidR="00E06810" w:rsidRPr="007C4D37">
              <w:rPr>
                <w:rFonts w:ascii="Verdana" w:hAnsi="Verdana" w:cs="Arial"/>
                <w:b/>
                <w:bCs/>
              </w:rPr>
              <w:t>Key Finding 1</w:t>
            </w:r>
            <w:r w:rsidR="00E06810" w:rsidRPr="007C4D37">
              <w:rPr>
                <w:rFonts w:ascii="Verdana" w:hAnsi="Verdana" w:cs="Arial"/>
              </w:rPr>
              <w:t>)</w:t>
            </w:r>
            <w:r w:rsidR="008F2544" w:rsidRPr="007C4D37">
              <w:rPr>
                <w:rFonts w:ascii="Verdana" w:hAnsi="Verdana" w:cs="Arial"/>
              </w:rPr>
              <w:t>.</w:t>
            </w:r>
            <w:r w:rsidR="001C728D" w:rsidRPr="007C4D37">
              <w:rPr>
                <w:rFonts w:ascii="Verdana" w:hAnsi="Verdana" w:cs="Arial"/>
              </w:rPr>
              <w:t xml:space="preserve"> </w:t>
            </w:r>
          </w:p>
          <w:p w14:paraId="4E3A301D" w14:textId="04126E67" w:rsidR="00704065" w:rsidRPr="007C4D37" w:rsidRDefault="00EF18E5" w:rsidP="001C19A9">
            <w:pPr>
              <w:spacing w:before="120" w:after="120"/>
              <w:jc w:val="both"/>
              <w:rPr>
                <w:rFonts w:ascii="Verdana" w:hAnsi="Verdana" w:cs="Arial"/>
              </w:rPr>
            </w:pPr>
            <w:r w:rsidRPr="007C4D37">
              <w:rPr>
                <w:rFonts w:ascii="Verdana" w:hAnsi="Verdana" w:cs="Arial"/>
              </w:rPr>
              <w:t>F</w:t>
            </w:r>
            <w:r w:rsidR="009048E6" w:rsidRPr="007C4D37">
              <w:rPr>
                <w:rFonts w:ascii="Verdana" w:hAnsi="Verdana" w:cs="Arial"/>
              </w:rPr>
              <w:t xml:space="preserve">urther </w:t>
            </w:r>
            <w:r w:rsidR="00A46760" w:rsidRPr="007C4D37">
              <w:rPr>
                <w:rFonts w:ascii="Verdana" w:hAnsi="Verdana" w:cs="Arial"/>
              </w:rPr>
              <w:t>escalation of Finance and Strategy</w:t>
            </w:r>
            <w:r w:rsidR="001F282F">
              <w:rPr>
                <w:rFonts w:ascii="Verdana" w:hAnsi="Verdana" w:cs="Arial"/>
              </w:rPr>
              <w:t xml:space="preserve"> has occurred since the initial arrangements were established. These</w:t>
            </w:r>
            <w:r w:rsidR="000F3E51" w:rsidRPr="007C4D37">
              <w:rPr>
                <w:rFonts w:ascii="Verdana" w:hAnsi="Verdana" w:cs="Arial"/>
              </w:rPr>
              <w:t xml:space="preserve"> </w:t>
            </w:r>
            <w:r w:rsidR="00A46760" w:rsidRPr="007C4D37">
              <w:rPr>
                <w:rFonts w:ascii="Verdana" w:hAnsi="Verdana" w:cs="Arial"/>
              </w:rPr>
              <w:t>fall outside the remit of the original SRO</w:t>
            </w:r>
            <w:r w:rsidR="0078538F" w:rsidRPr="007C4D37">
              <w:rPr>
                <w:rFonts w:ascii="Verdana" w:hAnsi="Verdana" w:cs="Arial"/>
              </w:rPr>
              <w:t xml:space="preserve">, but there has been no re-assignment or </w:t>
            </w:r>
            <w:r w:rsidR="00A12D97" w:rsidRPr="007C4D37">
              <w:rPr>
                <w:rFonts w:ascii="Verdana" w:hAnsi="Verdana" w:cs="Arial"/>
              </w:rPr>
              <w:t>review o</w:t>
            </w:r>
            <w:r w:rsidR="00F756EE" w:rsidRPr="007C4D37">
              <w:rPr>
                <w:rFonts w:ascii="Verdana" w:hAnsi="Verdana" w:cs="Arial"/>
              </w:rPr>
              <w:t xml:space="preserve">f </w:t>
            </w:r>
            <w:r w:rsidR="00BA2987" w:rsidRPr="007C4D37">
              <w:rPr>
                <w:rFonts w:ascii="Verdana" w:hAnsi="Verdana" w:cs="Arial"/>
              </w:rPr>
              <w:t>responsibility</w:t>
            </w:r>
            <w:r w:rsidR="00D30990" w:rsidRPr="007C4D37">
              <w:rPr>
                <w:rFonts w:ascii="Verdana" w:hAnsi="Verdana" w:cs="Arial"/>
              </w:rPr>
              <w:t xml:space="preserve"> (see </w:t>
            </w:r>
            <w:r w:rsidR="00D30990" w:rsidRPr="007C4D37">
              <w:rPr>
                <w:rFonts w:ascii="Verdana" w:hAnsi="Verdana" w:cs="Arial"/>
                <w:b/>
                <w:bCs/>
              </w:rPr>
              <w:t>Key Finding 1</w:t>
            </w:r>
            <w:r w:rsidR="00D30990" w:rsidRPr="007C4D37">
              <w:rPr>
                <w:rFonts w:ascii="Verdana" w:hAnsi="Verdana" w:cs="Arial"/>
              </w:rPr>
              <w:t>)</w:t>
            </w:r>
            <w:r w:rsidR="00A46760" w:rsidRPr="007C4D37">
              <w:rPr>
                <w:rFonts w:ascii="Verdana" w:hAnsi="Verdana" w:cs="Arial"/>
              </w:rPr>
              <w:t>.</w:t>
            </w:r>
            <w:r w:rsidR="00F756EE" w:rsidRPr="007C4D37">
              <w:rPr>
                <w:rFonts w:ascii="Verdana" w:hAnsi="Verdana" w:cs="Arial"/>
              </w:rPr>
              <w:t xml:space="preserve"> </w:t>
            </w:r>
            <w:r w:rsidR="00AA17CE">
              <w:rPr>
                <w:rFonts w:ascii="Verdana" w:hAnsi="Verdana" w:cs="Arial"/>
              </w:rPr>
              <w:t>Additionally, n</w:t>
            </w:r>
            <w:r w:rsidR="00F756EE" w:rsidRPr="007C4D37">
              <w:rPr>
                <w:rFonts w:ascii="Verdana" w:hAnsi="Verdana" w:cs="Arial"/>
              </w:rPr>
              <w:t>o central programme management function</w:t>
            </w:r>
            <w:r w:rsidR="002B183D" w:rsidRPr="007C4D37">
              <w:rPr>
                <w:rFonts w:ascii="Verdana" w:hAnsi="Verdana" w:cs="Arial"/>
              </w:rPr>
              <w:t xml:space="preserve"> was established</w:t>
            </w:r>
            <w:r w:rsidR="00B654FC" w:rsidRPr="007C4D37">
              <w:rPr>
                <w:rFonts w:ascii="Verdana" w:hAnsi="Verdana" w:cs="Arial"/>
              </w:rPr>
              <w:t xml:space="preserve"> or utilised</w:t>
            </w:r>
            <w:r w:rsidR="002B183D" w:rsidRPr="007C4D37">
              <w:rPr>
                <w:rFonts w:ascii="Verdana" w:hAnsi="Verdana" w:cs="Arial"/>
              </w:rPr>
              <w:t xml:space="preserve"> to support the delivery and co-ordination of </w:t>
            </w:r>
            <w:r w:rsidR="00AA17CE">
              <w:rPr>
                <w:rFonts w:ascii="Verdana" w:hAnsi="Verdana" w:cs="Arial"/>
              </w:rPr>
              <w:t>the</w:t>
            </w:r>
            <w:r w:rsidR="002B183D" w:rsidRPr="007C4D37">
              <w:rPr>
                <w:rFonts w:ascii="Verdana" w:hAnsi="Verdana" w:cs="Arial"/>
              </w:rPr>
              <w:t xml:space="preserve"> TI response</w:t>
            </w:r>
            <w:r w:rsidR="008F6C16">
              <w:rPr>
                <w:rFonts w:ascii="Verdana" w:hAnsi="Verdana" w:cs="Arial"/>
              </w:rPr>
              <w:t>.</w:t>
            </w:r>
            <w:r w:rsidR="00F23B85" w:rsidRPr="007C4D37">
              <w:rPr>
                <w:rFonts w:ascii="Verdana" w:hAnsi="Verdana" w:cs="Arial"/>
              </w:rPr>
              <w:t xml:space="preserve"> </w:t>
            </w:r>
            <w:r w:rsidR="008F6C16">
              <w:rPr>
                <w:rFonts w:ascii="Verdana" w:hAnsi="Verdana" w:cs="Arial"/>
              </w:rPr>
              <w:t>R</w:t>
            </w:r>
            <w:r w:rsidR="002855FE" w:rsidRPr="007C4D37">
              <w:rPr>
                <w:rFonts w:ascii="Verdana" w:hAnsi="Verdana" w:cs="Arial"/>
              </w:rPr>
              <w:t xml:space="preserve">esources </w:t>
            </w:r>
            <w:r w:rsidR="008F6C16">
              <w:rPr>
                <w:rFonts w:ascii="Verdana" w:hAnsi="Verdana" w:cs="Arial"/>
              </w:rPr>
              <w:t>that</w:t>
            </w:r>
            <w:r w:rsidR="002855FE" w:rsidRPr="007C4D37">
              <w:rPr>
                <w:rFonts w:ascii="Verdana" w:hAnsi="Verdana" w:cs="Arial"/>
              </w:rPr>
              <w:t xml:space="preserve"> could be deployed to </w:t>
            </w:r>
            <w:r w:rsidR="0030465D">
              <w:rPr>
                <w:rFonts w:ascii="Verdana" w:hAnsi="Verdana" w:cs="Arial"/>
              </w:rPr>
              <w:t>support such a function</w:t>
            </w:r>
            <w:r w:rsidR="002855FE" w:rsidRPr="007C4D37">
              <w:rPr>
                <w:rFonts w:ascii="Verdana" w:hAnsi="Verdana" w:cs="Arial"/>
              </w:rPr>
              <w:t xml:space="preserve"> </w:t>
            </w:r>
            <w:r w:rsidR="00B15905" w:rsidRPr="007C4D37">
              <w:rPr>
                <w:rFonts w:ascii="Verdana" w:hAnsi="Verdana" w:cs="Arial"/>
              </w:rPr>
              <w:t xml:space="preserve">are siloed across different Executive </w:t>
            </w:r>
            <w:r w:rsidR="00B654FC" w:rsidRPr="007C4D37">
              <w:rPr>
                <w:rFonts w:ascii="Verdana" w:hAnsi="Verdana" w:cs="Arial"/>
              </w:rPr>
              <w:t>portfolios</w:t>
            </w:r>
            <w:r w:rsidR="0030465D">
              <w:rPr>
                <w:rFonts w:ascii="Verdana" w:hAnsi="Verdana" w:cs="Arial"/>
              </w:rPr>
              <w:t>,</w:t>
            </w:r>
            <w:r w:rsidR="00B15905" w:rsidRPr="007C4D37">
              <w:rPr>
                <w:rFonts w:ascii="Verdana" w:hAnsi="Verdana" w:cs="Arial"/>
              </w:rPr>
              <w:t xml:space="preserve"> </w:t>
            </w:r>
            <w:r w:rsidR="0030465D">
              <w:rPr>
                <w:rFonts w:ascii="Verdana" w:hAnsi="Verdana" w:cs="Arial"/>
              </w:rPr>
              <w:t>which may hinder</w:t>
            </w:r>
            <w:r w:rsidR="009C019A" w:rsidRPr="007C4D37">
              <w:rPr>
                <w:rFonts w:ascii="Verdana" w:hAnsi="Verdana" w:cs="Arial"/>
              </w:rPr>
              <w:t xml:space="preserve"> the health board’s ability to manage change in a structured </w:t>
            </w:r>
            <w:r w:rsidR="00E04DF8">
              <w:rPr>
                <w:rFonts w:ascii="Verdana" w:hAnsi="Verdana" w:cs="Arial"/>
              </w:rPr>
              <w:t xml:space="preserve">and </w:t>
            </w:r>
            <w:r w:rsidR="009C019A" w:rsidRPr="007C4D37">
              <w:rPr>
                <w:rFonts w:ascii="Verdana" w:hAnsi="Verdana" w:cs="Arial"/>
              </w:rPr>
              <w:t xml:space="preserve">consistent </w:t>
            </w:r>
            <w:r w:rsidR="00192D3C" w:rsidRPr="007C4D37">
              <w:rPr>
                <w:rFonts w:ascii="Verdana" w:hAnsi="Verdana" w:cs="Arial"/>
              </w:rPr>
              <w:t>manner.</w:t>
            </w:r>
            <w:r w:rsidR="001D0F6A" w:rsidRPr="007C4D37">
              <w:rPr>
                <w:rFonts w:ascii="Verdana" w:hAnsi="Verdana" w:cs="Arial"/>
              </w:rPr>
              <w:t xml:space="preserve"> </w:t>
            </w:r>
            <w:r w:rsidR="00BB4B42" w:rsidRPr="007C4D37">
              <w:rPr>
                <w:rFonts w:ascii="Verdana" w:hAnsi="Verdana" w:cs="Arial"/>
              </w:rPr>
              <w:t xml:space="preserve">Our </w:t>
            </w:r>
            <w:r w:rsidR="000B5A72">
              <w:rPr>
                <w:rFonts w:ascii="Verdana" w:hAnsi="Verdana" w:cs="Arial"/>
              </w:rPr>
              <w:t xml:space="preserve">comparative </w:t>
            </w:r>
            <w:r w:rsidR="00BB4B42" w:rsidRPr="007C4D37">
              <w:rPr>
                <w:rFonts w:ascii="Verdana" w:hAnsi="Verdana" w:cs="Arial"/>
              </w:rPr>
              <w:t xml:space="preserve">review of escalation arrangements in other NHS Wales organisations identified more formalised structures that may offer clearer lines of accountability and ownership for delivering improvement actions </w:t>
            </w:r>
            <w:r w:rsidR="008D327A" w:rsidRPr="007C4D37">
              <w:rPr>
                <w:rFonts w:ascii="Verdana" w:hAnsi="Verdana" w:cs="Arial"/>
              </w:rPr>
              <w:t>(</w:t>
            </w:r>
            <w:r w:rsidR="005C6A4F" w:rsidRPr="007C4D37">
              <w:rPr>
                <w:rFonts w:ascii="Verdana" w:hAnsi="Verdana" w:cs="Arial"/>
              </w:rPr>
              <w:t>s</w:t>
            </w:r>
            <w:r w:rsidR="008D327A" w:rsidRPr="007C4D37">
              <w:rPr>
                <w:rFonts w:ascii="Verdana" w:hAnsi="Verdana" w:cs="Arial"/>
              </w:rPr>
              <w:t>ee</w:t>
            </w:r>
            <w:r w:rsidR="008D327A" w:rsidRPr="007C4D37">
              <w:rPr>
                <w:rFonts w:ascii="Verdana" w:hAnsi="Verdana" w:cs="Arial"/>
                <w:b/>
                <w:bCs/>
              </w:rPr>
              <w:t xml:space="preserve"> Key Finding </w:t>
            </w:r>
            <w:r w:rsidR="00F3255E" w:rsidRPr="007C4D37">
              <w:rPr>
                <w:rFonts w:ascii="Verdana" w:hAnsi="Verdana" w:cs="Arial"/>
                <w:b/>
                <w:bCs/>
              </w:rPr>
              <w:t>1</w:t>
            </w:r>
            <w:r w:rsidR="008D327A" w:rsidRPr="007C4D37">
              <w:rPr>
                <w:rFonts w:ascii="Verdana" w:hAnsi="Verdana" w:cs="Arial"/>
              </w:rPr>
              <w:t>).</w:t>
            </w:r>
          </w:p>
          <w:p w14:paraId="7D66F345" w14:textId="3C080896" w:rsidR="006A433A" w:rsidRPr="007C4D37" w:rsidRDefault="008F2544" w:rsidP="00DB2D38">
            <w:pPr>
              <w:spacing w:before="120" w:after="120"/>
              <w:jc w:val="both"/>
              <w:rPr>
                <w:rFonts w:ascii="Verdana" w:hAnsi="Verdana" w:cs="Arial"/>
              </w:rPr>
            </w:pPr>
            <w:r w:rsidRPr="007C4D37">
              <w:rPr>
                <w:rFonts w:ascii="Verdana" w:hAnsi="Verdana" w:cs="Arial"/>
              </w:rPr>
              <w:t>Within the groups responsible for overseeing escalated areas</w:t>
            </w:r>
            <w:r w:rsidR="00AB4AB7" w:rsidRPr="007C4D37">
              <w:rPr>
                <w:rFonts w:ascii="Verdana" w:hAnsi="Verdana" w:cs="Arial"/>
              </w:rPr>
              <w:t xml:space="preserve"> (UEC Programme Board, Planned Care Programme Board, Cancer Programme and Improvement Group, Infection Prevention and Control Strategic Group, Mental Health and Learning Disabilities Management Board)</w:t>
            </w:r>
            <w:r w:rsidRPr="007C4D37">
              <w:rPr>
                <w:rFonts w:ascii="Verdana" w:hAnsi="Verdana" w:cs="Arial"/>
              </w:rPr>
              <w:t xml:space="preserve">, we </w:t>
            </w:r>
            <w:r w:rsidR="00AB4AB7" w:rsidRPr="007C4D37">
              <w:rPr>
                <w:rFonts w:ascii="Verdana" w:hAnsi="Verdana" w:cs="Arial"/>
              </w:rPr>
              <w:t xml:space="preserve">noted </w:t>
            </w:r>
            <w:r w:rsidR="005F6911" w:rsidRPr="007C4D37">
              <w:rPr>
                <w:rFonts w:ascii="Verdana" w:hAnsi="Verdana" w:cs="Arial"/>
              </w:rPr>
              <w:t xml:space="preserve">that </w:t>
            </w:r>
            <w:r w:rsidRPr="007C4D37">
              <w:rPr>
                <w:rFonts w:ascii="Verdana" w:hAnsi="Verdana" w:cs="Arial"/>
              </w:rPr>
              <w:t>terms of reference</w:t>
            </w:r>
            <w:r w:rsidR="005F6911" w:rsidRPr="007C4D37">
              <w:rPr>
                <w:rFonts w:ascii="Verdana" w:hAnsi="Verdana" w:cs="Arial"/>
              </w:rPr>
              <w:t xml:space="preserve"> included performance monitoring but</w:t>
            </w:r>
            <w:r w:rsidR="003B29F9" w:rsidRPr="007C4D37">
              <w:rPr>
                <w:rFonts w:ascii="Verdana" w:hAnsi="Verdana" w:cs="Arial"/>
              </w:rPr>
              <w:t xml:space="preserve"> held </w:t>
            </w:r>
            <w:r w:rsidR="00AB4AB7" w:rsidRPr="007C4D37">
              <w:rPr>
                <w:rFonts w:ascii="Verdana" w:hAnsi="Verdana" w:cs="Arial"/>
              </w:rPr>
              <w:t xml:space="preserve">limited </w:t>
            </w:r>
            <w:r w:rsidR="00357064" w:rsidRPr="007C4D37">
              <w:rPr>
                <w:rFonts w:ascii="Verdana" w:hAnsi="Verdana" w:cs="Arial"/>
              </w:rPr>
              <w:t>reference to</w:t>
            </w:r>
            <w:r w:rsidRPr="007C4D37">
              <w:rPr>
                <w:rFonts w:ascii="Verdana" w:hAnsi="Verdana" w:cs="Arial"/>
              </w:rPr>
              <w:t xml:space="preserve"> defin</w:t>
            </w:r>
            <w:r w:rsidR="00357064" w:rsidRPr="007C4D37">
              <w:rPr>
                <w:rFonts w:ascii="Verdana" w:hAnsi="Verdana" w:cs="Arial"/>
              </w:rPr>
              <w:t>ing</w:t>
            </w:r>
            <w:r w:rsidRPr="007C4D37">
              <w:rPr>
                <w:rFonts w:ascii="Verdana" w:hAnsi="Verdana" w:cs="Arial"/>
              </w:rPr>
              <w:t xml:space="preserve"> their role in the formal oversight and delivery of actions related to escalation</w:t>
            </w:r>
            <w:r w:rsidR="007E372B" w:rsidRPr="007C4D37">
              <w:rPr>
                <w:rFonts w:ascii="Verdana" w:hAnsi="Verdana" w:cs="Arial"/>
              </w:rPr>
              <w:t xml:space="preserve"> (see </w:t>
            </w:r>
            <w:r w:rsidR="007E372B" w:rsidRPr="007C4D37">
              <w:rPr>
                <w:rFonts w:ascii="Verdana" w:hAnsi="Verdana" w:cs="Arial"/>
                <w:b/>
                <w:bCs/>
              </w:rPr>
              <w:t>Key Finding 1</w:t>
            </w:r>
            <w:r w:rsidR="007E372B" w:rsidRPr="007C4D37">
              <w:rPr>
                <w:rFonts w:ascii="Verdana" w:hAnsi="Verdana" w:cs="Arial"/>
              </w:rPr>
              <w:t>)</w:t>
            </w:r>
            <w:r w:rsidRPr="007C4D37">
              <w:rPr>
                <w:rFonts w:ascii="Verdana" w:hAnsi="Verdana" w:cs="Arial"/>
              </w:rPr>
              <w:t xml:space="preserve">. </w:t>
            </w:r>
            <w:r w:rsidR="005B2C83" w:rsidRPr="007C4D37">
              <w:rPr>
                <w:rFonts w:ascii="Verdana" w:hAnsi="Verdana" w:cs="Arial"/>
              </w:rPr>
              <w:t xml:space="preserve">We understand the health board </w:t>
            </w:r>
            <w:r w:rsidR="00A835E3" w:rsidRPr="007C4D37">
              <w:rPr>
                <w:rFonts w:ascii="Verdana" w:hAnsi="Verdana" w:cs="Arial"/>
              </w:rPr>
              <w:t xml:space="preserve">has </w:t>
            </w:r>
            <w:r w:rsidR="00A0604D" w:rsidRPr="007C4D37">
              <w:rPr>
                <w:rFonts w:ascii="Verdana" w:hAnsi="Verdana" w:cs="Arial"/>
              </w:rPr>
              <w:t>initiated</w:t>
            </w:r>
            <w:r w:rsidR="00842D65" w:rsidRPr="007C4D37">
              <w:rPr>
                <w:rFonts w:ascii="Verdana" w:hAnsi="Verdana" w:cs="Arial"/>
              </w:rPr>
              <w:t xml:space="preserve"> the </w:t>
            </w:r>
            <w:r w:rsidR="00A835E3" w:rsidRPr="007C4D37">
              <w:rPr>
                <w:rFonts w:ascii="Verdana" w:hAnsi="Verdana" w:cs="Arial"/>
              </w:rPr>
              <w:t xml:space="preserve">‘Organising for Success’ </w:t>
            </w:r>
            <w:r w:rsidR="0086650C" w:rsidRPr="007C4D37">
              <w:rPr>
                <w:rFonts w:ascii="Verdana" w:hAnsi="Verdana" w:cs="Arial"/>
              </w:rPr>
              <w:t>programme</w:t>
            </w:r>
            <w:r w:rsidR="0086650C">
              <w:rPr>
                <w:rFonts w:ascii="Verdana" w:hAnsi="Verdana" w:cs="Arial"/>
              </w:rPr>
              <w:t>,</w:t>
            </w:r>
            <w:r w:rsidR="0086650C" w:rsidRPr="007C4D37">
              <w:rPr>
                <w:rFonts w:ascii="Verdana" w:hAnsi="Verdana" w:cs="Arial"/>
              </w:rPr>
              <w:t xml:space="preserve"> which</w:t>
            </w:r>
            <w:r w:rsidR="00BF1930" w:rsidRPr="007C4D37">
              <w:rPr>
                <w:rFonts w:ascii="Verdana" w:hAnsi="Verdana" w:cs="Arial"/>
              </w:rPr>
              <w:t xml:space="preserve"> includes consideration of</w:t>
            </w:r>
            <w:r w:rsidR="00864E9F" w:rsidRPr="007C4D37">
              <w:rPr>
                <w:rFonts w:ascii="Verdana" w:hAnsi="Verdana" w:cs="Arial"/>
              </w:rPr>
              <w:t xml:space="preserve"> </w:t>
            </w:r>
            <w:r w:rsidR="0085076F" w:rsidRPr="007C4D37">
              <w:rPr>
                <w:rFonts w:ascii="Verdana" w:hAnsi="Verdana" w:cs="Arial"/>
              </w:rPr>
              <w:t xml:space="preserve">governance </w:t>
            </w:r>
            <w:r w:rsidR="00B25702" w:rsidRPr="007C4D37">
              <w:rPr>
                <w:rFonts w:ascii="Verdana" w:hAnsi="Verdana" w:cs="Arial"/>
              </w:rPr>
              <w:t>arrangements</w:t>
            </w:r>
            <w:r w:rsidR="00CE3DFB">
              <w:rPr>
                <w:rFonts w:ascii="Verdana" w:hAnsi="Verdana" w:cs="Arial"/>
              </w:rPr>
              <w:t>.</w:t>
            </w:r>
            <w:r w:rsidR="00B25702" w:rsidRPr="007C4D37">
              <w:rPr>
                <w:rFonts w:ascii="Verdana" w:hAnsi="Verdana" w:cs="Arial"/>
              </w:rPr>
              <w:t xml:space="preserve"> </w:t>
            </w:r>
            <w:r w:rsidR="00CE3DFB">
              <w:rPr>
                <w:rFonts w:ascii="Verdana" w:hAnsi="Verdana" w:cs="Arial"/>
              </w:rPr>
              <w:t>T</w:t>
            </w:r>
            <w:r w:rsidR="00B25702" w:rsidRPr="007C4D37">
              <w:rPr>
                <w:rFonts w:ascii="Verdana" w:hAnsi="Verdana" w:cs="Arial"/>
              </w:rPr>
              <w:t>his may provide a</w:t>
            </w:r>
            <w:r w:rsidR="00810A7A">
              <w:rPr>
                <w:rFonts w:ascii="Verdana" w:hAnsi="Verdana" w:cs="Arial"/>
              </w:rPr>
              <w:t>n</w:t>
            </w:r>
            <w:r w:rsidR="00B25702" w:rsidRPr="007C4D37">
              <w:rPr>
                <w:rFonts w:ascii="Verdana" w:hAnsi="Verdana" w:cs="Arial"/>
              </w:rPr>
              <w:t xml:space="preserve"> opportunity to </w:t>
            </w:r>
            <w:r w:rsidR="00810A7A">
              <w:rPr>
                <w:rFonts w:ascii="Verdana" w:hAnsi="Verdana" w:cs="Arial"/>
              </w:rPr>
              <w:t>strengthen</w:t>
            </w:r>
            <w:r w:rsidR="00810A7A" w:rsidRPr="007C4D37">
              <w:rPr>
                <w:rFonts w:ascii="Verdana" w:hAnsi="Verdana" w:cs="Arial"/>
              </w:rPr>
              <w:t xml:space="preserve"> </w:t>
            </w:r>
            <w:r w:rsidR="00B25702" w:rsidRPr="007C4D37">
              <w:rPr>
                <w:rFonts w:ascii="Verdana" w:hAnsi="Verdana" w:cs="Arial"/>
              </w:rPr>
              <w:t xml:space="preserve">the formality of its escalation arrangements. </w:t>
            </w:r>
            <w:r w:rsidR="00A0604D" w:rsidRPr="007C4D37">
              <w:rPr>
                <w:rFonts w:ascii="Verdana" w:hAnsi="Verdana" w:cs="Arial"/>
              </w:rPr>
              <w:t xml:space="preserve"> </w:t>
            </w:r>
            <w:r w:rsidRPr="007C4D37">
              <w:rPr>
                <w:rFonts w:ascii="Verdana" w:hAnsi="Verdana" w:cs="Arial"/>
              </w:rPr>
              <w:t xml:space="preserve">(See </w:t>
            </w:r>
            <w:r w:rsidRPr="007C4D37">
              <w:rPr>
                <w:rFonts w:ascii="Verdana" w:hAnsi="Verdana" w:cs="Arial"/>
                <w:b/>
                <w:bCs/>
              </w:rPr>
              <w:t xml:space="preserve">Key Finding </w:t>
            </w:r>
            <w:r w:rsidR="005F6911" w:rsidRPr="007C4D37">
              <w:rPr>
                <w:rFonts w:ascii="Verdana" w:hAnsi="Verdana" w:cs="Arial"/>
                <w:b/>
                <w:bCs/>
              </w:rPr>
              <w:t>1</w:t>
            </w:r>
            <w:r w:rsidRPr="007C4D37">
              <w:rPr>
                <w:rFonts w:ascii="Verdana" w:hAnsi="Verdana" w:cs="Arial"/>
              </w:rPr>
              <w:t>)</w:t>
            </w:r>
            <w:r w:rsidR="005F6911" w:rsidRPr="007C4D37">
              <w:rPr>
                <w:rFonts w:ascii="Verdana" w:hAnsi="Verdana" w:cs="Arial"/>
              </w:rPr>
              <w:t>.</w:t>
            </w:r>
            <w:r w:rsidRPr="007C4D37">
              <w:rPr>
                <w:rFonts w:ascii="Verdana" w:hAnsi="Verdana" w:cs="Arial"/>
              </w:rPr>
              <w:t xml:space="preserve"> </w:t>
            </w:r>
            <w:r w:rsidR="00327576" w:rsidRPr="007C4D37">
              <w:rPr>
                <w:rFonts w:ascii="Verdana" w:hAnsi="Verdana" w:cs="Arial"/>
              </w:rPr>
              <w:t xml:space="preserve">Although the health board’s Performance and Assurance Framework </w:t>
            </w:r>
            <w:proofErr w:type="gramStart"/>
            <w:r w:rsidR="00327576" w:rsidRPr="007C4D37">
              <w:rPr>
                <w:rFonts w:ascii="Verdana" w:hAnsi="Verdana" w:cs="Arial"/>
              </w:rPr>
              <w:t>outlines</w:t>
            </w:r>
            <w:proofErr w:type="gramEnd"/>
            <w:r w:rsidR="00327576" w:rsidRPr="007C4D37">
              <w:rPr>
                <w:rFonts w:ascii="Verdana" w:hAnsi="Verdana" w:cs="Arial"/>
              </w:rPr>
              <w:t xml:space="preserve"> internal scrutiny and accountability </w:t>
            </w:r>
            <w:r w:rsidR="007F678F">
              <w:rPr>
                <w:rFonts w:ascii="Verdana" w:hAnsi="Verdana" w:cs="Arial"/>
              </w:rPr>
              <w:t>mechanisms</w:t>
            </w:r>
            <w:r w:rsidR="007F678F" w:rsidRPr="007C4D37">
              <w:rPr>
                <w:rFonts w:ascii="Verdana" w:hAnsi="Verdana" w:cs="Arial"/>
              </w:rPr>
              <w:t xml:space="preserve"> </w:t>
            </w:r>
            <w:r w:rsidR="00327576" w:rsidRPr="007C4D37">
              <w:rPr>
                <w:rFonts w:ascii="Verdana" w:hAnsi="Verdana" w:cs="Arial"/>
              </w:rPr>
              <w:t>intended to operate alongside Welsh Government processes, it lacks clear guidance on the organisational response to escalation</w:t>
            </w:r>
            <w:r w:rsidR="000A5DEB" w:rsidRPr="007C4D37">
              <w:rPr>
                <w:rFonts w:ascii="Verdana" w:hAnsi="Verdana" w:cs="Arial"/>
              </w:rPr>
              <w:t xml:space="preserve">. (See </w:t>
            </w:r>
            <w:r w:rsidR="000A5DEB" w:rsidRPr="007C4D37">
              <w:rPr>
                <w:rFonts w:ascii="Verdana" w:hAnsi="Verdana" w:cs="Arial"/>
                <w:b/>
                <w:bCs/>
              </w:rPr>
              <w:t xml:space="preserve">Key Finding </w:t>
            </w:r>
            <w:r w:rsidR="00C34B7F" w:rsidRPr="007C4D37">
              <w:rPr>
                <w:rFonts w:ascii="Verdana" w:hAnsi="Verdana" w:cs="Arial"/>
                <w:b/>
                <w:bCs/>
              </w:rPr>
              <w:t>4</w:t>
            </w:r>
            <w:r w:rsidR="000A5DEB" w:rsidRPr="007C4D37">
              <w:rPr>
                <w:rFonts w:ascii="Verdana" w:hAnsi="Verdana" w:cs="Arial"/>
              </w:rPr>
              <w:t>).</w:t>
            </w:r>
          </w:p>
          <w:p w14:paraId="65672236" w14:textId="4447829D" w:rsidR="00DF7BD2" w:rsidRPr="007C4D37" w:rsidRDefault="00CF7EF6" w:rsidP="00467BA4">
            <w:pPr>
              <w:spacing w:before="120" w:after="120"/>
              <w:jc w:val="both"/>
              <w:rPr>
                <w:rFonts w:ascii="Verdana" w:hAnsi="Verdana" w:cs="Arial"/>
              </w:rPr>
            </w:pPr>
            <w:r w:rsidRPr="007C4D37">
              <w:rPr>
                <w:rFonts w:ascii="Verdana" w:hAnsi="Verdana" w:cs="Arial"/>
                <w:u w:val="single"/>
              </w:rPr>
              <w:t>Framework</w:t>
            </w:r>
            <w:r w:rsidR="008D73F6">
              <w:rPr>
                <w:rFonts w:ascii="Verdana" w:hAnsi="Verdana" w:cs="Arial"/>
                <w:u w:val="single"/>
              </w:rPr>
              <w:t xml:space="preserve"> and </w:t>
            </w:r>
            <w:r w:rsidRPr="007C4D37">
              <w:rPr>
                <w:rFonts w:ascii="Verdana" w:hAnsi="Verdana" w:cs="Arial"/>
                <w:u w:val="single"/>
              </w:rPr>
              <w:t>Improvement Plans</w:t>
            </w:r>
            <w:r w:rsidRPr="007C4D37">
              <w:rPr>
                <w:rFonts w:ascii="Verdana" w:hAnsi="Verdana" w:cs="Arial"/>
              </w:rPr>
              <w:t xml:space="preserve"> </w:t>
            </w:r>
          </w:p>
          <w:p w14:paraId="238C3941" w14:textId="47499B55" w:rsidR="008363E8" w:rsidRPr="007C4D37" w:rsidRDefault="00467BA4" w:rsidP="00467BA4">
            <w:pPr>
              <w:spacing w:before="120" w:after="120"/>
              <w:jc w:val="both"/>
              <w:rPr>
                <w:rFonts w:ascii="Verdana" w:hAnsi="Verdana" w:cs="Arial"/>
              </w:rPr>
            </w:pPr>
            <w:r w:rsidRPr="007C4D37">
              <w:rPr>
                <w:rFonts w:ascii="Verdana" w:hAnsi="Verdana" w:cs="Arial"/>
              </w:rPr>
              <w:t xml:space="preserve">The </w:t>
            </w:r>
            <w:r w:rsidR="00127D51">
              <w:rPr>
                <w:rFonts w:ascii="Verdana" w:hAnsi="Verdana" w:cs="Arial"/>
              </w:rPr>
              <w:t>Escalation F</w:t>
            </w:r>
            <w:r w:rsidRPr="007C4D37">
              <w:rPr>
                <w:rFonts w:ascii="Verdana" w:hAnsi="Verdana" w:cs="Arial"/>
              </w:rPr>
              <w:t xml:space="preserve">ramework requires the health board to develop and implement improvement plans, monitor progress against </w:t>
            </w:r>
            <w:r w:rsidR="009D2A7D" w:rsidRPr="007C4D37">
              <w:rPr>
                <w:rFonts w:ascii="Verdana" w:hAnsi="Verdana" w:cs="Arial"/>
              </w:rPr>
              <w:t xml:space="preserve">previous </w:t>
            </w:r>
            <w:r w:rsidRPr="007C4D37">
              <w:rPr>
                <w:rFonts w:ascii="Verdana" w:hAnsi="Verdana" w:cs="Arial"/>
              </w:rPr>
              <w:t>recommendations from both internal and external reviews, and consolidate these into a single core document. Although we could not evidence a fully consolidated plan being produced, the health board has consistently reported on actions taken to address escalated areas</w:t>
            </w:r>
            <w:r w:rsidR="000E14E3" w:rsidRPr="007C4D37">
              <w:rPr>
                <w:rFonts w:ascii="Verdana" w:hAnsi="Verdana" w:cs="Arial"/>
              </w:rPr>
              <w:t xml:space="preserve"> since the outline of its initial </w:t>
            </w:r>
            <w:r w:rsidR="001E7835" w:rsidRPr="007C4D37">
              <w:rPr>
                <w:rFonts w:ascii="Verdana" w:hAnsi="Verdana" w:cs="Arial"/>
              </w:rPr>
              <w:t>work programmes in May 2024</w:t>
            </w:r>
            <w:r w:rsidR="0031534F" w:rsidRPr="007C4D37">
              <w:rPr>
                <w:rFonts w:ascii="Verdana" w:hAnsi="Verdana" w:cs="Arial"/>
              </w:rPr>
              <w:t xml:space="preserve">. </w:t>
            </w:r>
            <w:r w:rsidR="00700AE5" w:rsidRPr="007C4D37">
              <w:rPr>
                <w:rFonts w:ascii="Verdana" w:hAnsi="Verdana" w:cs="Arial"/>
              </w:rPr>
              <w:t>We recognise the</w:t>
            </w:r>
            <w:r w:rsidR="00F30266" w:rsidRPr="007C4D37">
              <w:rPr>
                <w:rFonts w:ascii="Verdana" w:hAnsi="Verdana" w:cs="Arial"/>
              </w:rPr>
              <w:t>re has been a</w:t>
            </w:r>
            <w:r w:rsidR="00700AE5" w:rsidRPr="007C4D37">
              <w:rPr>
                <w:rFonts w:ascii="Verdana" w:hAnsi="Verdana" w:cs="Arial"/>
              </w:rPr>
              <w:t xml:space="preserve"> </w:t>
            </w:r>
            <w:r w:rsidR="0031534F" w:rsidRPr="007C4D37">
              <w:rPr>
                <w:rFonts w:ascii="Verdana" w:hAnsi="Verdana" w:cs="Arial"/>
              </w:rPr>
              <w:t xml:space="preserve">clear focus on </w:t>
            </w:r>
            <w:r w:rsidR="00EB7FF7">
              <w:rPr>
                <w:rFonts w:ascii="Verdana" w:hAnsi="Verdana" w:cs="Arial"/>
              </w:rPr>
              <w:t>meeting</w:t>
            </w:r>
            <w:r w:rsidR="00C05D96" w:rsidRPr="007C4D37">
              <w:rPr>
                <w:rFonts w:ascii="Verdana" w:hAnsi="Verdana" w:cs="Arial"/>
              </w:rPr>
              <w:t xml:space="preserve"> de-escalation </w:t>
            </w:r>
            <w:r w:rsidR="00881F80" w:rsidRPr="007C4D37">
              <w:rPr>
                <w:rFonts w:ascii="Verdana" w:hAnsi="Verdana" w:cs="Arial"/>
              </w:rPr>
              <w:t>criteria,</w:t>
            </w:r>
            <w:r w:rsidR="00C05D96" w:rsidRPr="007C4D37">
              <w:rPr>
                <w:rFonts w:ascii="Verdana" w:hAnsi="Verdana" w:cs="Arial"/>
              </w:rPr>
              <w:t xml:space="preserve"> </w:t>
            </w:r>
            <w:r w:rsidR="00F30266" w:rsidRPr="007C4D37">
              <w:rPr>
                <w:rFonts w:ascii="Verdana" w:hAnsi="Verdana" w:cs="Arial"/>
              </w:rPr>
              <w:t xml:space="preserve">but </w:t>
            </w:r>
            <w:r w:rsidR="007C2298" w:rsidRPr="007C4D37">
              <w:rPr>
                <w:rFonts w:ascii="Verdana" w:hAnsi="Verdana" w:cs="Arial"/>
              </w:rPr>
              <w:t xml:space="preserve">our fieldwork could only identify </w:t>
            </w:r>
            <w:r w:rsidR="009A791F" w:rsidRPr="007C4D37">
              <w:rPr>
                <w:rFonts w:ascii="Verdana" w:hAnsi="Verdana" w:cs="Arial"/>
              </w:rPr>
              <w:t>one service</w:t>
            </w:r>
            <w:r w:rsidR="00EB74F3" w:rsidRPr="007C4D37">
              <w:rPr>
                <w:rFonts w:ascii="Verdana" w:hAnsi="Verdana" w:cs="Arial"/>
              </w:rPr>
              <w:t>, Maternity and Neonatal,</w:t>
            </w:r>
            <w:r w:rsidR="009A791F" w:rsidRPr="007C4D37">
              <w:rPr>
                <w:rFonts w:ascii="Verdana" w:hAnsi="Verdana" w:cs="Arial"/>
              </w:rPr>
              <w:t xml:space="preserve"> </w:t>
            </w:r>
            <w:r w:rsidR="00EB7FF7">
              <w:rPr>
                <w:rFonts w:ascii="Verdana" w:hAnsi="Verdana" w:cs="Arial"/>
              </w:rPr>
              <w:t>that</w:t>
            </w:r>
            <w:r w:rsidR="009A791F" w:rsidRPr="007C4D37">
              <w:rPr>
                <w:rFonts w:ascii="Verdana" w:hAnsi="Verdana" w:cs="Arial"/>
              </w:rPr>
              <w:t xml:space="preserve"> had completed a self-assessment against the wider </w:t>
            </w:r>
            <w:r w:rsidR="00EB74F3" w:rsidRPr="007C4D37">
              <w:rPr>
                <w:rFonts w:ascii="Verdana" w:hAnsi="Verdana" w:cs="Arial"/>
              </w:rPr>
              <w:t>framework</w:t>
            </w:r>
            <w:r w:rsidR="00473C38" w:rsidRPr="007C4D37">
              <w:rPr>
                <w:rFonts w:ascii="Verdana" w:hAnsi="Verdana" w:cs="Arial"/>
              </w:rPr>
              <w:t xml:space="preserve"> </w:t>
            </w:r>
            <w:r w:rsidR="00650147" w:rsidRPr="007C4D37">
              <w:rPr>
                <w:rFonts w:ascii="Verdana" w:hAnsi="Verdana" w:cs="Arial"/>
              </w:rPr>
              <w:t>document.</w:t>
            </w:r>
            <w:r w:rsidR="00CA3C92" w:rsidRPr="007C4D37">
              <w:rPr>
                <w:rFonts w:ascii="Verdana" w:hAnsi="Verdana" w:cs="Arial"/>
              </w:rPr>
              <w:t xml:space="preserve"> </w:t>
            </w:r>
            <w:r w:rsidR="00E71F02" w:rsidRPr="007C4D37">
              <w:rPr>
                <w:rFonts w:ascii="Verdana" w:hAnsi="Verdana" w:cs="Arial"/>
              </w:rPr>
              <w:t xml:space="preserve">(see </w:t>
            </w:r>
            <w:r w:rsidR="00E71F02" w:rsidRPr="007C4D37">
              <w:rPr>
                <w:rFonts w:ascii="Verdana" w:hAnsi="Verdana" w:cs="Arial"/>
                <w:b/>
                <w:bCs/>
              </w:rPr>
              <w:t>Key Finding 2</w:t>
            </w:r>
            <w:r w:rsidR="00E71F02" w:rsidRPr="007C4D37">
              <w:rPr>
                <w:rFonts w:ascii="Verdana" w:hAnsi="Verdana" w:cs="Arial"/>
              </w:rPr>
              <w:t>)</w:t>
            </w:r>
            <w:r w:rsidR="0055753A" w:rsidRPr="007C4D37">
              <w:rPr>
                <w:rFonts w:ascii="Verdana" w:hAnsi="Verdana" w:cs="Arial"/>
              </w:rPr>
              <w:t xml:space="preserve"> Our mapping of performance against de-escalation </w:t>
            </w:r>
            <w:r w:rsidR="00EC0052" w:rsidRPr="007C4D37">
              <w:rPr>
                <w:rFonts w:ascii="Verdana" w:hAnsi="Verdana" w:cs="Arial"/>
              </w:rPr>
              <w:t xml:space="preserve">criteria </w:t>
            </w:r>
            <w:r w:rsidR="00051AB4" w:rsidRPr="0086650C">
              <w:rPr>
                <w:rFonts w:ascii="Verdana" w:hAnsi="Verdana" w:cs="Arial"/>
              </w:rPr>
              <w:t xml:space="preserve">(see </w:t>
            </w:r>
            <w:r w:rsidR="008905E0">
              <w:rPr>
                <w:rFonts w:ascii="Verdana" w:hAnsi="Verdana" w:cs="Arial"/>
              </w:rPr>
              <w:t>A</w:t>
            </w:r>
            <w:r w:rsidR="008905E0" w:rsidRPr="0086650C">
              <w:rPr>
                <w:rFonts w:ascii="Verdana" w:hAnsi="Verdana" w:cs="Arial"/>
              </w:rPr>
              <w:t xml:space="preserve">ppendix </w:t>
            </w:r>
            <w:r w:rsidR="00A6133B" w:rsidRPr="0086650C">
              <w:rPr>
                <w:rFonts w:ascii="Verdana" w:hAnsi="Verdana" w:cs="Arial"/>
              </w:rPr>
              <w:t>B</w:t>
            </w:r>
            <w:r w:rsidR="00A26468" w:rsidRPr="0086650C">
              <w:rPr>
                <w:rFonts w:ascii="Verdana" w:hAnsi="Verdana" w:cs="Arial"/>
              </w:rPr>
              <w:t xml:space="preserve">) </w:t>
            </w:r>
            <w:r w:rsidR="004D306F" w:rsidRPr="0086650C">
              <w:rPr>
                <w:rFonts w:ascii="Verdana" w:hAnsi="Verdana" w:cs="Arial"/>
              </w:rPr>
              <w:t>also</w:t>
            </w:r>
            <w:r w:rsidR="004D306F">
              <w:rPr>
                <w:rFonts w:ascii="Verdana" w:hAnsi="Verdana" w:cs="Arial"/>
              </w:rPr>
              <w:t xml:space="preserve"> </w:t>
            </w:r>
            <w:r w:rsidR="00A26468" w:rsidRPr="007C4D37">
              <w:rPr>
                <w:rFonts w:ascii="Verdana" w:hAnsi="Verdana" w:cs="Arial"/>
              </w:rPr>
              <w:t>highlights that patient and service user feedback</w:t>
            </w:r>
            <w:r w:rsidR="004D306F">
              <w:rPr>
                <w:rFonts w:ascii="Verdana" w:hAnsi="Verdana" w:cs="Arial"/>
              </w:rPr>
              <w:t>,</w:t>
            </w:r>
            <w:r w:rsidR="00A26468" w:rsidRPr="007C4D37">
              <w:rPr>
                <w:rFonts w:ascii="Verdana" w:hAnsi="Verdana" w:cs="Arial"/>
              </w:rPr>
              <w:t xml:space="preserve"> </w:t>
            </w:r>
            <w:r w:rsidR="00AB0BBD" w:rsidRPr="007C4D37">
              <w:rPr>
                <w:rFonts w:ascii="Verdana" w:hAnsi="Verdana" w:cs="Arial"/>
              </w:rPr>
              <w:t xml:space="preserve">is a </w:t>
            </w:r>
            <w:r w:rsidR="004D306F">
              <w:rPr>
                <w:rFonts w:ascii="Verdana" w:hAnsi="Verdana" w:cs="Arial"/>
              </w:rPr>
              <w:t>key</w:t>
            </w:r>
            <w:r w:rsidR="00FC15BB" w:rsidRPr="007C4D37">
              <w:rPr>
                <w:rFonts w:ascii="Verdana" w:hAnsi="Verdana" w:cs="Arial"/>
              </w:rPr>
              <w:t xml:space="preserve"> indicator</w:t>
            </w:r>
            <w:r w:rsidR="003F4CAF">
              <w:rPr>
                <w:rFonts w:ascii="Verdana" w:hAnsi="Verdana" w:cs="Arial"/>
              </w:rPr>
              <w:t>,</w:t>
            </w:r>
            <w:r w:rsidR="00FC15BB" w:rsidRPr="007C4D37">
              <w:rPr>
                <w:rFonts w:ascii="Verdana" w:hAnsi="Verdana" w:cs="Arial"/>
              </w:rPr>
              <w:t xml:space="preserve"> </w:t>
            </w:r>
            <w:r w:rsidR="00C671B5" w:rsidRPr="007C4D37">
              <w:rPr>
                <w:rFonts w:ascii="Verdana" w:hAnsi="Verdana" w:cs="Arial"/>
              </w:rPr>
              <w:t xml:space="preserve">does not feature within the actions or reports provided to the Board. (see </w:t>
            </w:r>
            <w:r w:rsidR="00C671B5" w:rsidRPr="007C4D37">
              <w:rPr>
                <w:rFonts w:ascii="Verdana" w:hAnsi="Verdana" w:cs="Arial"/>
                <w:b/>
                <w:bCs/>
              </w:rPr>
              <w:t xml:space="preserve">Key Finding </w:t>
            </w:r>
            <w:r w:rsidR="00B76409" w:rsidRPr="007C4D37">
              <w:rPr>
                <w:rFonts w:ascii="Verdana" w:hAnsi="Verdana" w:cs="Arial"/>
                <w:b/>
                <w:bCs/>
              </w:rPr>
              <w:t>2</w:t>
            </w:r>
            <w:r w:rsidR="00C671B5" w:rsidRPr="007C4D37">
              <w:rPr>
                <w:rFonts w:ascii="Verdana" w:hAnsi="Verdana" w:cs="Arial"/>
              </w:rPr>
              <w:t>).</w:t>
            </w:r>
            <w:r w:rsidR="00A26468" w:rsidRPr="007C4D37">
              <w:rPr>
                <w:rFonts w:ascii="Verdana" w:hAnsi="Verdana" w:cs="Arial"/>
              </w:rPr>
              <w:t xml:space="preserve"> </w:t>
            </w:r>
          </w:p>
          <w:p w14:paraId="3053D97E" w14:textId="77777777" w:rsidR="00DF7BD2" w:rsidRPr="007C4D37" w:rsidRDefault="00C524A2" w:rsidP="00467BA4">
            <w:pPr>
              <w:spacing w:before="120" w:after="120"/>
              <w:jc w:val="both"/>
              <w:rPr>
                <w:rFonts w:ascii="Verdana" w:hAnsi="Verdana" w:cs="Arial"/>
                <w:u w:val="single"/>
              </w:rPr>
            </w:pPr>
            <w:r w:rsidRPr="007C4D37">
              <w:rPr>
                <w:rFonts w:ascii="Verdana" w:hAnsi="Verdana" w:cs="Arial"/>
                <w:u w:val="single"/>
              </w:rPr>
              <w:t>Reporting</w:t>
            </w:r>
          </w:p>
          <w:p w14:paraId="26181C54" w14:textId="7965A01B" w:rsidR="00467BA4" w:rsidRPr="007C4D37" w:rsidRDefault="00650147" w:rsidP="00467BA4">
            <w:pPr>
              <w:spacing w:before="120" w:after="120"/>
              <w:jc w:val="both"/>
              <w:rPr>
                <w:rFonts w:ascii="Verdana" w:hAnsi="Verdana" w:cs="Arial"/>
                <w:i/>
                <w:iCs/>
              </w:rPr>
            </w:pPr>
            <w:r w:rsidRPr="007C4D37">
              <w:rPr>
                <w:rFonts w:ascii="Verdana" w:hAnsi="Verdana" w:cs="Arial"/>
              </w:rPr>
              <w:lastRenderedPageBreak/>
              <w:t xml:space="preserve">Progress in addressing the de-escalation criteria </w:t>
            </w:r>
            <w:r w:rsidR="00467BA4" w:rsidRPr="007C4D37">
              <w:rPr>
                <w:rFonts w:ascii="Verdana" w:hAnsi="Verdana" w:cs="Arial"/>
              </w:rPr>
              <w:t>ha</w:t>
            </w:r>
            <w:r w:rsidR="0040291B" w:rsidRPr="007C4D37">
              <w:rPr>
                <w:rFonts w:ascii="Verdana" w:hAnsi="Verdana" w:cs="Arial"/>
              </w:rPr>
              <w:t>s</w:t>
            </w:r>
            <w:r w:rsidR="00467BA4" w:rsidRPr="007C4D37">
              <w:rPr>
                <w:rFonts w:ascii="Verdana" w:hAnsi="Verdana" w:cs="Arial"/>
              </w:rPr>
              <w:t xml:space="preserve"> been </w:t>
            </w:r>
            <w:r w:rsidR="00DE11A6">
              <w:rPr>
                <w:rFonts w:ascii="Verdana" w:hAnsi="Verdana" w:cs="Arial"/>
              </w:rPr>
              <w:t>reported</w:t>
            </w:r>
            <w:r w:rsidR="00DE11A6" w:rsidRPr="007C4D37">
              <w:rPr>
                <w:rFonts w:ascii="Verdana" w:hAnsi="Verdana" w:cs="Arial"/>
              </w:rPr>
              <w:t xml:space="preserve"> </w:t>
            </w:r>
            <w:r w:rsidR="00467BA4" w:rsidRPr="007C4D37">
              <w:rPr>
                <w:rFonts w:ascii="Verdana" w:hAnsi="Verdana" w:cs="Arial"/>
              </w:rPr>
              <w:t xml:space="preserve">through the </w:t>
            </w:r>
            <w:r w:rsidR="00467BA4" w:rsidRPr="007C4D37">
              <w:rPr>
                <w:rFonts w:ascii="Verdana" w:hAnsi="Verdana" w:cs="Arial"/>
                <w:i/>
                <w:iCs/>
              </w:rPr>
              <w:t xml:space="preserve">Targeted Intervention </w:t>
            </w:r>
            <w:r w:rsidR="001D0A2C" w:rsidRPr="007C4D37">
              <w:rPr>
                <w:rFonts w:ascii="Verdana" w:hAnsi="Verdana" w:cs="Arial"/>
                <w:i/>
                <w:iCs/>
              </w:rPr>
              <w:t>R</w:t>
            </w:r>
            <w:r w:rsidR="00467BA4" w:rsidRPr="007C4D37">
              <w:rPr>
                <w:rFonts w:ascii="Verdana" w:hAnsi="Verdana" w:cs="Arial"/>
                <w:i/>
                <w:iCs/>
              </w:rPr>
              <w:t>eport</w:t>
            </w:r>
            <w:r w:rsidR="00467BA4" w:rsidRPr="007C4D37">
              <w:rPr>
                <w:rFonts w:ascii="Verdana" w:hAnsi="Verdana" w:cs="Arial"/>
              </w:rPr>
              <w:t xml:space="preserve">, presented to both the Board and the Performance and Finance Committee (PFC). </w:t>
            </w:r>
            <w:r w:rsidR="00B56F3E" w:rsidRPr="007C4D37">
              <w:rPr>
                <w:rFonts w:ascii="Verdana" w:hAnsi="Verdana" w:cs="Arial"/>
              </w:rPr>
              <w:t xml:space="preserve">Following </w:t>
            </w:r>
            <w:r w:rsidR="00E05F1A" w:rsidRPr="007C4D37">
              <w:rPr>
                <w:rFonts w:ascii="Verdana" w:hAnsi="Verdana" w:cs="Arial"/>
              </w:rPr>
              <w:t>consultation with Independent Members</w:t>
            </w:r>
            <w:r w:rsidR="006A7E4D">
              <w:rPr>
                <w:rFonts w:ascii="Verdana" w:hAnsi="Verdana" w:cs="Arial"/>
              </w:rPr>
              <w:t>,</w:t>
            </w:r>
            <w:r w:rsidR="00E05F1A" w:rsidRPr="007C4D37">
              <w:rPr>
                <w:rFonts w:ascii="Verdana" w:hAnsi="Verdana" w:cs="Arial"/>
              </w:rPr>
              <w:t xml:space="preserve"> the scope of the report has been expanded </w:t>
            </w:r>
            <w:r w:rsidR="001109C3" w:rsidRPr="007C4D37">
              <w:rPr>
                <w:rFonts w:ascii="Verdana" w:hAnsi="Verdana" w:cs="Arial"/>
              </w:rPr>
              <w:t xml:space="preserve">since March 2025 </w:t>
            </w:r>
            <w:r w:rsidR="00E05F1A" w:rsidRPr="007C4D37">
              <w:rPr>
                <w:rFonts w:ascii="Verdana" w:hAnsi="Verdana" w:cs="Arial"/>
              </w:rPr>
              <w:t xml:space="preserve">to </w:t>
            </w:r>
            <w:r w:rsidR="00E67D9B">
              <w:rPr>
                <w:rFonts w:ascii="Verdana" w:hAnsi="Verdana" w:cs="Arial"/>
              </w:rPr>
              <w:t>become the</w:t>
            </w:r>
            <w:r w:rsidR="00467BA4" w:rsidRPr="007C4D37">
              <w:rPr>
                <w:rFonts w:ascii="Verdana" w:hAnsi="Verdana" w:cs="Arial"/>
              </w:rPr>
              <w:t xml:space="preserve"> </w:t>
            </w:r>
            <w:r w:rsidR="00467BA4" w:rsidRPr="007C4D37">
              <w:rPr>
                <w:rFonts w:ascii="Verdana" w:hAnsi="Verdana" w:cs="Arial"/>
                <w:i/>
                <w:iCs/>
              </w:rPr>
              <w:t>Escalation and Oversight Report</w:t>
            </w:r>
            <w:r w:rsidR="00E67D9B">
              <w:rPr>
                <w:rFonts w:ascii="Verdana" w:hAnsi="Verdana" w:cs="Arial"/>
                <w:i/>
                <w:iCs/>
              </w:rPr>
              <w:t xml:space="preserve">, </w:t>
            </w:r>
            <w:r w:rsidR="00E67D9B" w:rsidRPr="007C4D37">
              <w:rPr>
                <w:rFonts w:ascii="Verdana" w:hAnsi="Verdana" w:cs="Arial"/>
              </w:rPr>
              <w:t>ensur</w:t>
            </w:r>
            <w:r w:rsidR="00E67D9B">
              <w:rPr>
                <w:rFonts w:ascii="Verdana" w:hAnsi="Verdana" w:cs="Arial"/>
              </w:rPr>
              <w:t>ing</w:t>
            </w:r>
            <w:r w:rsidR="00E67D9B" w:rsidRPr="007C4D37">
              <w:rPr>
                <w:rFonts w:ascii="Verdana" w:hAnsi="Verdana" w:cs="Arial"/>
              </w:rPr>
              <w:t xml:space="preserve"> visibility of all escalated areas</w:t>
            </w:r>
            <w:r w:rsidR="00467BA4" w:rsidRPr="007C4D37">
              <w:rPr>
                <w:rFonts w:ascii="Verdana" w:hAnsi="Verdana" w:cs="Arial"/>
              </w:rPr>
              <w:t>.</w:t>
            </w:r>
            <w:r w:rsidR="00650624" w:rsidRPr="007C4D37">
              <w:rPr>
                <w:rFonts w:ascii="Verdana" w:hAnsi="Verdana" w:cs="Arial"/>
              </w:rPr>
              <w:t xml:space="preserve"> </w:t>
            </w:r>
            <w:r w:rsidR="007F299E" w:rsidRPr="007C4D37">
              <w:rPr>
                <w:rFonts w:ascii="Verdana" w:hAnsi="Verdana" w:cs="Arial"/>
              </w:rPr>
              <w:t xml:space="preserve">Monthly updates are </w:t>
            </w:r>
            <w:r w:rsidR="00D979CD">
              <w:rPr>
                <w:rFonts w:ascii="Verdana" w:hAnsi="Verdana" w:cs="Arial"/>
              </w:rPr>
              <w:t xml:space="preserve">also </w:t>
            </w:r>
            <w:r w:rsidR="007F299E" w:rsidRPr="007C4D37">
              <w:rPr>
                <w:rFonts w:ascii="Verdana" w:hAnsi="Verdana" w:cs="Arial"/>
              </w:rPr>
              <w:t xml:space="preserve">provided </w:t>
            </w:r>
            <w:r w:rsidR="00CE4BC3" w:rsidRPr="007C4D37">
              <w:rPr>
                <w:rFonts w:ascii="Verdana" w:hAnsi="Verdana" w:cs="Arial"/>
              </w:rPr>
              <w:t>to</w:t>
            </w:r>
            <w:r w:rsidR="00650624" w:rsidRPr="007C4D37">
              <w:rPr>
                <w:rFonts w:ascii="Verdana" w:hAnsi="Verdana" w:cs="Arial"/>
              </w:rPr>
              <w:t xml:space="preserve"> Management Board</w:t>
            </w:r>
            <w:r w:rsidR="005F0D78" w:rsidRPr="007C4D37">
              <w:rPr>
                <w:rFonts w:ascii="Verdana" w:hAnsi="Verdana" w:cs="Arial"/>
              </w:rPr>
              <w:t xml:space="preserve"> </w:t>
            </w:r>
            <w:r w:rsidR="006C128B" w:rsidRPr="007C4D37">
              <w:rPr>
                <w:rFonts w:ascii="Verdana" w:hAnsi="Verdana" w:cs="Arial"/>
              </w:rPr>
              <w:t>presented by the COO</w:t>
            </w:r>
            <w:r w:rsidR="00D979CD">
              <w:rPr>
                <w:rFonts w:ascii="Verdana" w:hAnsi="Verdana" w:cs="Arial"/>
              </w:rPr>
              <w:t>,</w:t>
            </w:r>
            <w:r w:rsidR="00650624" w:rsidRPr="007C4D37">
              <w:rPr>
                <w:rFonts w:ascii="Verdana" w:hAnsi="Verdana" w:cs="Arial"/>
              </w:rPr>
              <w:t xml:space="preserve"> </w:t>
            </w:r>
            <w:r w:rsidR="00EC09DA" w:rsidRPr="007C4D37">
              <w:rPr>
                <w:rFonts w:ascii="Verdana" w:hAnsi="Verdana" w:cs="Arial"/>
              </w:rPr>
              <w:t>which</w:t>
            </w:r>
            <w:r w:rsidR="00DE2C58" w:rsidRPr="007C4D37">
              <w:rPr>
                <w:rFonts w:ascii="Verdana" w:hAnsi="Verdana" w:cs="Arial"/>
              </w:rPr>
              <w:t xml:space="preserve"> we </w:t>
            </w:r>
            <w:r w:rsidR="00BC4330">
              <w:rPr>
                <w:rFonts w:ascii="Verdana" w:hAnsi="Verdana" w:cs="Arial"/>
              </w:rPr>
              <w:t>understand</w:t>
            </w:r>
            <w:r w:rsidR="00EC09DA" w:rsidRPr="007C4D37">
              <w:rPr>
                <w:rFonts w:ascii="Verdana" w:hAnsi="Verdana" w:cs="Arial"/>
              </w:rPr>
              <w:t xml:space="preserve"> </w:t>
            </w:r>
            <w:r w:rsidR="000C4A75" w:rsidRPr="007C4D37">
              <w:rPr>
                <w:rFonts w:ascii="Verdana" w:hAnsi="Verdana" w:cs="Arial"/>
              </w:rPr>
              <w:t xml:space="preserve">mirror the performance updates </w:t>
            </w:r>
            <w:r w:rsidR="00BC4330">
              <w:rPr>
                <w:rFonts w:ascii="Verdana" w:hAnsi="Verdana" w:cs="Arial"/>
              </w:rPr>
              <w:t>submitt</w:t>
            </w:r>
            <w:r w:rsidR="00BC4330" w:rsidRPr="007C4D37">
              <w:rPr>
                <w:rFonts w:ascii="Verdana" w:hAnsi="Verdana" w:cs="Arial"/>
              </w:rPr>
              <w:t xml:space="preserve">ed </w:t>
            </w:r>
            <w:r w:rsidR="000C4A75" w:rsidRPr="007C4D37">
              <w:rPr>
                <w:rFonts w:ascii="Verdana" w:hAnsi="Verdana" w:cs="Arial"/>
              </w:rPr>
              <w:t>to Welsh Government</w:t>
            </w:r>
            <w:r w:rsidR="006C128B" w:rsidRPr="007C4D37">
              <w:rPr>
                <w:rFonts w:ascii="Verdana" w:hAnsi="Verdana" w:cs="Arial"/>
              </w:rPr>
              <w:t xml:space="preserve">. </w:t>
            </w:r>
            <w:r w:rsidR="00177E25" w:rsidRPr="007C4D37">
              <w:rPr>
                <w:rFonts w:ascii="Verdana" w:hAnsi="Verdana" w:cs="Arial"/>
              </w:rPr>
              <w:t>There has also been development of a</w:t>
            </w:r>
            <w:r w:rsidR="001234E2" w:rsidRPr="007C4D37">
              <w:rPr>
                <w:rFonts w:ascii="Verdana" w:hAnsi="Verdana" w:cs="Arial"/>
              </w:rPr>
              <w:t xml:space="preserve"> </w:t>
            </w:r>
            <w:r w:rsidR="00AD29B4">
              <w:rPr>
                <w:rFonts w:ascii="Verdana" w:hAnsi="Verdana" w:cs="Arial"/>
              </w:rPr>
              <w:t>TI</w:t>
            </w:r>
            <w:r w:rsidR="001234E2" w:rsidRPr="007C4D37">
              <w:rPr>
                <w:rFonts w:ascii="Verdana" w:hAnsi="Verdana" w:cs="Arial"/>
              </w:rPr>
              <w:t xml:space="preserve"> dashboard </w:t>
            </w:r>
            <w:r w:rsidR="00177E25" w:rsidRPr="007C4D37">
              <w:rPr>
                <w:rFonts w:ascii="Verdana" w:hAnsi="Verdana" w:cs="Arial"/>
              </w:rPr>
              <w:t>which</w:t>
            </w:r>
            <w:r w:rsidR="001234E2" w:rsidRPr="007C4D37">
              <w:rPr>
                <w:rFonts w:ascii="Verdana" w:hAnsi="Verdana" w:cs="Arial"/>
              </w:rPr>
              <w:t xml:space="preserve"> consolidate</w:t>
            </w:r>
            <w:r w:rsidR="006A1779" w:rsidRPr="007C4D37">
              <w:rPr>
                <w:rFonts w:ascii="Verdana" w:hAnsi="Verdana" w:cs="Arial"/>
              </w:rPr>
              <w:t>s</w:t>
            </w:r>
            <w:r w:rsidR="001F33ED" w:rsidRPr="007C4D37">
              <w:rPr>
                <w:rFonts w:ascii="Verdana" w:hAnsi="Verdana" w:cs="Arial"/>
              </w:rPr>
              <w:t xml:space="preserve"> de-escalation </w:t>
            </w:r>
            <w:r w:rsidR="001234E2" w:rsidRPr="007C4D37">
              <w:rPr>
                <w:rFonts w:ascii="Verdana" w:hAnsi="Verdana" w:cs="Arial"/>
              </w:rPr>
              <w:t xml:space="preserve">performance </w:t>
            </w:r>
            <w:r w:rsidR="008A19A2" w:rsidRPr="007C4D37">
              <w:rPr>
                <w:rFonts w:ascii="Verdana" w:hAnsi="Verdana" w:cs="Arial"/>
              </w:rPr>
              <w:t>indicators and</w:t>
            </w:r>
            <w:r w:rsidR="001F33ED" w:rsidRPr="007C4D37">
              <w:rPr>
                <w:rFonts w:ascii="Verdana" w:hAnsi="Verdana" w:cs="Arial"/>
              </w:rPr>
              <w:t xml:space="preserve"> </w:t>
            </w:r>
            <w:r w:rsidR="001234E2" w:rsidRPr="007C4D37">
              <w:rPr>
                <w:rFonts w:ascii="Verdana" w:hAnsi="Verdana" w:cs="Arial"/>
              </w:rPr>
              <w:t>provid</w:t>
            </w:r>
            <w:r w:rsidR="001F33ED" w:rsidRPr="007C4D37">
              <w:rPr>
                <w:rFonts w:ascii="Verdana" w:hAnsi="Verdana" w:cs="Arial"/>
              </w:rPr>
              <w:t>es</w:t>
            </w:r>
            <w:r w:rsidR="001234E2" w:rsidRPr="007C4D37">
              <w:rPr>
                <w:rFonts w:ascii="Verdana" w:hAnsi="Verdana" w:cs="Arial"/>
              </w:rPr>
              <w:t xml:space="preserve"> a </w:t>
            </w:r>
            <w:r w:rsidR="00C33639" w:rsidRPr="007C4D37">
              <w:rPr>
                <w:rFonts w:ascii="Verdana" w:hAnsi="Verdana" w:cs="Arial"/>
              </w:rPr>
              <w:t>central</w:t>
            </w:r>
            <w:r w:rsidR="001234E2" w:rsidRPr="007C4D37">
              <w:rPr>
                <w:rFonts w:ascii="Verdana" w:hAnsi="Verdana" w:cs="Arial"/>
              </w:rPr>
              <w:t xml:space="preserve"> mechanism for monitoring progress across </w:t>
            </w:r>
            <w:r w:rsidR="006040DF" w:rsidRPr="007C4D37">
              <w:rPr>
                <w:rFonts w:ascii="Verdana" w:hAnsi="Verdana" w:cs="Arial"/>
              </w:rPr>
              <w:t>services.</w:t>
            </w:r>
            <w:r w:rsidR="004632DD" w:rsidRPr="007C4D37">
              <w:rPr>
                <w:rFonts w:ascii="Verdana" w:hAnsi="Verdana" w:cs="Arial"/>
              </w:rPr>
              <w:t xml:space="preserve"> </w:t>
            </w:r>
            <w:r w:rsidR="00E55FEE" w:rsidRPr="007C4D37">
              <w:rPr>
                <w:rFonts w:ascii="Verdana" w:hAnsi="Verdana" w:cs="Arial"/>
              </w:rPr>
              <w:t xml:space="preserve"> </w:t>
            </w:r>
            <w:r w:rsidR="00ED19F5" w:rsidRPr="007C4D37">
              <w:rPr>
                <w:rFonts w:ascii="Verdana" w:hAnsi="Verdana" w:cs="Arial"/>
              </w:rPr>
              <w:t xml:space="preserve"> </w:t>
            </w:r>
          </w:p>
          <w:p w14:paraId="1F4739B5" w14:textId="2D2CCC8C" w:rsidR="000F58F4" w:rsidRPr="00C31028" w:rsidRDefault="0051075F" w:rsidP="00467BA4">
            <w:pPr>
              <w:spacing w:before="120" w:after="120"/>
              <w:jc w:val="both"/>
              <w:rPr>
                <w:rFonts w:ascii="Verdana" w:hAnsi="Verdana" w:cs="Arial"/>
                <w:color w:val="002060"/>
              </w:rPr>
            </w:pPr>
            <w:r>
              <w:rPr>
                <w:rFonts w:ascii="Verdana" w:hAnsi="Verdana" w:cs="Arial"/>
              </w:rPr>
              <w:t>Our</w:t>
            </w:r>
            <w:r w:rsidRPr="007C4D37">
              <w:rPr>
                <w:rFonts w:ascii="Verdana" w:hAnsi="Verdana" w:cs="Arial"/>
              </w:rPr>
              <w:t xml:space="preserve"> </w:t>
            </w:r>
            <w:r w:rsidR="00CA4E17" w:rsidRPr="007C4D37">
              <w:rPr>
                <w:rFonts w:ascii="Verdana" w:hAnsi="Verdana" w:cs="Arial"/>
              </w:rPr>
              <w:t xml:space="preserve">review of the Targeted Intervention and Escalation and Oversight reports from May 2024 to July 2025 confirms that they regularly </w:t>
            </w:r>
            <w:r w:rsidR="00234327" w:rsidRPr="007C4D37">
              <w:rPr>
                <w:rFonts w:ascii="Verdana" w:hAnsi="Verdana" w:cs="Arial"/>
              </w:rPr>
              <w:t>contain</w:t>
            </w:r>
            <w:r w:rsidR="00CA4E17" w:rsidRPr="007C4D37">
              <w:rPr>
                <w:rFonts w:ascii="Verdana" w:hAnsi="Verdana" w:cs="Arial"/>
              </w:rPr>
              <w:t xml:space="preserve"> actions intended to improve performance within escalated areas. However, their effectiveness as tools for </w:t>
            </w:r>
            <w:r w:rsidR="00B3652D" w:rsidRPr="007C4D37">
              <w:rPr>
                <w:rFonts w:ascii="Verdana" w:hAnsi="Verdana" w:cs="Arial"/>
              </w:rPr>
              <w:t xml:space="preserve">tracking </w:t>
            </w:r>
            <w:r w:rsidR="00CA4E17" w:rsidRPr="007C4D37">
              <w:rPr>
                <w:rFonts w:ascii="Verdana" w:hAnsi="Verdana" w:cs="Arial"/>
              </w:rPr>
              <w:t>progress and ensuring accountability</w:t>
            </w:r>
            <w:r w:rsidR="00797C21" w:rsidRPr="007C4D37">
              <w:rPr>
                <w:rFonts w:ascii="Verdana" w:hAnsi="Verdana" w:cs="Arial"/>
              </w:rPr>
              <w:t xml:space="preserve"> </w:t>
            </w:r>
            <w:r w:rsidR="006451D9">
              <w:rPr>
                <w:rFonts w:ascii="Verdana" w:hAnsi="Verdana" w:cs="Arial"/>
              </w:rPr>
              <w:t>is</w:t>
            </w:r>
            <w:r w:rsidR="00CA4E17" w:rsidRPr="007C4D37">
              <w:rPr>
                <w:rFonts w:ascii="Verdana" w:hAnsi="Verdana" w:cs="Arial"/>
              </w:rPr>
              <w:t xml:space="preserve"> limited</w:t>
            </w:r>
            <w:r w:rsidR="0096186E" w:rsidRPr="007C4D37">
              <w:rPr>
                <w:rFonts w:ascii="Verdana" w:hAnsi="Verdana" w:cs="Arial"/>
              </w:rPr>
              <w:t xml:space="preserve"> </w:t>
            </w:r>
            <w:r w:rsidR="00CE45DA" w:rsidRPr="007C4D37">
              <w:rPr>
                <w:rFonts w:ascii="Verdana" w:hAnsi="Verdana" w:cs="Arial"/>
              </w:rPr>
              <w:t xml:space="preserve">due to the </w:t>
            </w:r>
            <w:r w:rsidR="003503DD" w:rsidRPr="007C4D37">
              <w:rPr>
                <w:rFonts w:ascii="Verdana" w:hAnsi="Verdana" w:cs="Arial"/>
              </w:rPr>
              <w:t xml:space="preserve">current format and </w:t>
            </w:r>
            <w:r w:rsidR="006451D9">
              <w:rPr>
                <w:rFonts w:ascii="Verdana" w:hAnsi="Verdana" w:cs="Arial"/>
              </w:rPr>
              <w:t xml:space="preserve">lack of </w:t>
            </w:r>
            <w:r w:rsidR="003503DD" w:rsidRPr="007C4D37">
              <w:rPr>
                <w:rFonts w:ascii="Verdana" w:hAnsi="Verdana" w:cs="Arial"/>
              </w:rPr>
              <w:t xml:space="preserve">detail </w:t>
            </w:r>
            <w:r w:rsidR="00242A5E">
              <w:rPr>
                <w:rFonts w:ascii="Verdana" w:hAnsi="Verdana" w:cs="Arial"/>
              </w:rPr>
              <w:t>in the</w:t>
            </w:r>
            <w:r w:rsidR="00242A5E" w:rsidRPr="007C4D37">
              <w:rPr>
                <w:rFonts w:ascii="Verdana" w:hAnsi="Verdana" w:cs="Arial"/>
              </w:rPr>
              <w:t xml:space="preserve"> </w:t>
            </w:r>
            <w:r w:rsidR="003503DD" w:rsidRPr="007C4D37">
              <w:rPr>
                <w:rFonts w:ascii="Verdana" w:hAnsi="Verdana" w:cs="Arial"/>
              </w:rPr>
              <w:t>actions listed</w:t>
            </w:r>
            <w:r w:rsidR="00970178" w:rsidRPr="007C4D37">
              <w:rPr>
                <w:rFonts w:ascii="Verdana" w:hAnsi="Verdana" w:cs="Arial"/>
              </w:rPr>
              <w:t xml:space="preserve"> </w:t>
            </w:r>
            <w:r w:rsidR="00E1456D" w:rsidRPr="007C4D37">
              <w:rPr>
                <w:rFonts w:ascii="Verdana" w:hAnsi="Verdana" w:cs="Arial"/>
              </w:rPr>
              <w:t xml:space="preserve">(see </w:t>
            </w:r>
            <w:r w:rsidR="00E1456D" w:rsidRPr="007C4D37">
              <w:rPr>
                <w:rFonts w:ascii="Verdana" w:hAnsi="Verdana" w:cs="Arial"/>
                <w:b/>
                <w:bCs/>
              </w:rPr>
              <w:t xml:space="preserve">Key Finding </w:t>
            </w:r>
            <w:r w:rsidR="00752004" w:rsidRPr="007C4D37">
              <w:rPr>
                <w:rFonts w:ascii="Verdana" w:hAnsi="Verdana" w:cs="Arial"/>
                <w:b/>
                <w:bCs/>
              </w:rPr>
              <w:t>3</w:t>
            </w:r>
            <w:r w:rsidR="00E1456D" w:rsidRPr="007C4D37">
              <w:rPr>
                <w:rFonts w:ascii="Verdana" w:hAnsi="Verdana" w:cs="Arial"/>
              </w:rPr>
              <w:t>)</w:t>
            </w:r>
            <w:r w:rsidR="00CF0211" w:rsidRPr="007C4D37">
              <w:rPr>
                <w:rFonts w:ascii="Verdana" w:hAnsi="Verdana" w:cs="Arial"/>
              </w:rPr>
              <w:t>.</w:t>
            </w:r>
            <w:r w:rsidR="00417BE3" w:rsidRPr="007C4D37">
              <w:rPr>
                <w:rFonts w:ascii="Verdana" w:hAnsi="Verdana" w:cs="Arial"/>
              </w:rPr>
              <w:t xml:space="preserve"> The format of the Integrated Performance Report (IPR), which is presented to the Board, PFC, and Q</w:t>
            </w:r>
            <w:r w:rsidR="002C52B2" w:rsidRPr="007C4D37">
              <w:rPr>
                <w:rFonts w:ascii="Verdana" w:hAnsi="Verdana" w:cs="Arial"/>
              </w:rPr>
              <w:t xml:space="preserve">uality and </w:t>
            </w:r>
            <w:r w:rsidR="00417BE3" w:rsidRPr="007C4D37">
              <w:rPr>
                <w:rFonts w:ascii="Verdana" w:hAnsi="Verdana" w:cs="Arial"/>
              </w:rPr>
              <w:t>S</w:t>
            </w:r>
            <w:r w:rsidR="002C52B2" w:rsidRPr="007C4D37">
              <w:rPr>
                <w:rFonts w:ascii="Verdana" w:hAnsi="Verdana" w:cs="Arial"/>
              </w:rPr>
              <w:t xml:space="preserve">afety </w:t>
            </w:r>
            <w:r w:rsidR="00417BE3" w:rsidRPr="007C4D37">
              <w:rPr>
                <w:rFonts w:ascii="Verdana" w:hAnsi="Verdana" w:cs="Arial"/>
              </w:rPr>
              <w:t>C</w:t>
            </w:r>
            <w:r w:rsidR="002C52B2" w:rsidRPr="007C4D37">
              <w:rPr>
                <w:rFonts w:ascii="Verdana" w:hAnsi="Verdana" w:cs="Arial"/>
              </w:rPr>
              <w:t>ommittee</w:t>
            </w:r>
            <w:r w:rsidR="00417BE3" w:rsidRPr="007C4D37">
              <w:rPr>
                <w:rFonts w:ascii="Verdana" w:hAnsi="Verdana" w:cs="Arial"/>
              </w:rPr>
              <w:t>, has recently seen improvements</w:t>
            </w:r>
            <w:r w:rsidR="00242A5E">
              <w:rPr>
                <w:rFonts w:ascii="Verdana" w:hAnsi="Verdana" w:cs="Arial"/>
              </w:rPr>
              <w:t>. It now includes</w:t>
            </w:r>
            <w:r w:rsidR="00373950" w:rsidRPr="007C4D37">
              <w:rPr>
                <w:rFonts w:ascii="Verdana" w:hAnsi="Verdana" w:cs="Arial"/>
              </w:rPr>
              <w:t xml:space="preserve"> clearer framing and summaries of escalated </w:t>
            </w:r>
            <w:proofErr w:type="gramStart"/>
            <w:r w:rsidR="00373950" w:rsidRPr="007C4D37">
              <w:rPr>
                <w:rFonts w:ascii="Verdana" w:hAnsi="Verdana" w:cs="Arial"/>
              </w:rPr>
              <w:t>areas</w:t>
            </w:r>
            <w:r w:rsidR="0070699C" w:rsidRPr="007C4D37">
              <w:rPr>
                <w:rFonts w:ascii="Verdana" w:hAnsi="Verdana" w:cs="Arial"/>
              </w:rPr>
              <w:t>, and</w:t>
            </w:r>
            <w:proofErr w:type="gramEnd"/>
            <w:r w:rsidR="0012143C" w:rsidRPr="007C4D37">
              <w:rPr>
                <w:rFonts w:ascii="Verdana" w:hAnsi="Verdana" w:cs="Arial"/>
              </w:rPr>
              <w:t xml:space="preserve"> </w:t>
            </w:r>
            <w:r w:rsidR="00D71F9A">
              <w:rPr>
                <w:rFonts w:ascii="Verdana" w:hAnsi="Verdana" w:cs="Arial"/>
              </w:rPr>
              <w:t>is</w:t>
            </w:r>
            <w:r w:rsidR="006A6F6B" w:rsidRPr="007C4D37">
              <w:rPr>
                <w:rFonts w:ascii="Verdana" w:hAnsi="Verdana" w:cs="Arial"/>
              </w:rPr>
              <w:t xml:space="preserve"> responsive to Independent Members</w:t>
            </w:r>
            <w:r w:rsidR="00D71F9A">
              <w:rPr>
                <w:rFonts w:ascii="Verdana" w:hAnsi="Verdana" w:cs="Arial"/>
              </w:rPr>
              <w:t>’</w:t>
            </w:r>
            <w:r w:rsidR="006A6F6B" w:rsidRPr="007C4D37">
              <w:rPr>
                <w:rFonts w:ascii="Verdana" w:hAnsi="Verdana" w:cs="Arial"/>
              </w:rPr>
              <w:t xml:space="preserve"> requests for ‘deep dive’</w:t>
            </w:r>
            <w:r w:rsidR="001951F8" w:rsidRPr="007C4D37">
              <w:rPr>
                <w:rFonts w:ascii="Verdana" w:hAnsi="Verdana" w:cs="Arial"/>
              </w:rPr>
              <w:t xml:space="preserve"> reviews of specific areas of concern.</w:t>
            </w:r>
            <w:r w:rsidR="0070794A">
              <w:rPr>
                <w:rFonts w:ascii="Verdana" w:hAnsi="Verdana" w:cs="Arial"/>
              </w:rPr>
              <w:t xml:space="preserve"> </w:t>
            </w:r>
            <w:r w:rsidR="0008090B" w:rsidRPr="0008090B">
              <w:rPr>
                <w:rFonts w:ascii="Verdana" w:hAnsi="Verdana" w:cs="Arial"/>
              </w:rPr>
              <w:t>While trend data is available within the detail</w:t>
            </w:r>
            <w:r w:rsidR="0021456B">
              <w:rPr>
                <w:rFonts w:ascii="Verdana" w:hAnsi="Verdana" w:cs="Arial"/>
              </w:rPr>
              <w:t xml:space="preserve"> of the</w:t>
            </w:r>
            <w:r w:rsidR="0008090B" w:rsidRPr="0008090B">
              <w:rPr>
                <w:rFonts w:ascii="Verdana" w:hAnsi="Verdana" w:cs="Arial"/>
              </w:rPr>
              <w:t xml:space="preserve"> IPR and </w:t>
            </w:r>
            <w:r w:rsidR="0021456B">
              <w:rPr>
                <w:rFonts w:ascii="Verdana" w:hAnsi="Verdana" w:cs="Arial"/>
              </w:rPr>
              <w:t xml:space="preserve">TI </w:t>
            </w:r>
            <w:r w:rsidR="0008090B" w:rsidRPr="0008090B">
              <w:rPr>
                <w:rFonts w:ascii="Verdana" w:hAnsi="Verdana" w:cs="Arial"/>
              </w:rPr>
              <w:t xml:space="preserve">dashboard, summary reporting does not currently highlight where a de-escalation trigger has previously been met. Expanding the IPR to </w:t>
            </w:r>
            <w:r w:rsidR="006230DD">
              <w:rPr>
                <w:rFonts w:ascii="Verdana" w:hAnsi="Verdana" w:cs="Arial"/>
              </w:rPr>
              <w:t xml:space="preserve">outline this </w:t>
            </w:r>
            <w:r w:rsidR="00133013">
              <w:rPr>
                <w:rFonts w:ascii="Verdana" w:hAnsi="Verdana" w:cs="Arial"/>
              </w:rPr>
              <w:t xml:space="preserve">in a </w:t>
            </w:r>
            <w:r w:rsidR="006230DD">
              <w:rPr>
                <w:rFonts w:ascii="Verdana" w:hAnsi="Verdana" w:cs="Arial"/>
              </w:rPr>
              <w:t>clear</w:t>
            </w:r>
            <w:r w:rsidR="00133013">
              <w:rPr>
                <w:rFonts w:ascii="Verdana" w:hAnsi="Verdana" w:cs="Arial"/>
              </w:rPr>
              <w:t>er way</w:t>
            </w:r>
            <w:r w:rsidR="006230DD">
              <w:rPr>
                <w:rFonts w:ascii="Verdana" w:hAnsi="Verdana" w:cs="Arial"/>
              </w:rPr>
              <w:t xml:space="preserve"> </w:t>
            </w:r>
            <w:r w:rsidR="0008090B" w:rsidRPr="0008090B">
              <w:rPr>
                <w:rFonts w:ascii="Verdana" w:hAnsi="Verdana" w:cs="Arial"/>
              </w:rPr>
              <w:t>would offer a more rounded view of performance and escalation history</w:t>
            </w:r>
            <w:r w:rsidR="00416D6B">
              <w:rPr>
                <w:rFonts w:ascii="Verdana" w:hAnsi="Verdana" w:cs="Arial"/>
              </w:rPr>
              <w:t xml:space="preserve"> (see </w:t>
            </w:r>
            <w:r w:rsidR="00416D6B" w:rsidRPr="00EB79DA">
              <w:rPr>
                <w:rFonts w:ascii="Verdana" w:hAnsi="Verdana" w:cs="Arial"/>
                <w:b/>
                <w:bCs/>
              </w:rPr>
              <w:t>Key Finding 3</w:t>
            </w:r>
            <w:r w:rsidR="00416D6B">
              <w:rPr>
                <w:rFonts w:ascii="Verdana" w:hAnsi="Verdana" w:cs="Arial"/>
              </w:rPr>
              <w:t>)</w:t>
            </w:r>
            <w:r w:rsidR="0008090B" w:rsidRPr="0008090B">
              <w:rPr>
                <w:rFonts w:ascii="Verdana" w:hAnsi="Verdana" w:cs="Arial"/>
              </w:rPr>
              <w:t>.</w:t>
            </w:r>
          </w:p>
        </w:tc>
      </w:tr>
    </w:tbl>
    <w:p w14:paraId="7F19E458" w14:textId="77777777" w:rsidR="00336BF2" w:rsidRPr="00336BF2" w:rsidRDefault="00336BF2">
      <w:pPr>
        <w:rPr>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6"/>
        <w:gridCol w:w="6641"/>
        <w:gridCol w:w="2263"/>
        <w:gridCol w:w="6696"/>
      </w:tblGrid>
      <w:tr w:rsidR="00AA3198" w:rsidRPr="000929B0" w14:paraId="47338EC7" w14:textId="77777777" w:rsidTr="00D962BB">
        <w:trPr>
          <w:tblHeader/>
        </w:trPr>
        <w:tc>
          <w:tcPr>
            <w:tcW w:w="7207" w:type="dxa"/>
            <w:gridSpan w:val="2"/>
            <w:tcBorders>
              <w:top w:val="nil"/>
              <w:left w:val="nil"/>
              <w:bottom w:val="nil"/>
            </w:tcBorders>
            <w:shd w:val="clear" w:color="auto" w:fill="002060"/>
            <w:vAlign w:val="center"/>
          </w:tcPr>
          <w:p w14:paraId="2AD9065A" w14:textId="4FFE25F2" w:rsidR="00AA3198" w:rsidRPr="000929B0" w:rsidRDefault="00AA3198" w:rsidP="00CB1224">
            <w:pPr>
              <w:spacing w:before="120" w:after="120"/>
              <w:rPr>
                <w:rFonts w:ascii="Verdana" w:hAnsi="Verdana"/>
                <w:b/>
                <w:bCs/>
              </w:rPr>
            </w:pPr>
            <w:r w:rsidRPr="000929B0">
              <w:rPr>
                <w:rFonts w:ascii="Verdana" w:hAnsi="Verdana"/>
                <w:b/>
                <w:bCs/>
              </w:rPr>
              <w:t>Key Findings</w:t>
            </w:r>
          </w:p>
        </w:tc>
        <w:tc>
          <w:tcPr>
            <w:tcW w:w="2263" w:type="dxa"/>
            <w:tcBorders>
              <w:top w:val="nil"/>
              <w:bottom w:val="nil"/>
            </w:tcBorders>
            <w:shd w:val="clear" w:color="auto" w:fill="002060"/>
            <w:vAlign w:val="center"/>
          </w:tcPr>
          <w:p w14:paraId="2DD6B460" w14:textId="0E55970E" w:rsidR="00AA3198" w:rsidRPr="000929B0" w:rsidRDefault="00AA3198" w:rsidP="00CB1224">
            <w:pPr>
              <w:spacing w:before="120" w:after="120"/>
              <w:rPr>
                <w:rFonts w:ascii="Verdana" w:hAnsi="Verdana"/>
                <w:b/>
                <w:bCs/>
              </w:rPr>
            </w:pPr>
            <w:r w:rsidRPr="000929B0">
              <w:rPr>
                <w:rFonts w:ascii="Verdana" w:hAnsi="Verdana"/>
                <w:b/>
                <w:bCs/>
              </w:rPr>
              <w:t>Risk &amp; Impact</w:t>
            </w:r>
          </w:p>
        </w:tc>
        <w:tc>
          <w:tcPr>
            <w:tcW w:w="6696" w:type="dxa"/>
            <w:tcBorders>
              <w:top w:val="nil"/>
              <w:bottom w:val="nil"/>
              <w:right w:val="nil"/>
            </w:tcBorders>
            <w:shd w:val="clear" w:color="auto" w:fill="002060"/>
            <w:vAlign w:val="center"/>
          </w:tcPr>
          <w:p w14:paraId="20D2848B" w14:textId="040A14F8" w:rsidR="00AA3198" w:rsidRPr="000929B0" w:rsidRDefault="00AA3198" w:rsidP="00CB1224">
            <w:pPr>
              <w:spacing w:before="120" w:after="120"/>
              <w:rPr>
                <w:rFonts w:ascii="Verdana" w:hAnsi="Verdana"/>
                <w:b/>
                <w:bCs/>
              </w:rPr>
            </w:pPr>
            <w:r w:rsidRPr="000929B0">
              <w:rPr>
                <w:rFonts w:ascii="Verdana" w:hAnsi="Verdana"/>
                <w:b/>
                <w:bCs/>
              </w:rPr>
              <w:t xml:space="preserve">Agreed Management Action </w:t>
            </w:r>
          </w:p>
        </w:tc>
      </w:tr>
      <w:tr w:rsidR="0035433B" w:rsidRPr="000929B0" w14:paraId="4B90DD9A" w14:textId="77777777" w:rsidTr="000E5DB4">
        <w:trPr>
          <w:trHeight w:val="6236"/>
        </w:trPr>
        <w:tc>
          <w:tcPr>
            <w:tcW w:w="566" w:type="dxa"/>
            <w:vMerge w:val="restart"/>
            <w:tcBorders>
              <w:top w:val="nil"/>
              <w:left w:val="nil"/>
            </w:tcBorders>
            <w:shd w:val="clear" w:color="auto" w:fill="FFFFFF" w:themeFill="background1"/>
          </w:tcPr>
          <w:p w14:paraId="1FF950AC" w14:textId="1765913F" w:rsidR="0035433B" w:rsidRPr="00332AFA" w:rsidRDefault="0035433B" w:rsidP="00CB1224">
            <w:pPr>
              <w:spacing w:before="120" w:after="120"/>
              <w:jc w:val="center"/>
              <w:rPr>
                <w:rFonts w:ascii="Verdana" w:hAnsi="Verdana"/>
                <w:sz w:val="20"/>
                <w:szCs w:val="20"/>
              </w:rPr>
            </w:pPr>
            <w:r w:rsidRPr="00332AFA">
              <w:rPr>
                <w:rFonts w:ascii="Verdana" w:hAnsi="Verdana"/>
                <w:sz w:val="20"/>
                <w:szCs w:val="20"/>
              </w:rPr>
              <w:t>1</w:t>
            </w:r>
          </w:p>
        </w:tc>
        <w:tc>
          <w:tcPr>
            <w:tcW w:w="6641" w:type="dxa"/>
            <w:vMerge w:val="restart"/>
            <w:tcBorders>
              <w:top w:val="nil"/>
            </w:tcBorders>
            <w:shd w:val="clear" w:color="auto" w:fill="FFFFFF" w:themeFill="background1"/>
          </w:tcPr>
          <w:p w14:paraId="52847C0E" w14:textId="692B2185" w:rsidR="00F07372" w:rsidRPr="001E2C32" w:rsidRDefault="00DB74A4" w:rsidP="003239AA">
            <w:pPr>
              <w:spacing w:before="120" w:after="120"/>
              <w:jc w:val="both"/>
              <w:rPr>
                <w:rFonts w:ascii="Verdana" w:hAnsi="Verdana" w:cs="Arial"/>
                <w:b/>
                <w:bCs/>
                <w:sz w:val="20"/>
                <w:szCs w:val="20"/>
              </w:rPr>
            </w:pPr>
            <w:r w:rsidRPr="00DB74A4">
              <w:rPr>
                <w:rFonts w:ascii="Verdana" w:hAnsi="Verdana" w:cs="Arial"/>
                <w:b/>
                <w:bCs/>
                <w:sz w:val="20"/>
                <w:szCs w:val="20"/>
              </w:rPr>
              <w:t>Gaps in Escalation Governance and Accountability</w:t>
            </w:r>
          </w:p>
          <w:p w14:paraId="3E2FB395" w14:textId="50028080" w:rsidR="00970349" w:rsidRDefault="00255DB2" w:rsidP="003239AA">
            <w:pPr>
              <w:spacing w:before="120" w:after="120"/>
              <w:jc w:val="both"/>
              <w:rPr>
                <w:rFonts w:ascii="Verdana" w:hAnsi="Verdana" w:cs="Arial"/>
                <w:sz w:val="20"/>
                <w:szCs w:val="20"/>
              </w:rPr>
            </w:pPr>
            <w:r w:rsidRPr="00255DB2">
              <w:rPr>
                <w:rFonts w:ascii="Verdana" w:hAnsi="Verdana" w:cs="Arial"/>
                <w:sz w:val="20"/>
                <w:szCs w:val="20"/>
              </w:rPr>
              <w:t xml:space="preserve">The </w:t>
            </w:r>
            <w:r>
              <w:rPr>
                <w:rFonts w:ascii="Verdana" w:hAnsi="Verdana" w:cs="Arial"/>
                <w:sz w:val="20"/>
                <w:szCs w:val="20"/>
              </w:rPr>
              <w:t>h</w:t>
            </w:r>
            <w:r w:rsidRPr="00255DB2">
              <w:rPr>
                <w:rFonts w:ascii="Verdana" w:hAnsi="Verdana" w:cs="Arial"/>
                <w:sz w:val="20"/>
                <w:szCs w:val="20"/>
              </w:rPr>
              <w:t xml:space="preserve">ealth </w:t>
            </w:r>
            <w:r>
              <w:rPr>
                <w:rFonts w:ascii="Verdana" w:hAnsi="Verdana" w:cs="Arial"/>
                <w:sz w:val="20"/>
                <w:szCs w:val="20"/>
              </w:rPr>
              <w:t>b</w:t>
            </w:r>
            <w:r w:rsidRPr="00255DB2">
              <w:rPr>
                <w:rFonts w:ascii="Verdana" w:hAnsi="Verdana" w:cs="Arial"/>
                <w:sz w:val="20"/>
                <w:szCs w:val="20"/>
              </w:rPr>
              <w:t>oard’s Targeted Intervention (TI) governance structures</w:t>
            </w:r>
            <w:r>
              <w:rPr>
                <w:rFonts w:ascii="Verdana" w:hAnsi="Verdana" w:cs="Arial"/>
                <w:sz w:val="20"/>
                <w:szCs w:val="20"/>
              </w:rPr>
              <w:t xml:space="preserve">, </w:t>
            </w:r>
            <w:r w:rsidRPr="00255DB2">
              <w:rPr>
                <w:rFonts w:ascii="Verdana" w:hAnsi="Verdana" w:cs="Arial"/>
                <w:sz w:val="20"/>
                <w:szCs w:val="20"/>
              </w:rPr>
              <w:t>originally established to oversee improvement in escalated areas</w:t>
            </w:r>
            <w:r w:rsidR="00970349">
              <w:rPr>
                <w:rFonts w:ascii="Verdana" w:hAnsi="Verdana" w:cs="Arial"/>
                <w:sz w:val="20"/>
                <w:szCs w:val="20"/>
              </w:rPr>
              <w:t>, h</w:t>
            </w:r>
            <w:r w:rsidRPr="00255DB2">
              <w:rPr>
                <w:rFonts w:ascii="Verdana" w:hAnsi="Verdana" w:cs="Arial"/>
                <w:sz w:val="20"/>
                <w:szCs w:val="20"/>
              </w:rPr>
              <w:t xml:space="preserve">ave been stood down or </w:t>
            </w:r>
            <w:r w:rsidR="00DD534D" w:rsidRPr="00255DB2">
              <w:rPr>
                <w:rFonts w:ascii="Verdana" w:hAnsi="Verdana" w:cs="Arial"/>
                <w:sz w:val="20"/>
                <w:szCs w:val="20"/>
              </w:rPr>
              <w:t xml:space="preserve">paused </w:t>
            </w:r>
            <w:r w:rsidR="00DD534D">
              <w:rPr>
                <w:rFonts w:ascii="Verdana" w:hAnsi="Verdana" w:cs="Arial"/>
                <w:sz w:val="20"/>
                <w:szCs w:val="20"/>
              </w:rPr>
              <w:t>with</w:t>
            </w:r>
            <w:r w:rsidR="00970349">
              <w:rPr>
                <w:rFonts w:ascii="Verdana" w:hAnsi="Verdana" w:cs="Arial"/>
                <w:sz w:val="20"/>
                <w:szCs w:val="20"/>
              </w:rPr>
              <w:t xml:space="preserve"> over</w:t>
            </w:r>
            <w:r w:rsidRPr="00255DB2">
              <w:rPr>
                <w:rFonts w:ascii="Verdana" w:hAnsi="Verdana" w:cs="Arial"/>
                <w:sz w:val="20"/>
                <w:szCs w:val="20"/>
              </w:rPr>
              <w:t>sight revert</w:t>
            </w:r>
            <w:r w:rsidR="00970349">
              <w:rPr>
                <w:rFonts w:ascii="Verdana" w:hAnsi="Verdana" w:cs="Arial"/>
                <w:sz w:val="20"/>
                <w:szCs w:val="20"/>
              </w:rPr>
              <w:t>ing</w:t>
            </w:r>
            <w:r w:rsidRPr="00255DB2">
              <w:rPr>
                <w:rFonts w:ascii="Verdana" w:hAnsi="Verdana" w:cs="Arial"/>
                <w:sz w:val="20"/>
                <w:szCs w:val="20"/>
              </w:rPr>
              <w:t xml:space="preserve"> to business-as-usual groups</w:t>
            </w:r>
            <w:r w:rsidR="00970349">
              <w:rPr>
                <w:rFonts w:ascii="Verdana" w:hAnsi="Verdana" w:cs="Arial"/>
                <w:sz w:val="20"/>
                <w:szCs w:val="20"/>
              </w:rPr>
              <w:t xml:space="preserve">. </w:t>
            </w:r>
          </w:p>
          <w:p w14:paraId="6D08F92A" w14:textId="77777777" w:rsidR="007E372B" w:rsidRDefault="0025344A" w:rsidP="003239AA">
            <w:pPr>
              <w:spacing w:before="120" w:after="120"/>
              <w:jc w:val="both"/>
              <w:rPr>
                <w:rFonts w:ascii="Verdana" w:hAnsi="Verdana" w:cs="Arial"/>
                <w:sz w:val="20"/>
                <w:szCs w:val="20"/>
              </w:rPr>
            </w:pPr>
            <w:r>
              <w:rPr>
                <w:rFonts w:ascii="Verdana" w:hAnsi="Verdana" w:cs="Arial"/>
                <w:sz w:val="20"/>
                <w:szCs w:val="20"/>
              </w:rPr>
              <w:t xml:space="preserve">We could not identify these changes being reported to the board, and our review of terms of reference for those groups noted they </w:t>
            </w:r>
            <w:r w:rsidR="00255DB2" w:rsidRPr="00255DB2">
              <w:rPr>
                <w:rFonts w:ascii="Verdana" w:hAnsi="Verdana" w:cs="Arial"/>
                <w:sz w:val="20"/>
                <w:szCs w:val="20"/>
              </w:rPr>
              <w:t>do not consistently reflect responsibilities for escalation-related actions.</w:t>
            </w:r>
          </w:p>
          <w:p w14:paraId="7F610F1A" w14:textId="072596F0" w:rsidR="00521E4A" w:rsidRDefault="009829B7" w:rsidP="003239AA">
            <w:pPr>
              <w:spacing w:before="120" w:after="120"/>
              <w:jc w:val="both"/>
              <w:rPr>
                <w:rFonts w:ascii="Verdana" w:hAnsi="Verdana" w:cs="Arial"/>
                <w:sz w:val="20"/>
                <w:szCs w:val="20"/>
              </w:rPr>
            </w:pPr>
            <w:r w:rsidRPr="009829B7">
              <w:rPr>
                <w:rFonts w:ascii="Verdana" w:hAnsi="Verdana" w:cs="Arial"/>
                <w:sz w:val="20"/>
                <w:szCs w:val="20"/>
              </w:rPr>
              <w:t>Further changes to the health board</w:t>
            </w:r>
            <w:r w:rsidR="002F6C38">
              <w:rPr>
                <w:rFonts w:ascii="Verdana" w:hAnsi="Verdana" w:cs="Arial"/>
                <w:sz w:val="20"/>
                <w:szCs w:val="20"/>
              </w:rPr>
              <w:t>’</w:t>
            </w:r>
            <w:r w:rsidRPr="009829B7">
              <w:rPr>
                <w:rFonts w:ascii="Verdana" w:hAnsi="Verdana" w:cs="Arial"/>
                <w:sz w:val="20"/>
                <w:szCs w:val="20"/>
              </w:rPr>
              <w:t>s escalation status have followed, notably the additional escalation of Finance and Strategy, which fall outside the remit of the original SRO</w:t>
            </w:r>
            <w:r w:rsidR="00291C06">
              <w:rPr>
                <w:rFonts w:ascii="Verdana" w:hAnsi="Verdana" w:cs="Arial"/>
                <w:sz w:val="20"/>
                <w:szCs w:val="20"/>
              </w:rPr>
              <w:t>.</w:t>
            </w:r>
            <w:r w:rsidRPr="009829B7">
              <w:rPr>
                <w:rFonts w:ascii="Verdana" w:hAnsi="Verdana" w:cs="Arial"/>
                <w:sz w:val="20"/>
                <w:szCs w:val="20"/>
              </w:rPr>
              <w:t xml:space="preserve"> </w:t>
            </w:r>
            <w:r w:rsidR="007D3911" w:rsidRPr="007D3911">
              <w:rPr>
                <w:rFonts w:ascii="Verdana" w:hAnsi="Verdana" w:cs="Arial"/>
                <w:sz w:val="20"/>
                <w:szCs w:val="20"/>
              </w:rPr>
              <w:t>Despite th</w:t>
            </w:r>
            <w:r w:rsidR="00291C06">
              <w:rPr>
                <w:rFonts w:ascii="Verdana" w:hAnsi="Verdana" w:cs="Arial"/>
                <w:sz w:val="20"/>
                <w:szCs w:val="20"/>
              </w:rPr>
              <w:t>is there has been</w:t>
            </w:r>
            <w:r w:rsidR="007D3911" w:rsidRPr="007D3911">
              <w:rPr>
                <w:rFonts w:ascii="Verdana" w:hAnsi="Verdana" w:cs="Arial"/>
                <w:sz w:val="20"/>
                <w:szCs w:val="20"/>
              </w:rPr>
              <w:t xml:space="preserve"> no formal reassignment or clarification of executive-level accountability. This has resulted in a lack of clarity regarding who holds ultimate responsibility for addressing specific escalated issues.</w:t>
            </w:r>
          </w:p>
          <w:p w14:paraId="510E888C" w14:textId="2449469F" w:rsidR="00474277" w:rsidRDefault="001D0724" w:rsidP="008D327A">
            <w:pPr>
              <w:spacing w:before="120" w:after="120"/>
              <w:jc w:val="both"/>
              <w:rPr>
                <w:rFonts w:ascii="Verdana" w:hAnsi="Verdana" w:cs="Arial"/>
                <w:sz w:val="20"/>
                <w:szCs w:val="20"/>
              </w:rPr>
            </w:pPr>
            <w:r>
              <w:rPr>
                <w:rFonts w:ascii="Verdana" w:hAnsi="Verdana" w:cs="Arial"/>
                <w:sz w:val="20"/>
                <w:szCs w:val="20"/>
              </w:rPr>
              <w:t xml:space="preserve">Comparison with </w:t>
            </w:r>
            <w:r w:rsidR="009F072E">
              <w:rPr>
                <w:rFonts w:ascii="Verdana" w:hAnsi="Verdana" w:cs="Arial"/>
                <w:sz w:val="20"/>
                <w:szCs w:val="20"/>
              </w:rPr>
              <w:t xml:space="preserve">other NHS Wales organisations noted </w:t>
            </w:r>
            <w:r w:rsidR="00474277">
              <w:rPr>
                <w:rFonts w:ascii="Verdana" w:hAnsi="Verdana" w:cs="Arial"/>
                <w:sz w:val="20"/>
                <w:szCs w:val="20"/>
              </w:rPr>
              <w:t xml:space="preserve">more formal arrangements which include: </w:t>
            </w:r>
          </w:p>
          <w:p w14:paraId="558070C1" w14:textId="69A35DFE" w:rsidR="00474277" w:rsidRPr="00474277" w:rsidRDefault="00A6760A" w:rsidP="006A122D">
            <w:pPr>
              <w:pStyle w:val="ListParagraph"/>
              <w:numPr>
                <w:ilvl w:val="0"/>
                <w:numId w:val="9"/>
              </w:numPr>
              <w:spacing w:before="120" w:after="120"/>
              <w:jc w:val="both"/>
              <w:rPr>
                <w:rFonts w:ascii="Verdana" w:hAnsi="Verdana" w:cs="Arial"/>
                <w:sz w:val="20"/>
                <w:szCs w:val="20"/>
              </w:rPr>
            </w:pPr>
            <w:r w:rsidRPr="00474277">
              <w:rPr>
                <w:rFonts w:ascii="Verdana" w:hAnsi="Verdana" w:cs="Arial"/>
                <w:sz w:val="20"/>
                <w:szCs w:val="20"/>
              </w:rPr>
              <w:t xml:space="preserve">Hywel Dda University Health Board has implemented a governance framework for </w:t>
            </w:r>
            <w:r w:rsidR="00AF57A1">
              <w:rPr>
                <w:rFonts w:ascii="Verdana" w:hAnsi="Verdana" w:cs="Arial"/>
                <w:sz w:val="20"/>
                <w:szCs w:val="20"/>
              </w:rPr>
              <w:t>TI</w:t>
            </w:r>
            <w:r w:rsidRPr="00474277">
              <w:rPr>
                <w:rFonts w:ascii="Verdana" w:hAnsi="Verdana" w:cs="Arial"/>
                <w:sz w:val="20"/>
                <w:szCs w:val="20"/>
              </w:rPr>
              <w:t xml:space="preserve">, including formal reporting groups, committee-assigned actions led by Executive Directors, visual assurance ratings, and escalation </w:t>
            </w:r>
            <w:r w:rsidRPr="00474277">
              <w:rPr>
                <w:rFonts w:ascii="Verdana" w:hAnsi="Verdana" w:cs="Arial"/>
                <w:sz w:val="20"/>
                <w:szCs w:val="20"/>
              </w:rPr>
              <w:lastRenderedPageBreak/>
              <w:t xml:space="preserve">processes for non-engaging directorates. Oversight is supported by a 100-day planning cycle. </w:t>
            </w:r>
          </w:p>
          <w:p w14:paraId="0EFE3757" w14:textId="77777777" w:rsidR="001F5FA7" w:rsidRDefault="00A6760A" w:rsidP="006A122D">
            <w:pPr>
              <w:pStyle w:val="ListParagraph"/>
              <w:numPr>
                <w:ilvl w:val="0"/>
                <w:numId w:val="9"/>
              </w:numPr>
              <w:spacing w:before="120" w:after="120"/>
              <w:jc w:val="both"/>
              <w:rPr>
                <w:rFonts w:ascii="Verdana" w:hAnsi="Verdana" w:cs="Arial"/>
                <w:sz w:val="20"/>
                <w:szCs w:val="20"/>
              </w:rPr>
            </w:pPr>
            <w:r w:rsidRPr="00474277">
              <w:rPr>
                <w:rFonts w:ascii="Verdana" w:hAnsi="Verdana" w:cs="Arial"/>
                <w:sz w:val="20"/>
                <w:szCs w:val="20"/>
              </w:rPr>
              <w:t xml:space="preserve">Digital Health and Care Wales (DHCW) </w:t>
            </w:r>
            <w:proofErr w:type="gramStart"/>
            <w:r w:rsidRPr="00474277">
              <w:rPr>
                <w:rFonts w:ascii="Verdana" w:hAnsi="Verdana" w:cs="Arial"/>
                <w:sz w:val="20"/>
                <w:szCs w:val="20"/>
              </w:rPr>
              <w:t>has</w:t>
            </w:r>
            <w:proofErr w:type="gramEnd"/>
            <w:r w:rsidRPr="00474277">
              <w:rPr>
                <w:rFonts w:ascii="Verdana" w:hAnsi="Verdana" w:cs="Arial"/>
                <w:sz w:val="20"/>
                <w:szCs w:val="20"/>
              </w:rPr>
              <w:t xml:space="preserve"> developed an Enhanced Monitoring Improvement Plan with defined deliverables, timetabled outputs, and programme-specific oversight, including internal audit and Welsh Government reporting. Dedicated governance structures support key areas such as digital medicines and diagnostics, with progress tracked through a stakeholder review framework and external advisory input.</w:t>
            </w:r>
          </w:p>
          <w:p w14:paraId="70524341" w14:textId="77777777" w:rsidR="001505C3" w:rsidRDefault="004251E5" w:rsidP="006A122D">
            <w:pPr>
              <w:pStyle w:val="ListParagraph"/>
              <w:numPr>
                <w:ilvl w:val="0"/>
                <w:numId w:val="9"/>
              </w:numPr>
              <w:spacing w:before="120" w:after="120"/>
              <w:jc w:val="both"/>
              <w:rPr>
                <w:rFonts w:ascii="Verdana" w:hAnsi="Verdana" w:cs="Arial"/>
                <w:sz w:val="20"/>
                <w:szCs w:val="20"/>
              </w:rPr>
            </w:pPr>
            <w:r>
              <w:rPr>
                <w:rFonts w:ascii="Verdana" w:hAnsi="Verdana" w:cs="Arial"/>
                <w:sz w:val="20"/>
                <w:szCs w:val="20"/>
              </w:rPr>
              <w:t>Aneurin Bevan University Health Board has adopted a hybrid approach which aligns external escalation with its internal performance management framework</w:t>
            </w:r>
            <w:r w:rsidR="00D449E9">
              <w:rPr>
                <w:rFonts w:ascii="Verdana" w:hAnsi="Verdana" w:cs="Arial"/>
                <w:sz w:val="20"/>
                <w:szCs w:val="20"/>
              </w:rPr>
              <w:t>.</w:t>
            </w:r>
          </w:p>
          <w:p w14:paraId="336CF767" w14:textId="465A7BB4" w:rsidR="0002228F" w:rsidRPr="0002228F" w:rsidRDefault="00DB0A64" w:rsidP="0002228F">
            <w:pPr>
              <w:spacing w:before="120" w:after="120"/>
              <w:jc w:val="both"/>
              <w:rPr>
                <w:rFonts w:ascii="Verdana" w:hAnsi="Verdana" w:cs="Arial"/>
                <w:sz w:val="20"/>
                <w:szCs w:val="20"/>
              </w:rPr>
            </w:pPr>
            <w:r w:rsidRPr="00DB0A64">
              <w:rPr>
                <w:rFonts w:ascii="Verdana" w:hAnsi="Verdana" w:cs="Arial"/>
                <w:sz w:val="20"/>
                <w:szCs w:val="20"/>
              </w:rPr>
              <w:t xml:space="preserve">We understand the health board has initiated the </w:t>
            </w:r>
            <w:r w:rsidRPr="00F356DF">
              <w:rPr>
                <w:rFonts w:ascii="Verdana" w:hAnsi="Verdana" w:cs="Arial"/>
                <w:sz w:val="20"/>
                <w:szCs w:val="20"/>
              </w:rPr>
              <w:t>‘Organising for Success’</w:t>
            </w:r>
            <w:r w:rsidRPr="00DB0A64">
              <w:rPr>
                <w:rFonts w:ascii="Verdana" w:hAnsi="Verdana" w:cs="Arial"/>
                <w:sz w:val="20"/>
                <w:szCs w:val="20"/>
              </w:rPr>
              <w:t xml:space="preserve"> programme, which includes consideration of governance arrangements. This may provide an opportunity to strengthen the formality of its escalation arrangements.</w:t>
            </w:r>
          </w:p>
        </w:tc>
        <w:tc>
          <w:tcPr>
            <w:tcW w:w="2263" w:type="dxa"/>
            <w:vMerge w:val="restart"/>
            <w:tcBorders>
              <w:top w:val="nil"/>
            </w:tcBorders>
            <w:shd w:val="clear" w:color="auto" w:fill="FFFFFF" w:themeFill="background1"/>
          </w:tcPr>
          <w:p w14:paraId="343ADEDD" w14:textId="77777777" w:rsidR="00DA4465" w:rsidRDefault="00DA4465" w:rsidP="00CB1224">
            <w:pPr>
              <w:spacing w:before="120" w:after="120"/>
              <w:jc w:val="both"/>
              <w:rPr>
                <w:rFonts w:ascii="Verdana" w:hAnsi="Verdana"/>
                <w:sz w:val="20"/>
                <w:szCs w:val="20"/>
              </w:rPr>
            </w:pPr>
            <w:r w:rsidRPr="00DA4465">
              <w:rPr>
                <w:rFonts w:ascii="Verdana" w:hAnsi="Verdana"/>
                <w:sz w:val="20"/>
                <w:szCs w:val="20"/>
              </w:rPr>
              <w:lastRenderedPageBreak/>
              <w:t>Governance changes were not formally reported, reducing Board visibility and assurance over escalation activity.</w:t>
            </w:r>
          </w:p>
          <w:p w14:paraId="3F4BD7A4" w14:textId="77777777" w:rsidR="00B7584F" w:rsidRDefault="00B7584F" w:rsidP="00CB1224">
            <w:pPr>
              <w:spacing w:before="120" w:after="120"/>
              <w:jc w:val="both"/>
              <w:rPr>
                <w:rFonts w:ascii="Verdana" w:hAnsi="Verdana"/>
                <w:sz w:val="20"/>
                <w:szCs w:val="20"/>
              </w:rPr>
            </w:pPr>
          </w:p>
          <w:p w14:paraId="3A988AEF" w14:textId="17EECD6F" w:rsidR="001E1190" w:rsidRPr="00822DC5" w:rsidRDefault="00B7584F" w:rsidP="00CB1224">
            <w:pPr>
              <w:spacing w:before="120" w:after="120"/>
              <w:jc w:val="both"/>
              <w:rPr>
                <w:rFonts w:ascii="Verdana" w:hAnsi="Verdana"/>
                <w:sz w:val="20"/>
                <w:szCs w:val="20"/>
              </w:rPr>
            </w:pPr>
            <w:r w:rsidRPr="00B7584F">
              <w:rPr>
                <w:rFonts w:ascii="Verdana" w:hAnsi="Verdana"/>
                <w:sz w:val="20"/>
                <w:szCs w:val="20"/>
              </w:rPr>
              <w:t>Oversight groups lack clear responsibility for escalation actions, weakening ownership and performance monitoring.</w:t>
            </w:r>
          </w:p>
        </w:tc>
        <w:tc>
          <w:tcPr>
            <w:tcW w:w="6696" w:type="dxa"/>
            <w:tcBorders>
              <w:top w:val="nil"/>
              <w:right w:val="nil"/>
            </w:tcBorders>
            <w:shd w:val="clear" w:color="auto" w:fill="FFFFFF" w:themeFill="background1"/>
          </w:tcPr>
          <w:p w14:paraId="3AABB548" w14:textId="77777777" w:rsidR="0035433B" w:rsidRPr="00822DC5" w:rsidRDefault="0035433B" w:rsidP="00CB1224">
            <w:pPr>
              <w:spacing w:before="120" w:after="120"/>
              <w:rPr>
                <w:rFonts w:ascii="Verdana" w:hAnsi="Verdana"/>
                <w:b/>
                <w:bCs/>
                <w:sz w:val="20"/>
                <w:szCs w:val="20"/>
              </w:rPr>
            </w:pPr>
            <w:r w:rsidRPr="00822DC5">
              <w:rPr>
                <w:rFonts w:ascii="Verdana" w:hAnsi="Verdana"/>
                <w:b/>
                <w:bCs/>
                <w:sz w:val="20"/>
                <w:szCs w:val="20"/>
              </w:rPr>
              <w:t>Agreed Action:</w:t>
            </w:r>
          </w:p>
          <w:p w14:paraId="6765BB78" w14:textId="1ADCCB19" w:rsidR="008C7EBB" w:rsidRPr="00C428A2" w:rsidRDefault="008C7EBB" w:rsidP="005E5590">
            <w:pPr>
              <w:numPr>
                <w:ilvl w:val="0"/>
                <w:numId w:val="1"/>
              </w:numPr>
              <w:spacing w:before="120" w:after="120"/>
              <w:jc w:val="both"/>
              <w:rPr>
                <w:rFonts w:ascii="Verdana" w:hAnsi="Verdana"/>
                <w:i/>
                <w:iCs/>
                <w:sz w:val="20"/>
                <w:szCs w:val="20"/>
              </w:rPr>
            </w:pPr>
            <w:r w:rsidRPr="00C428A2">
              <w:rPr>
                <w:rFonts w:ascii="Verdana" w:hAnsi="Verdana"/>
                <w:i/>
                <w:iCs/>
                <w:sz w:val="20"/>
                <w:szCs w:val="20"/>
              </w:rPr>
              <w:t>Conduct a benchmark analysis</w:t>
            </w:r>
            <w:r w:rsidR="003E232F" w:rsidRPr="00C428A2">
              <w:rPr>
                <w:rFonts w:ascii="Verdana" w:hAnsi="Verdana"/>
                <w:i/>
                <w:iCs/>
                <w:sz w:val="20"/>
                <w:szCs w:val="20"/>
              </w:rPr>
              <w:t xml:space="preserve"> to identify suitable elements </w:t>
            </w:r>
            <w:r w:rsidR="0076285A" w:rsidRPr="00C428A2">
              <w:rPr>
                <w:rFonts w:ascii="Verdana" w:hAnsi="Verdana"/>
                <w:i/>
                <w:iCs/>
                <w:sz w:val="20"/>
                <w:szCs w:val="20"/>
              </w:rPr>
              <w:t>from other NHS Wales organisations for adoption within the health boards own response.</w:t>
            </w:r>
          </w:p>
          <w:p w14:paraId="43B91785" w14:textId="6A6BBE04" w:rsidR="00F21C02" w:rsidRPr="00C428A2" w:rsidRDefault="00C576B2" w:rsidP="005E5590">
            <w:pPr>
              <w:numPr>
                <w:ilvl w:val="0"/>
                <w:numId w:val="1"/>
              </w:numPr>
              <w:spacing w:before="120" w:after="120"/>
              <w:jc w:val="both"/>
              <w:rPr>
                <w:rFonts w:ascii="Verdana" w:hAnsi="Verdana"/>
                <w:i/>
                <w:iCs/>
                <w:sz w:val="20"/>
                <w:szCs w:val="20"/>
              </w:rPr>
            </w:pPr>
            <w:r w:rsidRPr="00C428A2">
              <w:rPr>
                <w:rFonts w:ascii="Verdana" w:hAnsi="Verdana"/>
                <w:i/>
                <w:iCs/>
                <w:sz w:val="20"/>
                <w:szCs w:val="20"/>
              </w:rPr>
              <w:t xml:space="preserve">Clarify the </w:t>
            </w:r>
            <w:r w:rsidR="00084E85" w:rsidRPr="00C428A2">
              <w:rPr>
                <w:rFonts w:ascii="Verdana" w:hAnsi="Verdana"/>
                <w:i/>
                <w:iCs/>
                <w:sz w:val="20"/>
                <w:szCs w:val="20"/>
              </w:rPr>
              <w:t>escalation governance structure</w:t>
            </w:r>
            <w:r w:rsidR="0076285A" w:rsidRPr="00C428A2">
              <w:rPr>
                <w:rFonts w:ascii="Verdana" w:hAnsi="Verdana"/>
                <w:i/>
                <w:iCs/>
                <w:sz w:val="20"/>
                <w:szCs w:val="20"/>
              </w:rPr>
              <w:t xml:space="preserve"> and confirm to the board</w:t>
            </w:r>
            <w:r w:rsidR="00F21C02" w:rsidRPr="00C428A2">
              <w:rPr>
                <w:rFonts w:ascii="Verdana" w:hAnsi="Verdana"/>
                <w:i/>
                <w:iCs/>
                <w:sz w:val="20"/>
                <w:szCs w:val="20"/>
              </w:rPr>
              <w:t>:</w:t>
            </w:r>
          </w:p>
          <w:p w14:paraId="6DC018C2" w14:textId="1C21D76D" w:rsidR="00F21C02" w:rsidRPr="00C428A2" w:rsidRDefault="0076285A" w:rsidP="005E5590">
            <w:pPr>
              <w:numPr>
                <w:ilvl w:val="1"/>
                <w:numId w:val="1"/>
              </w:numPr>
              <w:spacing w:before="120" w:after="120"/>
              <w:jc w:val="both"/>
              <w:rPr>
                <w:rFonts w:ascii="Verdana" w:hAnsi="Verdana"/>
                <w:i/>
                <w:iCs/>
                <w:sz w:val="20"/>
                <w:szCs w:val="20"/>
              </w:rPr>
            </w:pPr>
            <w:r w:rsidRPr="00C428A2">
              <w:rPr>
                <w:rFonts w:ascii="Verdana" w:hAnsi="Verdana"/>
                <w:i/>
                <w:iCs/>
                <w:sz w:val="20"/>
                <w:szCs w:val="20"/>
              </w:rPr>
              <w:t>the</w:t>
            </w:r>
            <w:r w:rsidR="007717B7" w:rsidRPr="00C428A2">
              <w:rPr>
                <w:rFonts w:ascii="Verdana" w:hAnsi="Verdana"/>
                <w:i/>
                <w:iCs/>
                <w:sz w:val="20"/>
                <w:szCs w:val="20"/>
              </w:rPr>
              <w:t xml:space="preserve"> </w:t>
            </w:r>
            <w:r w:rsidR="00CF7263" w:rsidRPr="00C428A2">
              <w:rPr>
                <w:rFonts w:ascii="Verdana" w:hAnsi="Verdana"/>
                <w:i/>
                <w:iCs/>
                <w:sz w:val="20"/>
                <w:szCs w:val="20"/>
              </w:rPr>
              <w:t>dedicated TI/EM structures, or revision of business-as-usual groups</w:t>
            </w:r>
            <w:r w:rsidR="00EF3002" w:rsidRPr="00C428A2">
              <w:rPr>
                <w:rFonts w:ascii="Verdana" w:hAnsi="Verdana"/>
                <w:i/>
                <w:iCs/>
                <w:sz w:val="20"/>
                <w:szCs w:val="20"/>
              </w:rPr>
              <w:t xml:space="preserve"> terms of reference to ensure they include specific responsibilities for escalation related actions and reporting.</w:t>
            </w:r>
          </w:p>
          <w:p w14:paraId="0916D25D" w14:textId="1A7F6889" w:rsidR="0038280F" w:rsidRPr="00F21C02" w:rsidRDefault="00292731" w:rsidP="005E5590">
            <w:pPr>
              <w:numPr>
                <w:ilvl w:val="1"/>
                <w:numId w:val="1"/>
              </w:numPr>
              <w:spacing w:before="120" w:after="120"/>
              <w:jc w:val="both"/>
              <w:rPr>
                <w:rFonts w:ascii="Verdana" w:hAnsi="Verdana"/>
                <w:sz w:val="20"/>
                <w:szCs w:val="20"/>
              </w:rPr>
            </w:pPr>
            <w:r w:rsidRPr="00C428A2">
              <w:rPr>
                <w:rFonts w:ascii="Verdana" w:hAnsi="Verdana"/>
                <w:i/>
                <w:iCs/>
                <w:sz w:val="20"/>
                <w:szCs w:val="20"/>
              </w:rPr>
              <w:t>including relevant accountability at executive level.</w:t>
            </w:r>
            <w:r w:rsidR="00B13F90">
              <w:rPr>
                <w:rFonts w:ascii="Verdana" w:hAnsi="Verdana"/>
                <w:sz w:val="20"/>
                <w:szCs w:val="20"/>
              </w:rPr>
              <w:t xml:space="preserve"> </w:t>
            </w:r>
          </w:p>
        </w:tc>
      </w:tr>
      <w:tr w:rsidR="0035433B" w:rsidRPr="000929B0" w14:paraId="7E9A2794" w14:textId="77777777" w:rsidTr="00F92AED">
        <w:tc>
          <w:tcPr>
            <w:tcW w:w="566" w:type="dxa"/>
            <w:vMerge/>
            <w:tcBorders>
              <w:left w:val="nil"/>
            </w:tcBorders>
            <w:shd w:val="clear" w:color="auto" w:fill="FFFFFF" w:themeFill="background1"/>
          </w:tcPr>
          <w:p w14:paraId="42309A52" w14:textId="77777777" w:rsidR="0035433B" w:rsidRPr="00332AFA" w:rsidRDefault="0035433B" w:rsidP="00CB1224">
            <w:pPr>
              <w:spacing w:before="120" w:after="120"/>
              <w:jc w:val="center"/>
              <w:rPr>
                <w:rFonts w:ascii="Verdana" w:hAnsi="Verdana"/>
                <w:sz w:val="20"/>
                <w:szCs w:val="20"/>
              </w:rPr>
            </w:pPr>
          </w:p>
        </w:tc>
        <w:tc>
          <w:tcPr>
            <w:tcW w:w="6641" w:type="dxa"/>
            <w:vMerge/>
            <w:shd w:val="clear" w:color="auto" w:fill="FFFFFF" w:themeFill="background1"/>
          </w:tcPr>
          <w:p w14:paraId="5D9D11A8" w14:textId="77777777" w:rsidR="0035433B" w:rsidRPr="00822DC5" w:rsidRDefault="0035433B" w:rsidP="00CB1224">
            <w:pPr>
              <w:spacing w:before="120" w:after="120"/>
              <w:rPr>
                <w:rFonts w:ascii="Verdana" w:hAnsi="Verdana"/>
                <w:sz w:val="20"/>
                <w:szCs w:val="20"/>
              </w:rPr>
            </w:pPr>
          </w:p>
        </w:tc>
        <w:tc>
          <w:tcPr>
            <w:tcW w:w="2263" w:type="dxa"/>
            <w:vMerge/>
            <w:tcBorders>
              <w:bottom w:val="dotted" w:sz="4" w:space="0" w:color="002060"/>
            </w:tcBorders>
            <w:shd w:val="clear" w:color="auto" w:fill="FFFFFF" w:themeFill="background1"/>
            <w:vAlign w:val="center"/>
          </w:tcPr>
          <w:p w14:paraId="6DBB3A03" w14:textId="77777777" w:rsidR="0035433B" w:rsidRPr="00822DC5" w:rsidRDefault="0035433B" w:rsidP="00CB1224">
            <w:pPr>
              <w:spacing w:before="120" w:after="120"/>
              <w:jc w:val="center"/>
              <w:rPr>
                <w:rFonts w:ascii="Verdana" w:hAnsi="Verdana"/>
                <w:sz w:val="20"/>
                <w:szCs w:val="20"/>
              </w:rPr>
            </w:pPr>
          </w:p>
        </w:tc>
        <w:tc>
          <w:tcPr>
            <w:tcW w:w="6696" w:type="dxa"/>
            <w:tcBorders>
              <w:right w:val="nil"/>
            </w:tcBorders>
            <w:shd w:val="clear" w:color="auto" w:fill="FFFFFF" w:themeFill="background1"/>
          </w:tcPr>
          <w:p w14:paraId="74E35D37" w14:textId="77777777" w:rsidR="0035433B" w:rsidRPr="00822DC5" w:rsidRDefault="0035433B" w:rsidP="00CB1224">
            <w:pPr>
              <w:spacing w:before="120" w:after="120"/>
              <w:rPr>
                <w:rFonts w:ascii="Verdana" w:hAnsi="Verdana"/>
                <w:b/>
                <w:bCs/>
                <w:sz w:val="20"/>
                <w:szCs w:val="20"/>
              </w:rPr>
            </w:pPr>
            <w:r w:rsidRPr="00822DC5">
              <w:rPr>
                <w:rFonts w:ascii="Verdana" w:hAnsi="Verdana"/>
                <w:b/>
                <w:bCs/>
                <w:sz w:val="20"/>
                <w:szCs w:val="20"/>
              </w:rPr>
              <w:t>Expected Evidence of Implementation:</w:t>
            </w:r>
          </w:p>
          <w:p w14:paraId="1C940E6F" w14:textId="77777777" w:rsidR="0035433B" w:rsidRPr="00C428A2" w:rsidRDefault="009D40B8" w:rsidP="005E5590">
            <w:pPr>
              <w:pStyle w:val="ListParagraph"/>
              <w:numPr>
                <w:ilvl w:val="0"/>
                <w:numId w:val="16"/>
              </w:numPr>
              <w:spacing w:before="120" w:after="120"/>
              <w:jc w:val="both"/>
              <w:rPr>
                <w:rFonts w:ascii="Verdana" w:hAnsi="Verdana"/>
                <w:i/>
                <w:iCs/>
                <w:sz w:val="20"/>
                <w:szCs w:val="20"/>
              </w:rPr>
            </w:pPr>
            <w:r w:rsidRPr="00C428A2">
              <w:rPr>
                <w:rFonts w:ascii="Verdana" w:hAnsi="Verdana"/>
                <w:i/>
                <w:iCs/>
                <w:sz w:val="20"/>
                <w:szCs w:val="20"/>
              </w:rPr>
              <w:t>Benchmarking report or comparative analysis of NHS Wales organisations escalation arrangements.</w:t>
            </w:r>
          </w:p>
          <w:p w14:paraId="2FBA9BFB" w14:textId="77777777" w:rsidR="009D40B8" w:rsidRPr="00C428A2" w:rsidRDefault="002A79B7" w:rsidP="005E5590">
            <w:pPr>
              <w:pStyle w:val="ListParagraph"/>
              <w:numPr>
                <w:ilvl w:val="0"/>
                <w:numId w:val="16"/>
              </w:numPr>
              <w:spacing w:before="120" w:after="120"/>
              <w:jc w:val="both"/>
              <w:rPr>
                <w:rFonts w:ascii="Verdana" w:hAnsi="Verdana"/>
                <w:i/>
                <w:iCs/>
                <w:sz w:val="20"/>
                <w:szCs w:val="20"/>
              </w:rPr>
            </w:pPr>
            <w:r w:rsidRPr="00C428A2">
              <w:rPr>
                <w:rFonts w:ascii="Verdana" w:hAnsi="Verdana"/>
                <w:i/>
                <w:iCs/>
                <w:sz w:val="20"/>
                <w:szCs w:val="20"/>
              </w:rPr>
              <w:t>Updates escalation governance framework or structure map.</w:t>
            </w:r>
          </w:p>
          <w:p w14:paraId="3AC86913" w14:textId="77777777" w:rsidR="002A79B7" w:rsidRPr="00C428A2" w:rsidRDefault="002A79B7" w:rsidP="005E5590">
            <w:pPr>
              <w:pStyle w:val="ListParagraph"/>
              <w:numPr>
                <w:ilvl w:val="0"/>
                <w:numId w:val="16"/>
              </w:numPr>
              <w:spacing w:before="120" w:after="120"/>
              <w:jc w:val="both"/>
              <w:rPr>
                <w:rFonts w:ascii="Verdana" w:hAnsi="Verdana"/>
                <w:i/>
                <w:iCs/>
                <w:sz w:val="20"/>
                <w:szCs w:val="20"/>
              </w:rPr>
            </w:pPr>
            <w:r w:rsidRPr="00C428A2">
              <w:rPr>
                <w:rFonts w:ascii="Verdana" w:hAnsi="Verdana"/>
                <w:i/>
                <w:iCs/>
                <w:sz w:val="20"/>
                <w:szCs w:val="20"/>
              </w:rPr>
              <w:t>Revised terms of reference for relevant groups showing escalation responsibilities.</w:t>
            </w:r>
          </w:p>
          <w:p w14:paraId="732BFE00" w14:textId="77777777" w:rsidR="006A1C6F" w:rsidRPr="00C428A2" w:rsidRDefault="006A1C6F" w:rsidP="005E5590">
            <w:pPr>
              <w:pStyle w:val="ListParagraph"/>
              <w:numPr>
                <w:ilvl w:val="0"/>
                <w:numId w:val="16"/>
              </w:numPr>
              <w:spacing w:before="120" w:after="120"/>
              <w:jc w:val="both"/>
              <w:rPr>
                <w:rFonts w:ascii="Verdana" w:hAnsi="Verdana"/>
                <w:i/>
                <w:iCs/>
                <w:sz w:val="20"/>
                <w:szCs w:val="20"/>
              </w:rPr>
            </w:pPr>
            <w:r w:rsidRPr="00C428A2">
              <w:rPr>
                <w:rFonts w:ascii="Verdana" w:hAnsi="Verdana"/>
                <w:i/>
                <w:iCs/>
                <w:sz w:val="20"/>
                <w:szCs w:val="20"/>
              </w:rPr>
              <w:t>Executive accountability matrix with updated SRO descriptions or delegations.</w:t>
            </w:r>
          </w:p>
          <w:p w14:paraId="140AD500" w14:textId="7729E582" w:rsidR="00BD245C" w:rsidRPr="00C428A2" w:rsidRDefault="00BD245C" w:rsidP="005E5590">
            <w:pPr>
              <w:pStyle w:val="ListParagraph"/>
              <w:numPr>
                <w:ilvl w:val="0"/>
                <w:numId w:val="16"/>
              </w:numPr>
              <w:spacing w:before="120" w:after="120"/>
              <w:jc w:val="both"/>
              <w:rPr>
                <w:rFonts w:ascii="Verdana" w:hAnsi="Verdana"/>
                <w:sz w:val="20"/>
                <w:szCs w:val="20"/>
              </w:rPr>
            </w:pPr>
            <w:r w:rsidRPr="00C428A2">
              <w:rPr>
                <w:rFonts w:ascii="Verdana" w:hAnsi="Verdana"/>
                <w:i/>
                <w:iCs/>
                <w:sz w:val="20"/>
                <w:szCs w:val="20"/>
              </w:rPr>
              <w:t>Board minutes confirming discussion of TI governance structures.</w:t>
            </w:r>
          </w:p>
        </w:tc>
      </w:tr>
      <w:tr w:rsidR="0035433B" w:rsidRPr="000929B0" w14:paraId="6E356D35" w14:textId="77777777" w:rsidTr="00C428A2">
        <w:trPr>
          <w:trHeight w:hRule="exact" w:val="4162"/>
        </w:trPr>
        <w:tc>
          <w:tcPr>
            <w:tcW w:w="566" w:type="dxa"/>
            <w:vMerge/>
            <w:tcBorders>
              <w:left w:val="nil"/>
            </w:tcBorders>
            <w:shd w:val="clear" w:color="auto" w:fill="FFFFFF" w:themeFill="background1"/>
          </w:tcPr>
          <w:p w14:paraId="18B2A221" w14:textId="77777777" w:rsidR="0035433B" w:rsidRPr="00332AFA" w:rsidRDefault="0035433B" w:rsidP="00CB1224">
            <w:pPr>
              <w:spacing w:before="120" w:after="120"/>
              <w:jc w:val="center"/>
              <w:rPr>
                <w:rFonts w:ascii="Verdana" w:hAnsi="Verdana"/>
                <w:sz w:val="20"/>
                <w:szCs w:val="20"/>
              </w:rPr>
            </w:pPr>
          </w:p>
        </w:tc>
        <w:tc>
          <w:tcPr>
            <w:tcW w:w="6641" w:type="dxa"/>
            <w:vMerge/>
            <w:shd w:val="clear" w:color="auto" w:fill="FFFFFF" w:themeFill="background1"/>
          </w:tcPr>
          <w:p w14:paraId="18028C21" w14:textId="430CB537" w:rsidR="0035433B" w:rsidRPr="00822DC5" w:rsidRDefault="0035433B" w:rsidP="00CB1224">
            <w:pPr>
              <w:spacing w:before="120" w:after="120"/>
              <w:rPr>
                <w:rFonts w:ascii="Verdana" w:hAnsi="Verdana" w:cs="Arial"/>
                <w:sz w:val="20"/>
                <w:szCs w:val="20"/>
              </w:rPr>
            </w:pPr>
          </w:p>
        </w:tc>
        <w:sdt>
          <w:sdtPr>
            <w:rPr>
              <w:rFonts w:ascii="Verdana" w:hAnsi="Verdana"/>
              <w:b/>
              <w:bCs/>
              <w:sz w:val="20"/>
              <w:szCs w:val="20"/>
            </w:rPr>
            <w:alias w:val="Priority"/>
            <w:tag w:val="Priority"/>
            <w:id w:val="-1336149910"/>
            <w:placeholder>
              <w:docPart w:val="4DEC48053F8A4B48AB373481AC870BE1"/>
            </w:placeholder>
            <w:dropDownList>
              <w:listItem w:value="Choose an item."/>
              <w:listItem w:displayText="High Priority" w:value="High Priority"/>
              <w:listItem w:displayText="Medium Priority" w:value="Medium Priority"/>
            </w:dropDownList>
          </w:sdtPr>
          <w:sdtEndPr/>
          <w:sdtContent>
            <w:tc>
              <w:tcPr>
                <w:tcW w:w="2263" w:type="dxa"/>
                <w:tcBorders>
                  <w:bottom w:val="nil"/>
                </w:tcBorders>
                <w:shd w:val="clear" w:color="auto" w:fill="FFFF00"/>
                <w:vAlign w:val="center"/>
              </w:tcPr>
              <w:p w14:paraId="34C6940C" w14:textId="187952FF" w:rsidR="0035433B" w:rsidRPr="0009335B" w:rsidRDefault="00F82A43" w:rsidP="00CB1224">
                <w:pPr>
                  <w:spacing w:before="120" w:after="120"/>
                  <w:jc w:val="center"/>
                  <w:rPr>
                    <w:rFonts w:ascii="Verdana" w:hAnsi="Verdana"/>
                    <w:b/>
                    <w:bCs/>
                    <w:sz w:val="20"/>
                    <w:szCs w:val="20"/>
                  </w:rPr>
                </w:pPr>
                <w:r w:rsidRPr="0009335B">
                  <w:rPr>
                    <w:rFonts w:ascii="Verdana" w:hAnsi="Verdana"/>
                    <w:b/>
                    <w:bCs/>
                    <w:sz w:val="20"/>
                    <w:szCs w:val="20"/>
                  </w:rPr>
                  <w:t>Medium Priority</w:t>
                </w:r>
              </w:p>
            </w:tc>
          </w:sdtContent>
        </w:sdt>
        <w:tc>
          <w:tcPr>
            <w:tcW w:w="6696" w:type="dxa"/>
            <w:vMerge w:val="restart"/>
            <w:tcBorders>
              <w:right w:val="nil"/>
            </w:tcBorders>
            <w:shd w:val="clear" w:color="auto" w:fill="FFFFFF" w:themeFill="background1"/>
            <w:vAlign w:val="center"/>
          </w:tcPr>
          <w:p w14:paraId="1E51C611" w14:textId="195C0D5B" w:rsidR="0035433B" w:rsidRPr="00822DC5" w:rsidRDefault="0035433B" w:rsidP="00CB1224">
            <w:pPr>
              <w:spacing w:before="120" w:after="120"/>
              <w:rPr>
                <w:rFonts w:ascii="Verdana" w:hAnsi="Verdana"/>
                <w:b/>
                <w:bCs/>
                <w:sz w:val="20"/>
                <w:szCs w:val="20"/>
              </w:rPr>
            </w:pPr>
            <w:r w:rsidRPr="00822DC5">
              <w:rPr>
                <w:rFonts w:ascii="Verdana" w:hAnsi="Verdana"/>
                <w:b/>
                <w:bCs/>
                <w:sz w:val="20"/>
                <w:szCs w:val="20"/>
              </w:rPr>
              <w:t>Officer:</w:t>
            </w:r>
            <w:r w:rsidR="00F57799" w:rsidRPr="00822DC5">
              <w:rPr>
                <w:rFonts w:ascii="Verdana" w:hAnsi="Verdana"/>
                <w:b/>
                <w:bCs/>
                <w:sz w:val="20"/>
                <w:szCs w:val="20"/>
              </w:rPr>
              <w:t xml:space="preserve"> </w:t>
            </w:r>
            <w:r w:rsidR="00CD5387">
              <w:rPr>
                <w:rFonts w:ascii="Verdana" w:hAnsi="Verdana"/>
                <w:b/>
                <w:bCs/>
                <w:sz w:val="20"/>
                <w:szCs w:val="20"/>
              </w:rPr>
              <w:t>Head of Health Board Performance</w:t>
            </w:r>
          </w:p>
          <w:p w14:paraId="1244A332" w14:textId="2CE9BB3A" w:rsidR="0035433B" w:rsidRPr="00822DC5" w:rsidRDefault="00C632C0" w:rsidP="00CB1224">
            <w:pPr>
              <w:spacing w:before="120" w:after="120"/>
              <w:rPr>
                <w:rFonts w:ascii="Verdana" w:hAnsi="Verdana"/>
                <w:b/>
                <w:bCs/>
                <w:sz w:val="20"/>
                <w:szCs w:val="20"/>
              </w:rPr>
            </w:pPr>
            <w:r>
              <w:rPr>
                <w:rFonts w:ascii="Verdana" w:hAnsi="Verdana"/>
                <w:b/>
                <w:bCs/>
                <w:sz w:val="20"/>
                <w:szCs w:val="20"/>
              </w:rPr>
              <w:t xml:space="preserve">Target </w:t>
            </w:r>
            <w:r w:rsidR="00800E34">
              <w:rPr>
                <w:rFonts w:ascii="Verdana" w:hAnsi="Verdana"/>
                <w:b/>
                <w:bCs/>
                <w:sz w:val="20"/>
                <w:szCs w:val="20"/>
              </w:rPr>
              <w:t xml:space="preserve">Implementation </w:t>
            </w:r>
            <w:r w:rsidR="0035433B" w:rsidRPr="00822DC5">
              <w:rPr>
                <w:rFonts w:ascii="Verdana" w:hAnsi="Verdana"/>
                <w:b/>
                <w:bCs/>
                <w:sz w:val="20"/>
                <w:szCs w:val="20"/>
              </w:rPr>
              <w:t>Date:</w:t>
            </w:r>
            <w:r w:rsidR="00CD5387">
              <w:rPr>
                <w:rFonts w:ascii="Verdana" w:hAnsi="Verdana"/>
                <w:b/>
                <w:bCs/>
                <w:sz w:val="20"/>
                <w:szCs w:val="20"/>
              </w:rPr>
              <w:t xml:space="preserve"> April 2026</w:t>
            </w:r>
          </w:p>
        </w:tc>
      </w:tr>
      <w:tr w:rsidR="00D62427" w:rsidRPr="000929B0" w14:paraId="2B9487DB" w14:textId="77777777" w:rsidTr="00C428A2">
        <w:trPr>
          <w:trHeight w:hRule="exact" w:val="431"/>
        </w:trPr>
        <w:tc>
          <w:tcPr>
            <w:tcW w:w="566" w:type="dxa"/>
            <w:vMerge/>
            <w:tcBorders>
              <w:left w:val="nil"/>
              <w:bottom w:val="dotted" w:sz="4" w:space="0" w:color="002060"/>
            </w:tcBorders>
            <w:shd w:val="clear" w:color="auto" w:fill="FFFFFF" w:themeFill="background1"/>
          </w:tcPr>
          <w:p w14:paraId="0CF723A5" w14:textId="77777777" w:rsidR="00D62427" w:rsidRPr="00332AFA" w:rsidRDefault="00D62427" w:rsidP="00CB1224">
            <w:pPr>
              <w:spacing w:before="120" w:after="120"/>
              <w:jc w:val="center"/>
              <w:rPr>
                <w:rFonts w:ascii="Verdana" w:hAnsi="Verdana"/>
                <w:sz w:val="20"/>
                <w:szCs w:val="20"/>
              </w:rPr>
            </w:pPr>
          </w:p>
        </w:tc>
        <w:tc>
          <w:tcPr>
            <w:tcW w:w="6641" w:type="dxa"/>
            <w:tcBorders>
              <w:bottom w:val="dotted" w:sz="4" w:space="0" w:color="002060"/>
            </w:tcBorders>
            <w:shd w:val="clear" w:color="auto" w:fill="FFFFFF" w:themeFill="background1"/>
            <w:vAlign w:val="center"/>
          </w:tcPr>
          <w:p w14:paraId="001F1E6D" w14:textId="5B5C00FB" w:rsidR="00D62427" w:rsidRPr="00822DC5" w:rsidRDefault="00D62427" w:rsidP="00CB1224">
            <w:pPr>
              <w:spacing w:before="120" w:after="12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981727556"/>
                <w:placeholder>
                  <w:docPart w:val="D315CD3D893F49EC89750C6713CE275C"/>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A27768">
                  <w:rPr>
                    <w:rStyle w:val="Themes"/>
                    <w:szCs w:val="20"/>
                  </w:rPr>
                  <w:t xml:space="preserve">Governance </w:t>
                </w:r>
              </w:sdtContent>
            </w:sdt>
          </w:p>
        </w:tc>
        <w:sdt>
          <w:sdtPr>
            <w:rPr>
              <w:rFonts w:ascii="Verdana" w:hAnsi="Verdana"/>
              <w:sz w:val="20"/>
              <w:szCs w:val="20"/>
            </w:rPr>
            <w:alias w:val="Design/Operation"/>
            <w:tag w:val="Design/Operation"/>
            <w:id w:val="-895044576"/>
            <w:placeholder>
              <w:docPart w:val="3169B92BC3694C64A390D272BAE3A390"/>
            </w:placeholder>
            <w:dropDownList>
              <w:listItem w:value="Choose an item."/>
              <w:listItem w:displayText="Control Design " w:value="Control Design "/>
              <w:listItem w:displayText="Control Operation " w:value="Control Operation "/>
            </w:dropDownList>
          </w:sdtPr>
          <w:sdtEndPr/>
          <w:sdtContent>
            <w:tc>
              <w:tcPr>
                <w:tcW w:w="2263" w:type="dxa"/>
                <w:tcBorders>
                  <w:top w:val="nil"/>
                  <w:bottom w:val="dotted" w:sz="4" w:space="0" w:color="002060"/>
                </w:tcBorders>
                <w:shd w:val="clear" w:color="auto" w:fill="FFFFFF" w:themeFill="background1"/>
                <w:vAlign w:val="center"/>
              </w:tcPr>
              <w:p w14:paraId="44DEF8E4" w14:textId="3F29C4D6" w:rsidR="00D62427" w:rsidRPr="00822DC5" w:rsidRDefault="00F026DB" w:rsidP="00CB1224">
                <w:pPr>
                  <w:spacing w:before="120" w:after="120"/>
                  <w:jc w:val="center"/>
                  <w:rPr>
                    <w:rFonts w:ascii="Verdana" w:hAnsi="Verdana"/>
                    <w:sz w:val="20"/>
                    <w:szCs w:val="20"/>
                  </w:rPr>
                </w:pPr>
                <w:r>
                  <w:rPr>
                    <w:rFonts w:ascii="Verdana" w:hAnsi="Verdana"/>
                    <w:sz w:val="20"/>
                    <w:szCs w:val="20"/>
                  </w:rPr>
                  <w:t xml:space="preserve">Control Design </w:t>
                </w:r>
              </w:p>
            </w:tc>
          </w:sdtContent>
        </w:sdt>
        <w:tc>
          <w:tcPr>
            <w:tcW w:w="6696" w:type="dxa"/>
            <w:vMerge/>
            <w:tcBorders>
              <w:bottom w:val="dotted" w:sz="4" w:space="0" w:color="002060"/>
              <w:right w:val="nil"/>
            </w:tcBorders>
            <w:shd w:val="clear" w:color="auto" w:fill="FFFFFF" w:themeFill="background1"/>
          </w:tcPr>
          <w:p w14:paraId="38FF0CA2" w14:textId="77777777" w:rsidR="00D62427" w:rsidRPr="00822DC5" w:rsidRDefault="00D62427" w:rsidP="00CB1224">
            <w:pPr>
              <w:spacing w:before="120" w:after="120"/>
              <w:rPr>
                <w:rFonts w:ascii="Verdana" w:hAnsi="Verdana"/>
                <w:sz w:val="20"/>
                <w:szCs w:val="20"/>
              </w:rPr>
            </w:pPr>
          </w:p>
        </w:tc>
      </w:tr>
      <w:tr w:rsidR="00FA2A0C" w:rsidRPr="000929B0" w14:paraId="5C4F7335" w14:textId="77777777" w:rsidTr="00430C74">
        <w:trPr>
          <w:trHeight w:val="2961"/>
        </w:trPr>
        <w:tc>
          <w:tcPr>
            <w:tcW w:w="566" w:type="dxa"/>
            <w:vMerge w:val="restart"/>
            <w:tcBorders>
              <w:top w:val="dotted" w:sz="4" w:space="0" w:color="002060"/>
              <w:left w:val="nil"/>
              <w:bottom w:val="single" w:sz="4" w:space="0" w:color="002060"/>
            </w:tcBorders>
            <w:shd w:val="clear" w:color="auto" w:fill="FFFFFF" w:themeFill="background1"/>
          </w:tcPr>
          <w:p w14:paraId="646888D0" w14:textId="7EAC9055" w:rsidR="00FA2A0C" w:rsidRPr="00332AFA" w:rsidRDefault="00FA2A0C" w:rsidP="00FA2A0C">
            <w:pPr>
              <w:spacing w:before="120" w:after="120"/>
              <w:jc w:val="center"/>
              <w:rPr>
                <w:rFonts w:ascii="Verdana" w:hAnsi="Verdana"/>
                <w:sz w:val="20"/>
                <w:szCs w:val="20"/>
              </w:rPr>
            </w:pPr>
            <w:r w:rsidRPr="00332AFA">
              <w:rPr>
                <w:rFonts w:ascii="Verdana" w:hAnsi="Verdana"/>
                <w:sz w:val="20"/>
                <w:szCs w:val="20"/>
              </w:rPr>
              <w:lastRenderedPageBreak/>
              <w:t>2</w:t>
            </w:r>
          </w:p>
        </w:tc>
        <w:tc>
          <w:tcPr>
            <w:tcW w:w="6641" w:type="dxa"/>
            <w:vMerge w:val="restart"/>
            <w:tcBorders>
              <w:top w:val="dotted" w:sz="4" w:space="0" w:color="002060"/>
            </w:tcBorders>
            <w:shd w:val="clear" w:color="auto" w:fill="FFFFFF" w:themeFill="background1"/>
          </w:tcPr>
          <w:p w14:paraId="0224D22A" w14:textId="4CFA5F66" w:rsidR="003D0C1C" w:rsidRPr="001C221E" w:rsidRDefault="006935EF" w:rsidP="003D0C1C">
            <w:pPr>
              <w:spacing w:before="120" w:after="120"/>
              <w:jc w:val="both"/>
              <w:rPr>
                <w:rFonts w:ascii="Verdana" w:hAnsi="Verdana"/>
                <w:b/>
                <w:bCs/>
                <w:sz w:val="20"/>
                <w:szCs w:val="20"/>
              </w:rPr>
            </w:pPr>
            <w:r>
              <w:rPr>
                <w:rFonts w:ascii="Verdana" w:hAnsi="Verdana"/>
                <w:b/>
                <w:bCs/>
                <w:sz w:val="20"/>
                <w:szCs w:val="20"/>
              </w:rPr>
              <w:t xml:space="preserve">Compliance with </w:t>
            </w:r>
            <w:r w:rsidR="001A76AD">
              <w:rPr>
                <w:rFonts w:ascii="Verdana" w:hAnsi="Verdana"/>
                <w:b/>
                <w:bCs/>
                <w:sz w:val="20"/>
                <w:szCs w:val="20"/>
              </w:rPr>
              <w:t xml:space="preserve">Escalation Framework </w:t>
            </w:r>
            <w:r w:rsidR="00487C1C">
              <w:rPr>
                <w:rFonts w:ascii="Verdana" w:hAnsi="Verdana"/>
                <w:b/>
                <w:bCs/>
                <w:sz w:val="20"/>
                <w:szCs w:val="20"/>
              </w:rPr>
              <w:t>Requirements</w:t>
            </w:r>
          </w:p>
          <w:p w14:paraId="599F4AFB" w14:textId="429E9BD0" w:rsidR="003D0C1C" w:rsidRDefault="00963D05" w:rsidP="003D0C1C">
            <w:pPr>
              <w:spacing w:before="120" w:after="120"/>
              <w:jc w:val="both"/>
              <w:rPr>
                <w:rFonts w:ascii="Verdana" w:hAnsi="Verdana"/>
                <w:sz w:val="20"/>
                <w:szCs w:val="20"/>
              </w:rPr>
            </w:pPr>
            <w:r>
              <w:rPr>
                <w:rFonts w:ascii="Verdana" w:hAnsi="Verdana"/>
                <w:sz w:val="20"/>
                <w:szCs w:val="20"/>
              </w:rPr>
              <w:t>The Welsh Government’s</w:t>
            </w:r>
            <w:r w:rsidR="001B4F28">
              <w:rPr>
                <w:rFonts w:ascii="Verdana" w:hAnsi="Verdana"/>
                <w:sz w:val="20"/>
                <w:szCs w:val="20"/>
              </w:rPr>
              <w:t xml:space="preserve"> </w:t>
            </w:r>
            <w:r w:rsidR="002E3880">
              <w:rPr>
                <w:rFonts w:ascii="Verdana" w:hAnsi="Verdana"/>
                <w:sz w:val="20"/>
                <w:szCs w:val="20"/>
              </w:rPr>
              <w:t>E</w:t>
            </w:r>
            <w:r w:rsidR="000539AB">
              <w:rPr>
                <w:rFonts w:ascii="Verdana" w:hAnsi="Verdana"/>
                <w:sz w:val="20"/>
                <w:szCs w:val="20"/>
              </w:rPr>
              <w:t xml:space="preserve">scalation </w:t>
            </w:r>
            <w:r w:rsidR="001B4F28">
              <w:rPr>
                <w:rFonts w:ascii="Verdana" w:hAnsi="Verdana"/>
                <w:sz w:val="20"/>
                <w:szCs w:val="20"/>
              </w:rPr>
              <w:t xml:space="preserve">framework </w:t>
            </w:r>
            <w:r w:rsidR="002E3880">
              <w:rPr>
                <w:rFonts w:ascii="Verdana" w:hAnsi="Verdana"/>
                <w:sz w:val="20"/>
                <w:szCs w:val="20"/>
              </w:rPr>
              <w:t xml:space="preserve">outlines several requirements </w:t>
            </w:r>
            <w:r w:rsidR="0001693B">
              <w:rPr>
                <w:rFonts w:ascii="Verdana" w:hAnsi="Verdana"/>
                <w:sz w:val="20"/>
                <w:szCs w:val="20"/>
              </w:rPr>
              <w:t xml:space="preserve">the health board </w:t>
            </w:r>
            <w:r w:rsidR="002E3880">
              <w:rPr>
                <w:rFonts w:ascii="Verdana" w:hAnsi="Verdana"/>
                <w:sz w:val="20"/>
                <w:szCs w:val="20"/>
              </w:rPr>
              <w:t>must</w:t>
            </w:r>
            <w:r w:rsidR="0001693B">
              <w:rPr>
                <w:rFonts w:ascii="Verdana" w:hAnsi="Verdana"/>
                <w:sz w:val="20"/>
                <w:szCs w:val="20"/>
              </w:rPr>
              <w:t xml:space="preserve"> action and demonstrate, these include:</w:t>
            </w:r>
          </w:p>
          <w:p w14:paraId="4F0C6217" w14:textId="2F28CA0E" w:rsidR="003D0C1C" w:rsidRDefault="003D0C1C" w:rsidP="006A122D">
            <w:pPr>
              <w:pStyle w:val="ListParagraph"/>
              <w:numPr>
                <w:ilvl w:val="0"/>
                <w:numId w:val="8"/>
              </w:numPr>
              <w:spacing w:before="120" w:after="120"/>
              <w:jc w:val="both"/>
              <w:rPr>
                <w:rFonts w:ascii="Verdana" w:hAnsi="Verdana"/>
                <w:sz w:val="20"/>
                <w:szCs w:val="20"/>
              </w:rPr>
            </w:pPr>
            <w:r w:rsidRPr="00AD73FC">
              <w:rPr>
                <w:rFonts w:ascii="Verdana" w:hAnsi="Verdana"/>
                <w:sz w:val="20"/>
                <w:szCs w:val="20"/>
              </w:rPr>
              <w:t xml:space="preserve">To produce an enhanced monitoring/targeted interventions plan in response to the areas of </w:t>
            </w:r>
            <w:proofErr w:type="gramStart"/>
            <w:r w:rsidRPr="00AD73FC">
              <w:rPr>
                <w:rFonts w:ascii="Verdana" w:hAnsi="Verdana"/>
                <w:sz w:val="20"/>
                <w:szCs w:val="20"/>
              </w:rPr>
              <w:t>concern</w:t>
            </w:r>
            <w:r w:rsidR="0045649D">
              <w:rPr>
                <w:rFonts w:ascii="Verdana" w:hAnsi="Verdana"/>
                <w:sz w:val="20"/>
                <w:szCs w:val="20"/>
              </w:rPr>
              <w:t>,</w:t>
            </w:r>
            <w:r w:rsidRPr="00AD73FC">
              <w:rPr>
                <w:rFonts w:ascii="Verdana" w:hAnsi="Verdana"/>
                <w:sz w:val="20"/>
                <w:szCs w:val="20"/>
              </w:rPr>
              <w:t xml:space="preserve"> and</w:t>
            </w:r>
            <w:proofErr w:type="gramEnd"/>
            <w:r w:rsidRPr="00AD73FC">
              <w:rPr>
                <w:rFonts w:ascii="Verdana" w:hAnsi="Verdana"/>
                <w:sz w:val="20"/>
                <w:szCs w:val="20"/>
              </w:rPr>
              <w:t xml:space="preserve"> commit sufficient resources to ensure that the plan deliverables are achieved</w:t>
            </w:r>
            <w:r>
              <w:rPr>
                <w:rFonts w:ascii="Verdana" w:hAnsi="Verdana"/>
                <w:sz w:val="20"/>
                <w:szCs w:val="20"/>
              </w:rPr>
              <w:t>.</w:t>
            </w:r>
          </w:p>
          <w:p w14:paraId="0ADF6D5C" w14:textId="19924535" w:rsidR="001131F2" w:rsidRDefault="003D0C1C" w:rsidP="005E5590">
            <w:pPr>
              <w:pStyle w:val="ListParagraph"/>
              <w:numPr>
                <w:ilvl w:val="0"/>
                <w:numId w:val="8"/>
              </w:numPr>
              <w:jc w:val="both"/>
              <w:rPr>
                <w:rFonts w:ascii="Verdana" w:hAnsi="Verdana"/>
                <w:sz w:val="20"/>
                <w:szCs w:val="20"/>
              </w:rPr>
            </w:pPr>
            <w:r w:rsidRPr="003D0C1C">
              <w:rPr>
                <w:rFonts w:ascii="Verdana" w:hAnsi="Verdana"/>
                <w:sz w:val="20"/>
                <w:szCs w:val="20"/>
              </w:rPr>
              <w:t>Consolidate previous performance reviews and improvement plans into one core document, reducing the risk of duplication, with the intention of adding value to a clear way forward</w:t>
            </w:r>
            <w:r w:rsidR="001131F2">
              <w:rPr>
                <w:rFonts w:ascii="Verdana" w:hAnsi="Verdana"/>
                <w:sz w:val="20"/>
                <w:szCs w:val="20"/>
              </w:rPr>
              <w:t>.</w:t>
            </w:r>
          </w:p>
          <w:p w14:paraId="106D1A38" w14:textId="01A09C78" w:rsidR="004C5FC4" w:rsidRDefault="0094621B" w:rsidP="005E5590">
            <w:pPr>
              <w:pStyle w:val="ListParagraph"/>
              <w:numPr>
                <w:ilvl w:val="0"/>
                <w:numId w:val="8"/>
              </w:numPr>
              <w:jc w:val="both"/>
              <w:rPr>
                <w:rFonts w:ascii="Verdana" w:hAnsi="Verdana"/>
                <w:sz w:val="20"/>
                <w:szCs w:val="20"/>
              </w:rPr>
            </w:pPr>
            <w:r>
              <w:rPr>
                <w:rFonts w:ascii="Verdana" w:hAnsi="Verdana"/>
                <w:sz w:val="20"/>
                <w:szCs w:val="20"/>
              </w:rPr>
              <w:t>Work with</w:t>
            </w:r>
            <w:r w:rsidR="00B71DB6">
              <w:rPr>
                <w:rFonts w:ascii="Verdana" w:hAnsi="Verdana"/>
                <w:sz w:val="20"/>
                <w:szCs w:val="20"/>
              </w:rPr>
              <w:t xml:space="preserve"> and implement the recommendations from national programmes including the Strategic Programme of Primary Care, Six Goals </w:t>
            </w:r>
            <w:r w:rsidR="00BB4FAE">
              <w:rPr>
                <w:rFonts w:ascii="Verdana" w:hAnsi="Verdana"/>
                <w:sz w:val="20"/>
                <w:szCs w:val="20"/>
              </w:rPr>
              <w:t xml:space="preserve">for Emergency Care, Planned Care Improvement and the national </w:t>
            </w:r>
            <w:r w:rsidR="003A77CA">
              <w:rPr>
                <w:rFonts w:ascii="Verdana" w:hAnsi="Verdana"/>
                <w:sz w:val="20"/>
                <w:szCs w:val="20"/>
              </w:rPr>
              <w:t>diagnostic and improvement programmes</w:t>
            </w:r>
            <w:r w:rsidR="0066291E">
              <w:rPr>
                <w:rFonts w:ascii="Verdana" w:hAnsi="Verdana"/>
                <w:sz w:val="20"/>
                <w:szCs w:val="20"/>
              </w:rPr>
              <w:t xml:space="preserve">, and realisation of Getting It Right </w:t>
            </w:r>
            <w:proofErr w:type="gramStart"/>
            <w:r w:rsidR="0066291E">
              <w:rPr>
                <w:rFonts w:ascii="Verdana" w:hAnsi="Verdana"/>
                <w:sz w:val="20"/>
                <w:szCs w:val="20"/>
              </w:rPr>
              <w:t>First Time</w:t>
            </w:r>
            <w:proofErr w:type="gramEnd"/>
            <w:r w:rsidR="0066291E">
              <w:rPr>
                <w:rFonts w:ascii="Verdana" w:hAnsi="Verdana"/>
                <w:sz w:val="20"/>
                <w:szCs w:val="20"/>
              </w:rPr>
              <w:t xml:space="preserve"> opportunities</w:t>
            </w:r>
            <w:r w:rsidR="003A77CA">
              <w:rPr>
                <w:rFonts w:ascii="Verdana" w:hAnsi="Verdana"/>
                <w:sz w:val="20"/>
                <w:szCs w:val="20"/>
              </w:rPr>
              <w:t>.</w:t>
            </w:r>
          </w:p>
          <w:p w14:paraId="6EB46EAE" w14:textId="44690C3F" w:rsidR="00F06573" w:rsidRDefault="0051176E" w:rsidP="005E5590">
            <w:pPr>
              <w:pStyle w:val="ListParagraph"/>
              <w:numPr>
                <w:ilvl w:val="0"/>
                <w:numId w:val="8"/>
              </w:numPr>
              <w:jc w:val="both"/>
              <w:rPr>
                <w:rFonts w:ascii="Verdana" w:hAnsi="Verdana"/>
                <w:sz w:val="20"/>
                <w:szCs w:val="20"/>
              </w:rPr>
            </w:pPr>
            <w:r>
              <w:rPr>
                <w:rFonts w:ascii="Verdana" w:hAnsi="Verdana"/>
                <w:sz w:val="20"/>
                <w:szCs w:val="20"/>
              </w:rPr>
              <w:t>Assessment of p</w:t>
            </w:r>
            <w:r w:rsidR="007D6EF6">
              <w:rPr>
                <w:rFonts w:ascii="Verdana" w:hAnsi="Verdana"/>
                <w:sz w:val="20"/>
                <w:szCs w:val="20"/>
              </w:rPr>
              <w:t>atient feedback</w:t>
            </w:r>
            <w:r w:rsidR="00CB77FA">
              <w:rPr>
                <w:rFonts w:ascii="Verdana" w:hAnsi="Verdana"/>
                <w:sz w:val="20"/>
                <w:szCs w:val="20"/>
              </w:rPr>
              <w:t>, concerns, complaints and incidents</w:t>
            </w:r>
            <w:r w:rsidR="007D6EF6">
              <w:rPr>
                <w:rFonts w:ascii="Verdana" w:hAnsi="Verdana"/>
                <w:sz w:val="20"/>
                <w:szCs w:val="20"/>
              </w:rPr>
              <w:t xml:space="preserve"> features within </w:t>
            </w:r>
            <w:r w:rsidR="00713454">
              <w:rPr>
                <w:rFonts w:ascii="Verdana" w:hAnsi="Verdana"/>
                <w:sz w:val="20"/>
                <w:szCs w:val="20"/>
              </w:rPr>
              <w:t xml:space="preserve">de-escalation </w:t>
            </w:r>
            <w:r w:rsidR="00D52E08">
              <w:rPr>
                <w:rFonts w:ascii="Verdana" w:hAnsi="Verdana"/>
                <w:sz w:val="20"/>
                <w:szCs w:val="20"/>
              </w:rPr>
              <w:t>criteria,</w:t>
            </w:r>
            <w:r w:rsidR="00713454">
              <w:rPr>
                <w:rFonts w:ascii="Verdana" w:hAnsi="Verdana"/>
                <w:sz w:val="20"/>
                <w:szCs w:val="20"/>
              </w:rPr>
              <w:t xml:space="preserve"> but</w:t>
            </w:r>
            <w:r w:rsidR="00195EBF">
              <w:rPr>
                <w:rFonts w:ascii="Verdana" w:hAnsi="Verdana"/>
                <w:sz w:val="20"/>
                <w:szCs w:val="20"/>
              </w:rPr>
              <w:t xml:space="preserve"> reports have not contained details against such.</w:t>
            </w:r>
          </w:p>
          <w:p w14:paraId="03AF9EB1" w14:textId="77777777" w:rsidR="00F25108" w:rsidRDefault="00F25108" w:rsidP="00F25108">
            <w:pPr>
              <w:rPr>
                <w:rFonts w:ascii="Verdana" w:hAnsi="Verdana"/>
                <w:sz w:val="20"/>
                <w:szCs w:val="20"/>
              </w:rPr>
            </w:pPr>
          </w:p>
          <w:p w14:paraId="3EDABAAA" w14:textId="4816354E" w:rsidR="00AC5B90" w:rsidRPr="001B547E" w:rsidRDefault="00F25108" w:rsidP="005E5590">
            <w:pPr>
              <w:jc w:val="both"/>
              <w:rPr>
                <w:rFonts w:ascii="Verdana" w:hAnsi="Verdana"/>
                <w:sz w:val="20"/>
                <w:szCs w:val="20"/>
              </w:rPr>
            </w:pPr>
            <w:r>
              <w:rPr>
                <w:rFonts w:ascii="Verdana" w:hAnsi="Verdana"/>
                <w:sz w:val="20"/>
                <w:szCs w:val="20"/>
              </w:rPr>
              <w:t xml:space="preserve">Of the escalated areas we could only see one </w:t>
            </w:r>
            <w:r w:rsidR="00EA34F6">
              <w:rPr>
                <w:rFonts w:ascii="Verdana" w:hAnsi="Verdana"/>
                <w:sz w:val="20"/>
                <w:szCs w:val="20"/>
              </w:rPr>
              <w:t xml:space="preserve">service which had undertaken a </w:t>
            </w:r>
            <w:r w:rsidR="002E4B04">
              <w:rPr>
                <w:rFonts w:ascii="Verdana" w:hAnsi="Verdana"/>
                <w:sz w:val="20"/>
                <w:szCs w:val="20"/>
              </w:rPr>
              <w:t>self-assessment</w:t>
            </w:r>
            <w:r w:rsidR="00EA34F6">
              <w:rPr>
                <w:rFonts w:ascii="Verdana" w:hAnsi="Verdana"/>
                <w:sz w:val="20"/>
                <w:szCs w:val="20"/>
              </w:rPr>
              <w:t xml:space="preserve"> against the wider escalation framework</w:t>
            </w:r>
            <w:r w:rsidR="00E84A6B">
              <w:rPr>
                <w:rFonts w:ascii="Verdana" w:hAnsi="Verdana"/>
                <w:sz w:val="20"/>
                <w:szCs w:val="20"/>
              </w:rPr>
              <w:t xml:space="preserve"> (Maternity and Neonatal services)</w:t>
            </w:r>
            <w:r w:rsidR="00EA34F6">
              <w:rPr>
                <w:rFonts w:ascii="Verdana" w:hAnsi="Verdana"/>
                <w:sz w:val="20"/>
                <w:szCs w:val="20"/>
              </w:rPr>
              <w:t xml:space="preserve">. </w:t>
            </w:r>
          </w:p>
        </w:tc>
        <w:tc>
          <w:tcPr>
            <w:tcW w:w="2263" w:type="dxa"/>
            <w:vMerge w:val="restart"/>
            <w:tcBorders>
              <w:top w:val="dotted" w:sz="4" w:space="0" w:color="002060"/>
            </w:tcBorders>
            <w:shd w:val="clear" w:color="auto" w:fill="FFFFFF" w:themeFill="background1"/>
          </w:tcPr>
          <w:p w14:paraId="195580F6" w14:textId="7B58E0ED" w:rsidR="00FA2A0C" w:rsidRPr="00822DC5" w:rsidRDefault="00815756" w:rsidP="00784115">
            <w:pPr>
              <w:spacing w:before="120" w:after="120"/>
              <w:rPr>
                <w:rFonts w:ascii="Verdana" w:hAnsi="Verdana"/>
                <w:sz w:val="20"/>
                <w:szCs w:val="20"/>
              </w:rPr>
            </w:pPr>
            <w:r w:rsidRPr="00815756">
              <w:rPr>
                <w:rFonts w:ascii="Verdana" w:hAnsi="Verdana"/>
                <w:sz w:val="20"/>
                <w:szCs w:val="20"/>
              </w:rPr>
              <w:t>Incomplete implementation of the escalation framework may result in inconsistent oversight and missed opportunities for targeted improvement</w:t>
            </w:r>
            <w:r w:rsidR="00D172C3">
              <w:rPr>
                <w:rFonts w:ascii="Verdana" w:hAnsi="Verdana"/>
                <w:sz w:val="20"/>
                <w:szCs w:val="20"/>
              </w:rPr>
              <w:t xml:space="preserve"> and reduced confidence from stakeholders</w:t>
            </w:r>
            <w:r w:rsidRPr="00815756">
              <w:rPr>
                <w:rFonts w:ascii="Verdana" w:hAnsi="Verdana"/>
                <w:sz w:val="20"/>
                <w:szCs w:val="20"/>
              </w:rPr>
              <w:t>.</w:t>
            </w:r>
          </w:p>
        </w:tc>
        <w:tc>
          <w:tcPr>
            <w:tcW w:w="6696" w:type="dxa"/>
            <w:tcBorders>
              <w:top w:val="dotted" w:sz="4" w:space="0" w:color="002060"/>
              <w:right w:val="nil"/>
            </w:tcBorders>
            <w:shd w:val="clear" w:color="auto" w:fill="FFFFFF" w:themeFill="background1"/>
          </w:tcPr>
          <w:p w14:paraId="4BCE3653" w14:textId="77777777" w:rsidR="00FA2A0C" w:rsidRPr="00822DC5" w:rsidRDefault="00FA2A0C" w:rsidP="00FA2A0C">
            <w:pPr>
              <w:spacing w:before="120" w:after="120"/>
              <w:rPr>
                <w:rFonts w:ascii="Verdana" w:hAnsi="Verdana"/>
                <w:b/>
                <w:bCs/>
                <w:sz w:val="20"/>
                <w:szCs w:val="20"/>
              </w:rPr>
            </w:pPr>
            <w:r w:rsidRPr="00822DC5">
              <w:rPr>
                <w:rFonts w:ascii="Verdana" w:hAnsi="Verdana"/>
                <w:b/>
                <w:bCs/>
                <w:sz w:val="20"/>
                <w:szCs w:val="20"/>
              </w:rPr>
              <w:t>Agreed Action:</w:t>
            </w:r>
          </w:p>
          <w:p w14:paraId="30B791E6" w14:textId="2561772A" w:rsidR="00063F27" w:rsidRPr="00C428A2" w:rsidRDefault="004E7960" w:rsidP="00497EEF">
            <w:pPr>
              <w:spacing w:before="120" w:after="120"/>
              <w:jc w:val="both"/>
              <w:rPr>
                <w:rFonts w:ascii="Verdana" w:hAnsi="Verdana"/>
                <w:i/>
                <w:iCs/>
                <w:sz w:val="20"/>
                <w:szCs w:val="20"/>
              </w:rPr>
            </w:pPr>
            <w:r w:rsidRPr="00C428A2">
              <w:rPr>
                <w:rFonts w:ascii="Verdana" w:hAnsi="Verdana"/>
                <w:i/>
                <w:iCs/>
                <w:sz w:val="20"/>
                <w:szCs w:val="20"/>
              </w:rPr>
              <w:t>Produc</w:t>
            </w:r>
            <w:r w:rsidR="00CB66A6" w:rsidRPr="00C428A2">
              <w:rPr>
                <w:rFonts w:ascii="Verdana" w:hAnsi="Verdana"/>
                <w:i/>
                <w:iCs/>
                <w:sz w:val="20"/>
                <w:szCs w:val="20"/>
              </w:rPr>
              <w:t>tion of</w:t>
            </w:r>
            <w:r w:rsidRPr="00C428A2">
              <w:rPr>
                <w:rFonts w:ascii="Verdana" w:hAnsi="Verdana"/>
                <w:i/>
                <w:iCs/>
                <w:sz w:val="20"/>
                <w:szCs w:val="20"/>
              </w:rPr>
              <w:t xml:space="preserve"> a </w:t>
            </w:r>
            <w:r w:rsidR="00F374CD" w:rsidRPr="00C428A2">
              <w:rPr>
                <w:rFonts w:ascii="Verdana" w:hAnsi="Verdana"/>
                <w:i/>
                <w:iCs/>
                <w:sz w:val="20"/>
                <w:szCs w:val="20"/>
              </w:rPr>
              <w:t xml:space="preserve">single </w:t>
            </w:r>
            <w:r w:rsidR="00CB66A6" w:rsidRPr="00C428A2">
              <w:rPr>
                <w:rFonts w:ascii="Verdana" w:hAnsi="Verdana"/>
                <w:i/>
                <w:iCs/>
                <w:sz w:val="20"/>
                <w:szCs w:val="20"/>
              </w:rPr>
              <w:t xml:space="preserve">escalation response </w:t>
            </w:r>
            <w:r w:rsidRPr="00C428A2">
              <w:rPr>
                <w:rFonts w:ascii="Verdana" w:hAnsi="Verdana"/>
                <w:i/>
                <w:iCs/>
                <w:sz w:val="20"/>
                <w:szCs w:val="20"/>
              </w:rPr>
              <w:t>plan,</w:t>
            </w:r>
            <w:r w:rsidR="00CB66A6" w:rsidRPr="00C428A2">
              <w:rPr>
                <w:rFonts w:ascii="Verdana" w:hAnsi="Verdana"/>
                <w:i/>
                <w:iCs/>
                <w:sz w:val="20"/>
                <w:szCs w:val="20"/>
              </w:rPr>
              <w:t xml:space="preserve"> which combines</w:t>
            </w:r>
            <w:r w:rsidR="00F374CD" w:rsidRPr="00C428A2">
              <w:rPr>
                <w:rFonts w:ascii="Verdana" w:hAnsi="Verdana"/>
                <w:i/>
                <w:iCs/>
                <w:sz w:val="20"/>
                <w:szCs w:val="20"/>
              </w:rPr>
              <w:t>:</w:t>
            </w:r>
            <w:r w:rsidR="00CB66A6" w:rsidRPr="00C428A2">
              <w:rPr>
                <w:rFonts w:ascii="Verdana" w:hAnsi="Verdana"/>
                <w:i/>
                <w:iCs/>
                <w:sz w:val="20"/>
                <w:szCs w:val="20"/>
              </w:rPr>
              <w:t xml:space="preserve"> </w:t>
            </w:r>
          </w:p>
          <w:p w14:paraId="402CAAE8" w14:textId="72C16191" w:rsidR="00FA2A0C" w:rsidRPr="00C428A2" w:rsidRDefault="005C7522" w:rsidP="00497EEF">
            <w:pPr>
              <w:numPr>
                <w:ilvl w:val="0"/>
                <w:numId w:val="2"/>
              </w:numPr>
              <w:spacing w:before="120" w:after="120"/>
              <w:jc w:val="both"/>
              <w:rPr>
                <w:rFonts w:ascii="Verdana" w:hAnsi="Verdana"/>
                <w:i/>
                <w:iCs/>
                <w:sz w:val="20"/>
                <w:szCs w:val="20"/>
              </w:rPr>
            </w:pPr>
            <w:r w:rsidRPr="00C428A2">
              <w:rPr>
                <w:rFonts w:ascii="Verdana" w:hAnsi="Verdana"/>
                <w:i/>
                <w:iCs/>
                <w:sz w:val="20"/>
                <w:szCs w:val="20"/>
              </w:rPr>
              <w:t>O</w:t>
            </w:r>
            <w:r w:rsidR="009925D1" w:rsidRPr="00C428A2">
              <w:rPr>
                <w:rFonts w:ascii="Verdana" w:hAnsi="Verdana"/>
                <w:i/>
                <w:iCs/>
                <w:sz w:val="20"/>
                <w:szCs w:val="20"/>
              </w:rPr>
              <w:t xml:space="preserve">perational actions </w:t>
            </w:r>
            <w:r w:rsidR="00094F9C" w:rsidRPr="00C428A2">
              <w:rPr>
                <w:rFonts w:ascii="Verdana" w:hAnsi="Verdana"/>
                <w:i/>
                <w:iCs/>
                <w:sz w:val="20"/>
                <w:szCs w:val="20"/>
              </w:rPr>
              <w:t>in</w:t>
            </w:r>
            <w:r w:rsidR="004E7960" w:rsidRPr="00C428A2">
              <w:rPr>
                <w:rFonts w:ascii="Verdana" w:hAnsi="Verdana"/>
                <w:i/>
                <w:iCs/>
                <w:sz w:val="20"/>
                <w:szCs w:val="20"/>
              </w:rPr>
              <w:t xml:space="preserve"> alignment </w:t>
            </w:r>
            <w:r w:rsidR="00094F9C" w:rsidRPr="00C428A2">
              <w:rPr>
                <w:rFonts w:ascii="Verdana" w:hAnsi="Verdana"/>
                <w:i/>
                <w:iCs/>
                <w:sz w:val="20"/>
                <w:szCs w:val="20"/>
              </w:rPr>
              <w:t>to the</w:t>
            </w:r>
            <w:r w:rsidR="004E7960" w:rsidRPr="00C428A2">
              <w:rPr>
                <w:rFonts w:ascii="Verdana" w:hAnsi="Verdana"/>
                <w:i/>
                <w:iCs/>
                <w:sz w:val="20"/>
                <w:szCs w:val="20"/>
              </w:rPr>
              <w:t xml:space="preserve"> escalation framework requirements.</w:t>
            </w:r>
          </w:p>
          <w:p w14:paraId="6113161A" w14:textId="77777777" w:rsidR="00D302AD" w:rsidRPr="00C428A2" w:rsidRDefault="005C7522" w:rsidP="00497EEF">
            <w:pPr>
              <w:numPr>
                <w:ilvl w:val="0"/>
                <w:numId w:val="2"/>
              </w:numPr>
              <w:spacing w:before="120" w:after="120"/>
              <w:jc w:val="both"/>
              <w:rPr>
                <w:rFonts w:ascii="Verdana" w:hAnsi="Verdana"/>
                <w:i/>
                <w:iCs/>
                <w:sz w:val="20"/>
                <w:szCs w:val="20"/>
              </w:rPr>
            </w:pPr>
            <w:r w:rsidRPr="00C428A2">
              <w:rPr>
                <w:rFonts w:ascii="Verdana" w:hAnsi="Verdana"/>
                <w:i/>
                <w:iCs/>
                <w:sz w:val="20"/>
                <w:szCs w:val="20"/>
              </w:rPr>
              <w:t>Maps actions to the priorities and recommendations of national programme</w:t>
            </w:r>
            <w:r w:rsidR="002703D6" w:rsidRPr="00C428A2">
              <w:rPr>
                <w:rFonts w:ascii="Verdana" w:hAnsi="Verdana"/>
                <w:i/>
                <w:iCs/>
                <w:sz w:val="20"/>
                <w:szCs w:val="20"/>
              </w:rPr>
              <w:t>s.</w:t>
            </w:r>
          </w:p>
          <w:p w14:paraId="28839997" w14:textId="5D7114DC" w:rsidR="00D302AD" w:rsidRPr="00C428A2" w:rsidRDefault="003670DE" w:rsidP="00497EEF">
            <w:pPr>
              <w:numPr>
                <w:ilvl w:val="0"/>
                <w:numId w:val="2"/>
              </w:numPr>
              <w:spacing w:before="120" w:after="120"/>
              <w:jc w:val="both"/>
              <w:rPr>
                <w:rFonts w:ascii="Verdana" w:hAnsi="Verdana"/>
                <w:i/>
                <w:iCs/>
                <w:sz w:val="20"/>
                <w:szCs w:val="20"/>
              </w:rPr>
            </w:pPr>
            <w:r w:rsidRPr="00C428A2">
              <w:rPr>
                <w:rFonts w:ascii="Verdana" w:hAnsi="Verdana"/>
                <w:i/>
                <w:iCs/>
                <w:sz w:val="20"/>
                <w:szCs w:val="20"/>
              </w:rPr>
              <w:t xml:space="preserve">Includes assessment of </w:t>
            </w:r>
            <w:r w:rsidR="00325DD6" w:rsidRPr="00C428A2">
              <w:rPr>
                <w:rFonts w:ascii="Verdana" w:hAnsi="Verdana"/>
                <w:i/>
                <w:iCs/>
                <w:sz w:val="20"/>
                <w:szCs w:val="20"/>
              </w:rPr>
              <w:t>patient feedback, concerns, complaints and incidents.</w:t>
            </w:r>
          </w:p>
          <w:p w14:paraId="00411857" w14:textId="5292FB41" w:rsidR="00CB66A6" w:rsidRPr="00822DC5" w:rsidRDefault="00CB66A6" w:rsidP="00416D6B">
            <w:pPr>
              <w:spacing w:before="120" w:after="120"/>
              <w:ind w:left="720"/>
              <w:rPr>
                <w:rFonts w:ascii="Verdana" w:hAnsi="Verdana"/>
                <w:sz w:val="20"/>
                <w:szCs w:val="20"/>
              </w:rPr>
            </w:pPr>
          </w:p>
        </w:tc>
      </w:tr>
      <w:tr w:rsidR="00FA2A0C" w:rsidRPr="000929B0" w14:paraId="2C06B32C" w14:textId="77777777" w:rsidTr="00441A49">
        <w:trPr>
          <w:trHeight w:val="1020"/>
        </w:trPr>
        <w:tc>
          <w:tcPr>
            <w:tcW w:w="566" w:type="dxa"/>
            <w:vMerge/>
            <w:tcBorders>
              <w:top w:val="dotted" w:sz="4" w:space="0" w:color="002060"/>
              <w:left w:val="nil"/>
            </w:tcBorders>
            <w:shd w:val="clear" w:color="auto" w:fill="FFFFFF" w:themeFill="background1"/>
          </w:tcPr>
          <w:p w14:paraId="4E2DA2F1" w14:textId="77777777" w:rsidR="00FA2A0C" w:rsidRPr="00332AFA" w:rsidRDefault="00FA2A0C" w:rsidP="00FA2A0C">
            <w:pPr>
              <w:spacing w:before="120" w:after="120"/>
              <w:rPr>
                <w:rFonts w:ascii="Verdana" w:hAnsi="Verdana"/>
                <w:sz w:val="20"/>
                <w:szCs w:val="20"/>
              </w:rPr>
            </w:pPr>
          </w:p>
        </w:tc>
        <w:tc>
          <w:tcPr>
            <w:tcW w:w="6641" w:type="dxa"/>
            <w:vMerge/>
            <w:tcBorders>
              <w:top w:val="dotted" w:sz="4" w:space="0" w:color="002060"/>
            </w:tcBorders>
            <w:shd w:val="clear" w:color="auto" w:fill="FFFFFF" w:themeFill="background1"/>
          </w:tcPr>
          <w:p w14:paraId="47D0E4A5" w14:textId="77777777" w:rsidR="00FA2A0C" w:rsidRPr="00822DC5" w:rsidRDefault="00FA2A0C" w:rsidP="00FA2A0C">
            <w:pPr>
              <w:spacing w:before="120" w:after="120"/>
              <w:rPr>
                <w:rFonts w:ascii="Verdana" w:hAnsi="Verdana"/>
                <w:sz w:val="20"/>
                <w:szCs w:val="20"/>
              </w:rPr>
            </w:pPr>
          </w:p>
        </w:tc>
        <w:tc>
          <w:tcPr>
            <w:tcW w:w="2263" w:type="dxa"/>
            <w:vMerge/>
            <w:tcBorders>
              <w:bottom w:val="dotted" w:sz="4" w:space="0" w:color="002060"/>
            </w:tcBorders>
            <w:shd w:val="clear" w:color="auto" w:fill="FFFFFF" w:themeFill="background1"/>
          </w:tcPr>
          <w:p w14:paraId="33E079C4" w14:textId="77777777" w:rsidR="00FA2A0C" w:rsidRPr="00822DC5" w:rsidRDefault="00FA2A0C" w:rsidP="00FA2A0C">
            <w:pPr>
              <w:spacing w:before="120" w:after="120"/>
              <w:rPr>
                <w:rFonts w:ascii="Verdana" w:hAnsi="Verdana"/>
                <w:sz w:val="20"/>
                <w:szCs w:val="20"/>
              </w:rPr>
            </w:pPr>
          </w:p>
        </w:tc>
        <w:tc>
          <w:tcPr>
            <w:tcW w:w="6696" w:type="dxa"/>
            <w:tcBorders>
              <w:right w:val="nil"/>
            </w:tcBorders>
            <w:shd w:val="clear" w:color="auto" w:fill="FFFFFF" w:themeFill="background1"/>
          </w:tcPr>
          <w:p w14:paraId="4215A067" w14:textId="77777777" w:rsidR="00FA2A0C" w:rsidRPr="00822DC5" w:rsidRDefault="00FA2A0C" w:rsidP="00FA2A0C">
            <w:pPr>
              <w:spacing w:before="120" w:after="120"/>
              <w:rPr>
                <w:rFonts w:ascii="Verdana" w:hAnsi="Verdana"/>
                <w:b/>
                <w:bCs/>
                <w:sz w:val="20"/>
                <w:szCs w:val="20"/>
              </w:rPr>
            </w:pPr>
            <w:r w:rsidRPr="00822DC5">
              <w:rPr>
                <w:rFonts w:ascii="Verdana" w:hAnsi="Verdana"/>
                <w:b/>
                <w:bCs/>
                <w:sz w:val="20"/>
                <w:szCs w:val="20"/>
              </w:rPr>
              <w:t>Expected Evidence of Implementation:</w:t>
            </w:r>
          </w:p>
          <w:p w14:paraId="48BEF449" w14:textId="45778ED4" w:rsidR="00FA2A0C" w:rsidRPr="00EB79DA" w:rsidRDefault="002E7978" w:rsidP="00497EEF">
            <w:pPr>
              <w:spacing w:before="120" w:after="120"/>
              <w:jc w:val="both"/>
              <w:rPr>
                <w:rFonts w:ascii="Verdana" w:hAnsi="Verdana"/>
                <w:i/>
                <w:iCs/>
                <w:sz w:val="20"/>
                <w:szCs w:val="20"/>
              </w:rPr>
            </w:pPr>
            <w:r w:rsidRPr="00EB79DA">
              <w:rPr>
                <w:rFonts w:ascii="Verdana" w:hAnsi="Verdana"/>
                <w:i/>
                <w:iCs/>
                <w:sz w:val="20"/>
                <w:szCs w:val="20"/>
              </w:rPr>
              <w:t>Approved Escalation Plan document</w:t>
            </w:r>
            <w:r w:rsidR="002107F0" w:rsidRPr="00EB79DA">
              <w:rPr>
                <w:rFonts w:ascii="Verdana" w:hAnsi="Verdana"/>
                <w:i/>
                <w:iCs/>
                <w:sz w:val="20"/>
                <w:szCs w:val="20"/>
              </w:rPr>
              <w:t xml:space="preserve"> which addresses the escalation framework requirements.</w:t>
            </w:r>
          </w:p>
          <w:p w14:paraId="75DFF6A9" w14:textId="6E46A511" w:rsidR="00A8500C" w:rsidRPr="00822DC5" w:rsidRDefault="00A8500C" w:rsidP="00497EEF">
            <w:pPr>
              <w:spacing w:before="120" w:after="120"/>
              <w:jc w:val="both"/>
              <w:rPr>
                <w:rFonts w:ascii="Verdana" w:hAnsi="Verdana"/>
                <w:sz w:val="20"/>
                <w:szCs w:val="20"/>
              </w:rPr>
            </w:pPr>
            <w:r w:rsidRPr="00EB79DA">
              <w:rPr>
                <w:rFonts w:ascii="Verdana" w:hAnsi="Verdana"/>
                <w:i/>
                <w:iCs/>
                <w:sz w:val="20"/>
                <w:szCs w:val="20"/>
              </w:rPr>
              <w:t>Governance group approval or endorsement</w:t>
            </w:r>
          </w:p>
        </w:tc>
      </w:tr>
      <w:tr w:rsidR="00FA2A0C" w:rsidRPr="000929B0" w14:paraId="626BF469" w14:textId="77777777" w:rsidTr="00251CA4">
        <w:trPr>
          <w:trHeight w:hRule="exact" w:val="3115"/>
        </w:trPr>
        <w:tc>
          <w:tcPr>
            <w:tcW w:w="566" w:type="dxa"/>
            <w:vMerge/>
            <w:tcBorders>
              <w:left w:val="nil"/>
            </w:tcBorders>
            <w:shd w:val="clear" w:color="auto" w:fill="FFFFFF" w:themeFill="background1"/>
          </w:tcPr>
          <w:p w14:paraId="3A8699A1" w14:textId="77777777" w:rsidR="00FA2A0C" w:rsidRPr="00332AFA" w:rsidRDefault="00FA2A0C" w:rsidP="00FA2A0C">
            <w:pPr>
              <w:spacing w:before="120" w:after="120"/>
              <w:rPr>
                <w:rFonts w:ascii="Verdana" w:hAnsi="Verdana"/>
                <w:sz w:val="20"/>
                <w:szCs w:val="20"/>
              </w:rPr>
            </w:pPr>
          </w:p>
        </w:tc>
        <w:tc>
          <w:tcPr>
            <w:tcW w:w="6641" w:type="dxa"/>
            <w:vMerge/>
            <w:shd w:val="clear" w:color="auto" w:fill="FFFFFF" w:themeFill="background1"/>
          </w:tcPr>
          <w:p w14:paraId="58C077CC" w14:textId="30CB0EA6" w:rsidR="00FA2A0C" w:rsidRPr="00822DC5" w:rsidRDefault="00FA2A0C" w:rsidP="00FA2A0C">
            <w:pPr>
              <w:spacing w:before="120" w:after="120"/>
              <w:rPr>
                <w:rFonts w:ascii="Verdana" w:hAnsi="Verdana"/>
                <w:sz w:val="20"/>
                <w:szCs w:val="20"/>
              </w:rPr>
            </w:pPr>
          </w:p>
        </w:tc>
        <w:sdt>
          <w:sdtPr>
            <w:rPr>
              <w:rFonts w:ascii="Verdana" w:hAnsi="Verdana"/>
              <w:b/>
              <w:bCs/>
              <w:sz w:val="20"/>
              <w:szCs w:val="20"/>
            </w:rPr>
            <w:alias w:val="Priority"/>
            <w:tag w:val="Priority"/>
            <w:id w:val="-1115747200"/>
            <w:placeholder>
              <w:docPart w:val="2A7D1BB74B5C4788A1D8549B122CC41A"/>
            </w:placeholder>
            <w:dropDownList>
              <w:listItem w:value="Choose an item."/>
              <w:listItem w:displayText="High Priority" w:value="High Priority"/>
              <w:listItem w:displayText="Medium Priority" w:value="Medium Priority"/>
            </w:dropDownList>
          </w:sdtPr>
          <w:sdtEndPr/>
          <w:sdtContent>
            <w:tc>
              <w:tcPr>
                <w:tcW w:w="2263" w:type="dxa"/>
                <w:tcBorders>
                  <w:bottom w:val="nil"/>
                </w:tcBorders>
                <w:shd w:val="clear" w:color="auto" w:fill="FFFF00"/>
                <w:vAlign w:val="center"/>
              </w:tcPr>
              <w:p w14:paraId="6AC0C3CB" w14:textId="3BBCD9EA" w:rsidR="00FA2A0C" w:rsidRPr="00822DC5" w:rsidRDefault="00FA2A0C" w:rsidP="00FA2A0C">
                <w:pPr>
                  <w:spacing w:before="120" w:after="120"/>
                  <w:jc w:val="center"/>
                  <w:rPr>
                    <w:rFonts w:ascii="Verdana" w:hAnsi="Verdana"/>
                    <w:b/>
                    <w:bCs/>
                    <w:sz w:val="20"/>
                    <w:szCs w:val="20"/>
                  </w:rPr>
                </w:pPr>
                <w:r w:rsidRPr="00822DC5">
                  <w:rPr>
                    <w:rFonts w:ascii="Verdana" w:hAnsi="Verdana"/>
                    <w:b/>
                    <w:bCs/>
                    <w:sz w:val="20"/>
                    <w:szCs w:val="20"/>
                  </w:rPr>
                  <w:t>Medium Priority</w:t>
                </w:r>
              </w:p>
            </w:tc>
          </w:sdtContent>
        </w:sdt>
        <w:tc>
          <w:tcPr>
            <w:tcW w:w="6696" w:type="dxa"/>
            <w:vMerge w:val="restart"/>
            <w:tcBorders>
              <w:right w:val="nil"/>
            </w:tcBorders>
            <w:shd w:val="clear" w:color="auto" w:fill="FFFFFF" w:themeFill="background1"/>
            <w:vAlign w:val="center"/>
          </w:tcPr>
          <w:p w14:paraId="5ED2973A" w14:textId="3E2EDC22" w:rsidR="00FA2A0C" w:rsidRPr="00822DC5" w:rsidRDefault="00FA2A0C" w:rsidP="00FA2A0C">
            <w:pPr>
              <w:spacing w:before="120" w:after="120"/>
              <w:rPr>
                <w:rFonts w:ascii="Verdana" w:hAnsi="Verdana"/>
                <w:b/>
                <w:bCs/>
                <w:sz w:val="20"/>
                <w:szCs w:val="20"/>
              </w:rPr>
            </w:pPr>
            <w:r w:rsidRPr="00822DC5">
              <w:rPr>
                <w:rFonts w:ascii="Verdana" w:hAnsi="Verdana"/>
                <w:b/>
                <w:bCs/>
                <w:sz w:val="20"/>
                <w:szCs w:val="20"/>
              </w:rPr>
              <w:t xml:space="preserve">Officer: </w:t>
            </w:r>
            <w:r w:rsidR="00CD5387">
              <w:rPr>
                <w:rFonts w:ascii="Verdana" w:hAnsi="Verdana"/>
                <w:b/>
                <w:bCs/>
                <w:sz w:val="20"/>
                <w:szCs w:val="20"/>
              </w:rPr>
              <w:t>Director of Performance &amp; Business Intelligence</w:t>
            </w:r>
          </w:p>
          <w:p w14:paraId="088B4893" w14:textId="1A475462" w:rsidR="00FA2A0C" w:rsidRPr="00822DC5" w:rsidRDefault="00800E34" w:rsidP="00FA2A0C">
            <w:pPr>
              <w:spacing w:before="120" w:after="120"/>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r w:rsidR="00CD5387">
              <w:rPr>
                <w:rFonts w:ascii="Verdana" w:hAnsi="Verdana"/>
                <w:b/>
                <w:bCs/>
                <w:sz w:val="20"/>
                <w:szCs w:val="20"/>
              </w:rPr>
              <w:t xml:space="preserve"> </w:t>
            </w:r>
            <w:r w:rsidR="00BD1214">
              <w:rPr>
                <w:rFonts w:ascii="Verdana" w:hAnsi="Verdana"/>
                <w:b/>
                <w:bCs/>
                <w:sz w:val="20"/>
                <w:szCs w:val="20"/>
              </w:rPr>
              <w:t>June</w:t>
            </w:r>
            <w:r w:rsidR="00CD5387">
              <w:rPr>
                <w:rFonts w:ascii="Verdana" w:hAnsi="Verdana"/>
                <w:b/>
                <w:bCs/>
                <w:sz w:val="20"/>
                <w:szCs w:val="20"/>
              </w:rPr>
              <w:t xml:space="preserve"> 2026</w:t>
            </w:r>
          </w:p>
        </w:tc>
      </w:tr>
      <w:tr w:rsidR="007C3A55" w:rsidRPr="000929B0" w14:paraId="29BCE270" w14:textId="77777777" w:rsidTr="00430C74">
        <w:trPr>
          <w:trHeight w:hRule="exact" w:val="567"/>
        </w:trPr>
        <w:tc>
          <w:tcPr>
            <w:tcW w:w="566" w:type="dxa"/>
            <w:vMerge/>
            <w:tcBorders>
              <w:left w:val="nil"/>
            </w:tcBorders>
            <w:shd w:val="clear" w:color="auto" w:fill="FFFFFF" w:themeFill="background1"/>
          </w:tcPr>
          <w:p w14:paraId="61EFF300" w14:textId="77777777" w:rsidR="007C3A55" w:rsidRPr="00332AFA" w:rsidRDefault="007C3A55" w:rsidP="007C3A55">
            <w:pPr>
              <w:spacing w:before="120" w:after="120"/>
              <w:ind w:right="28"/>
              <w:jc w:val="center"/>
              <w:rPr>
                <w:rFonts w:ascii="Verdana" w:hAnsi="Verdana"/>
                <w:sz w:val="20"/>
                <w:szCs w:val="20"/>
              </w:rPr>
            </w:pPr>
          </w:p>
        </w:tc>
        <w:tc>
          <w:tcPr>
            <w:tcW w:w="6641" w:type="dxa"/>
            <w:tcBorders>
              <w:bottom w:val="dotted" w:sz="4" w:space="0" w:color="002060"/>
            </w:tcBorders>
            <w:shd w:val="clear" w:color="auto" w:fill="FFFFFF" w:themeFill="background1"/>
            <w:vAlign w:val="center"/>
          </w:tcPr>
          <w:p w14:paraId="4D4A4255" w14:textId="539ED6B7" w:rsidR="007C3A55" w:rsidRPr="00822DC5" w:rsidRDefault="007C3A55" w:rsidP="007C3A55">
            <w:pPr>
              <w:spacing w:before="120" w:after="12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469254429"/>
                <w:placeholder>
                  <w:docPart w:val="F65A222D00174898BCBD059AC167DA01"/>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722747">
                  <w:rPr>
                    <w:rStyle w:val="Themes"/>
                    <w:szCs w:val="20"/>
                  </w:rPr>
                  <w:t>Planning, Delivery &amp; Deadline Management</w:t>
                </w:r>
              </w:sdtContent>
            </w:sdt>
          </w:p>
        </w:tc>
        <w:sdt>
          <w:sdtPr>
            <w:rPr>
              <w:rFonts w:ascii="Verdana" w:hAnsi="Verdana"/>
              <w:sz w:val="20"/>
              <w:szCs w:val="20"/>
            </w:rPr>
            <w:alias w:val="Design/Operation"/>
            <w:tag w:val="Design/Operation"/>
            <w:id w:val="-2108410817"/>
            <w:placeholder>
              <w:docPart w:val="B7471351E20E46DCBE941B38C1782032"/>
            </w:placeholder>
            <w:dropDownList>
              <w:listItem w:value="Choose an item."/>
              <w:listItem w:displayText="Control Design " w:value="Control Design "/>
              <w:listItem w:displayText="Control Operation " w:value="Control Operation "/>
            </w:dropDownList>
          </w:sdtPr>
          <w:sdtEndPr/>
          <w:sdtContent>
            <w:tc>
              <w:tcPr>
                <w:tcW w:w="2263" w:type="dxa"/>
                <w:tcBorders>
                  <w:top w:val="nil"/>
                  <w:bottom w:val="dotted" w:sz="4" w:space="0" w:color="002060"/>
                </w:tcBorders>
                <w:shd w:val="clear" w:color="auto" w:fill="FFFFFF" w:themeFill="background1"/>
                <w:vAlign w:val="center"/>
              </w:tcPr>
              <w:p w14:paraId="34DF8FF8" w14:textId="77901007" w:rsidR="007C3A55" w:rsidRPr="00822DC5" w:rsidRDefault="00722747" w:rsidP="007C3A55">
                <w:pPr>
                  <w:spacing w:before="120" w:after="120"/>
                  <w:jc w:val="center"/>
                  <w:rPr>
                    <w:rFonts w:ascii="Verdana" w:hAnsi="Verdana"/>
                    <w:sz w:val="20"/>
                    <w:szCs w:val="20"/>
                  </w:rPr>
                </w:pPr>
                <w:r>
                  <w:rPr>
                    <w:rFonts w:ascii="Verdana" w:hAnsi="Verdana"/>
                    <w:sz w:val="20"/>
                    <w:szCs w:val="20"/>
                  </w:rPr>
                  <w:t xml:space="preserve">Control Operation </w:t>
                </w:r>
              </w:p>
            </w:tc>
          </w:sdtContent>
        </w:sdt>
        <w:tc>
          <w:tcPr>
            <w:tcW w:w="6696" w:type="dxa"/>
            <w:vMerge/>
            <w:tcBorders>
              <w:bottom w:val="dotted" w:sz="4" w:space="0" w:color="002060"/>
              <w:right w:val="nil"/>
            </w:tcBorders>
            <w:shd w:val="clear" w:color="auto" w:fill="FFFFFF" w:themeFill="background1"/>
          </w:tcPr>
          <w:p w14:paraId="7FA2F5CE" w14:textId="77777777" w:rsidR="007C3A55" w:rsidRPr="00822DC5" w:rsidRDefault="007C3A55" w:rsidP="007C3A55">
            <w:pPr>
              <w:spacing w:before="120" w:after="120"/>
              <w:rPr>
                <w:rFonts w:ascii="Verdana" w:hAnsi="Verdana"/>
                <w:sz w:val="20"/>
                <w:szCs w:val="20"/>
              </w:rPr>
            </w:pPr>
          </w:p>
        </w:tc>
      </w:tr>
      <w:tr w:rsidR="00E71F02" w:rsidRPr="00406895" w14:paraId="39BC451D" w14:textId="77777777" w:rsidTr="00AD73FC">
        <w:trPr>
          <w:trHeight w:val="227"/>
        </w:trPr>
        <w:tc>
          <w:tcPr>
            <w:tcW w:w="566" w:type="dxa"/>
            <w:vMerge w:val="restart"/>
            <w:tcBorders>
              <w:top w:val="dotted" w:sz="4" w:space="0" w:color="002060"/>
              <w:left w:val="nil"/>
            </w:tcBorders>
            <w:shd w:val="clear" w:color="auto" w:fill="FFFFFF" w:themeFill="background1"/>
          </w:tcPr>
          <w:p w14:paraId="400D23DB" w14:textId="2E07FEA6" w:rsidR="00E71F02" w:rsidRPr="00332AFA" w:rsidRDefault="00E71F02" w:rsidP="00E71F02">
            <w:pPr>
              <w:spacing w:before="120" w:after="120"/>
              <w:jc w:val="center"/>
              <w:rPr>
                <w:rFonts w:ascii="Verdana" w:hAnsi="Verdana"/>
                <w:sz w:val="20"/>
                <w:szCs w:val="20"/>
              </w:rPr>
            </w:pPr>
            <w:r w:rsidRPr="00332AFA">
              <w:rPr>
                <w:rFonts w:ascii="Verdana" w:hAnsi="Verdana"/>
                <w:sz w:val="20"/>
                <w:szCs w:val="20"/>
              </w:rPr>
              <w:t>3</w:t>
            </w:r>
          </w:p>
        </w:tc>
        <w:tc>
          <w:tcPr>
            <w:tcW w:w="6641" w:type="dxa"/>
            <w:vMerge w:val="restart"/>
            <w:tcBorders>
              <w:top w:val="dotted" w:sz="4" w:space="0" w:color="002060"/>
            </w:tcBorders>
            <w:shd w:val="clear" w:color="auto" w:fill="FFFFFF" w:themeFill="background1"/>
          </w:tcPr>
          <w:p w14:paraId="191114C9" w14:textId="1670B693" w:rsidR="00E71F02" w:rsidRPr="001C221E" w:rsidRDefault="00487C1C" w:rsidP="00E71F02">
            <w:pPr>
              <w:spacing w:before="120" w:after="120"/>
              <w:jc w:val="both"/>
              <w:rPr>
                <w:rFonts w:ascii="Verdana" w:hAnsi="Verdana"/>
                <w:b/>
                <w:bCs/>
                <w:sz w:val="20"/>
                <w:szCs w:val="20"/>
              </w:rPr>
            </w:pPr>
            <w:r>
              <w:rPr>
                <w:rFonts w:ascii="Verdana" w:hAnsi="Verdana"/>
                <w:b/>
                <w:bCs/>
                <w:sz w:val="20"/>
                <w:szCs w:val="20"/>
              </w:rPr>
              <w:t xml:space="preserve">Effectiveness of Escalation </w:t>
            </w:r>
            <w:r w:rsidR="00E71F02" w:rsidRPr="001C221E">
              <w:rPr>
                <w:rFonts w:ascii="Verdana" w:hAnsi="Verdana"/>
                <w:b/>
                <w:bCs/>
                <w:sz w:val="20"/>
                <w:szCs w:val="20"/>
              </w:rPr>
              <w:t>Action</w:t>
            </w:r>
            <w:r>
              <w:rPr>
                <w:rFonts w:ascii="Verdana" w:hAnsi="Verdana"/>
                <w:b/>
                <w:bCs/>
                <w:sz w:val="20"/>
                <w:szCs w:val="20"/>
              </w:rPr>
              <w:t xml:space="preserve"> Reporting</w:t>
            </w:r>
          </w:p>
          <w:p w14:paraId="3F5719B8" w14:textId="116BA8F0" w:rsidR="00E71F02" w:rsidRDefault="003D0C1C" w:rsidP="00E71F02">
            <w:pPr>
              <w:spacing w:before="120" w:after="120"/>
              <w:jc w:val="both"/>
              <w:rPr>
                <w:rFonts w:ascii="Verdana" w:hAnsi="Verdana"/>
                <w:sz w:val="20"/>
                <w:szCs w:val="20"/>
              </w:rPr>
            </w:pPr>
            <w:r>
              <w:rPr>
                <w:rFonts w:ascii="Verdana" w:hAnsi="Verdana"/>
                <w:sz w:val="20"/>
                <w:szCs w:val="20"/>
              </w:rPr>
              <w:t>The</w:t>
            </w:r>
            <w:r w:rsidRPr="003D0C1C">
              <w:rPr>
                <w:rFonts w:ascii="Verdana" w:hAnsi="Verdana"/>
                <w:sz w:val="20"/>
                <w:szCs w:val="20"/>
              </w:rPr>
              <w:t xml:space="preserve"> health board has consistently reported on actions taken to address escalated areas since the outline of its initial work programmes in May 2024</w:t>
            </w:r>
            <w:r>
              <w:rPr>
                <w:rFonts w:ascii="Verdana" w:hAnsi="Verdana"/>
                <w:sz w:val="20"/>
                <w:szCs w:val="20"/>
              </w:rPr>
              <w:t xml:space="preserve">. </w:t>
            </w:r>
            <w:r w:rsidR="00E71F02" w:rsidRPr="00B03E7B">
              <w:rPr>
                <w:rFonts w:ascii="Verdana" w:hAnsi="Verdana"/>
                <w:sz w:val="20"/>
                <w:szCs w:val="20"/>
              </w:rPr>
              <w:t>While escalation and oversight reports regularly</w:t>
            </w:r>
            <w:r w:rsidR="002F6C38">
              <w:rPr>
                <w:rFonts w:ascii="Verdana" w:hAnsi="Verdana"/>
                <w:sz w:val="20"/>
                <w:szCs w:val="20"/>
              </w:rPr>
              <w:t xml:space="preserve"> include</w:t>
            </w:r>
            <w:r w:rsidR="00E71F02" w:rsidRPr="00B03E7B">
              <w:rPr>
                <w:rFonts w:ascii="Verdana" w:hAnsi="Verdana"/>
                <w:sz w:val="20"/>
                <w:szCs w:val="20"/>
              </w:rPr>
              <w:t xml:space="preserve"> </w:t>
            </w:r>
            <w:r w:rsidR="00E71F02">
              <w:rPr>
                <w:rFonts w:ascii="Verdana" w:hAnsi="Verdana"/>
                <w:sz w:val="20"/>
                <w:szCs w:val="20"/>
              </w:rPr>
              <w:t>actions underway to address performance</w:t>
            </w:r>
            <w:r w:rsidR="00E71F02" w:rsidRPr="00B03E7B">
              <w:rPr>
                <w:rFonts w:ascii="Verdana" w:hAnsi="Verdana"/>
                <w:sz w:val="20"/>
                <w:szCs w:val="20"/>
              </w:rPr>
              <w:t xml:space="preserve">, their effectiveness </w:t>
            </w:r>
            <w:r w:rsidR="00E71F02">
              <w:rPr>
                <w:rFonts w:ascii="Verdana" w:hAnsi="Verdana"/>
                <w:sz w:val="20"/>
                <w:szCs w:val="20"/>
              </w:rPr>
              <w:t xml:space="preserve">as a tool for monitoring progression </w:t>
            </w:r>
            <w:r w:rsidR="00E71F02" w:rsidRPr="00B03E7B">
              <w:rPr>
                <w:rFonts w:ascii="Verdana" w:hAnsi="Verdana"/>
                <w:sz w:val="20"/>
                <w:szCs w:val="20"/>
              </w:rPr>
              <w:t>is limited by</w:t>
            </w:r>
            <w:r w:rsidR="00E71F02">
              <w:rPr>
                <w:rFonts w:ascii="Verdana" w:hAnsi="Verdana"/>
                <w:sz w:val="20"/>
                <w:szCs w:val="20"/>
              </w:rPr>
              <w:t>:</w:t>
            </w:r>
          </w:p>
          <w:p w14:paraId="0B827240" w14:textId="77777777" w:rsidR="00E71F02" w:rsidRDefault="00E71F02" w:rsidP="006A122D">
            <w:pPr>
              <w:pStyle w:val="ListParagraph"/>
              <w:numPr>
                <w:ilvl w:val="0"/>
                <w:numId w:val="7"/>
              </w:numPr>
              <w:spacing w:before="120" w:after="120"/>
              <w:jc w:val="both"/>
              <w:rPr>
                <w:rFonts w:ascii="Verdana" w:hAnsi="Verdana"/>
                <w:sz w:val="20"/>
                <w:szCs w:val="20"/>
              </w:rPr>
            </w:pPr>
            <w:r w:rsidRPr="0075500E">
              <w:rPr>
                <w:rFonts w:ascii="Verdana" w:hAnsi="Verdana"/>
                <w:sz w:val="20"/>
                <w:szCs w:val="20"/>
              </w:rPr>
              <w:lastRenderedPageBreak/>
              <w:t xml:space="preserve">the absence of defined action owners, timescales, and assessment of impact. </w:t>
            </w:r>
          </w:p>
          <w:p w14:paraId="2665C2E4" w14:textId="77777777" w:rsidR="00E71F02" w:rsidRDefault="00E71F02" w:rsidP="006A122D">
            <w:pPr>
              <w:pStyle w:val="ListParagraph"/>
              <w:numPr>
                <w:ilvl w:val="0"/>
                <w:numId w:val="7"/>
              </w:numPr>
              <w:spacing w:before="120" w:after="120"/>
              <w:jc w:val="both"/>
              <w:rPr>
                <w:rFonts w:ascii="Verdana" w:hAnsi="Verdana"/>
                <w:sz w:val="20"/>
                <w:szCs w:val="20"/>
              </w:rPr>
            </w:pPr>
            <w:r w:rsidRPr="0075500E">
              <w:rPr>
                <w:rFonts w:ascii="Verdana" w:hAnsi="Verdana"/>
                <w:sz w:val="20"/>
                <w:szCs w:val="20"/>
              </w:rPr>
              <w:t>inclu</w:t>
            </w:r>
            <w:r>
              <w:rPr>
                <w:rFonts w:ascii="Verdana" w:hAnsi="Verdana"/>
                <w:sz w:val="20"/>
                <w:szCs w:val="20"/>
              </w:rPr>
              <w:t>sion</w:t>
            </w:r>
            <w:r w:rsidRPr="0075500E">
              <w:rPr>
                <w:rFonts w:ascii="Verdana" w:hAnsi="Verdana"/>
                <w:sz w:val="20"/>
                <w:szCs w:val="20"/>
              </w:rPr>
              <w:t xml:space="preserve"> of </w:t>
            </w:r>
            <w:r>
              <w:rPr>
                <w:rFonts w:ascii="Verdana" w:hAnsi="Verdana"/>
                <w:sz w:val="20"/>
                <w:szCs w:val="20"/>
              </w:rPr>
              <w:t xml:space="preserve">the operation of </w:t>
            </w:r>
            <w:r w:rsidRPr="0075500E">
              <w:rPr>
                <w:rFonts w:ascii="Verdana" w:hAnsi="Verdana"/>
                <w:sz w:val="20"/>
                <w:szCs w:val="20"/>
              </w:rPr>
              <w:t>oversight groups</w:t>
            </w:r>
            <w:r>
              <w:rPr>
                <w:rFonts w:ascii="Verdana" w:hAnsi="Verdana"/>
                <w:sz w:val="20"/>
                <w:szCs w:val="20"/>
              </w:rPr>
              <w:t xml:space="preserve"> rather than formal actions.</w:t>
            </w:r>
            <w:r w:rsidRPr="0075500E">
              <w:rPr>
                <w:rFonts w:ascii="Verdana" w:hAnsi="Verdana"/>
                <w:sz w:val="20"/>
                <w:szCs w:val="20"/>
              </w:rPr>
              <w:t xml:space="preserve"> </w:t>
            </w:r>
          </w:p>
          <w:p w14:paraId="28F25CCD" w14:textId="77777777" w:rsidR="00E71F02" w:rsidRDefault="00E71F02" w:rsidP="006A122D">
            <w:pPr>
              <w:pStyle w:val="ListParagraph"/>
              <w:numPr>
                <w:ilvl w:val="0"/>
                <w:numId w:val="7"/>
              </w:numPr>
              <w:spacing w:before="120" w:after="120"/>
              <w:jc w:val="both"/>
              <w:rPr>
                <w:rFonts w:ascii="Verdana" w:hAnsi="Verdana"/>
                <w:sz w:val="20"/>
                <w:szCs w:val="20"/>
              </w:rPr>
            </w:pPr>
            <w:r>
              <w:rPr>
                <w:rFonts w:ascii="Verdana" w:hAnsi="Verdana"/>
                <w:sz w:val="20"/>
                <w:szCs w:val="20"/>
              </w:rPr>
              <w:t>lack of follow up to confirm the implementation of previously reported actions.</w:t>
            </w:r>
          </w:p>
          <w:p w14:paraId="74DEF23F" w14:textId="77777777" w:rsidR="00E71F02" w:rsidRDefault="00E71F02" w:rsidP="006A122D">
            <w:pPr>
              <w:pStyle w:val="ListParagraph"/>
              <w:numPr>
                <w:ilvl w:val="0"/>
                <w:numId w:val="7"/>
              </w:numPr>
              <w:spacing w:before="120" w:after="120"/>
              <w:jc w:val="both"/>
              <w:rPr>
                <w:rFonts w:ascii="Verdana" w:hAnsi="Verdana"/>
                <w:sz w:val="20"/>
                <w:szCs w:val="20"/>
              </w:rPr>
            </w:pPr>
            <w:r>
              <w:rPr>
                <w:rFonts w:ascii="Verdana" w:hAnsi="Verdana"/>
                <w:sz w:val="20"/>
                <w:szCs w:val="20"/>
              </w:rPr>
              <w:t>lack of consistent RAG or assurance rating of the confidence for de-escalation.</w:t>
            </w:r>
          </w:p>
          <w:p w14:paraId="2800498F" w14:textId="77777777" w:rsidR="00E71F02" w:rsidRDefault="00E71F02" w:rsidP="00E71F02">
            <w:pPr>
              <w:spacing w:before="120" w:after="120"/>
              <w:jc w:val="both"/>
              <w:rPr>
                <w:rFonts w:ascii="Verdana" w:hAnsi="Verdana"/>
                <w:sz w:val="20"/>
                <w:szCs w:val="20"/>
              </w:rPr>
            </w:pPr>
            <w:r>
              <w:rPr>
                <w:rFonts w:ascii="Verdana" w:hAnsi="Verdana"/>
                <w:sz w:val="20"/>
                <w:szCs w:val="20"/>
              </w:rPr>
              <w:t>The gaps identified within the current reporting mechanism contributes to lack of</w:t>
            </w:r>
            <w:r w:rsidRPr="0097493E">
              <w:rPr>
                <w:rFonts w:ascii="Verdana" w:hAnsi="Verdana"/>
                <w:sz w:val="20"/>
                <w:szCs w:val="20"/>
              </w:rPr>
              <w:t xml:space="preserve"> distinction between monitoring and delivery, </w:t>
            </w:r>
            <w:r>
              <w:rPr>
                <w:rFonts w:ascii="Verdana" w:hAnsi="Verdana"/>
                <w:sz w:val="20"/>
                <w:szCs w:val="20"/>
              </w:rPr>
              <w:t xml:space="preserve">and in turn </w:t>
            </w:r>
            <w:r w:rsidRPr="0097493E">
              <w:rPr>
                <w:rFonts w:ascii="Verdana" w:hAnsi="Verdana"/>
                <w:sz w:val="20"/>
                <w:szCs w:val="20"/>
              </w:rPr>
              <w:t>reduc</w:t>
            </w:r>
            <w:r>
              <w:rPr>
                <w:rFonts w:ascii="Verdana" w:hAnsi="Verdana"/>
                <w:sz w:val="20"/>
                <w:szCs w:val="20"/>
              </w:rPr>
              <w:t>es the</w:t>
            </w:r>
            <w:r w:rsidRPr="0097493E">
              <w:rPr>
                <w:rFonts w:ascii="Verdana" w:hAnsi="Verdana"/>
                <w:sz w:val="20"/>
                <w:szCs w:val="20"/>
              </w:rPr>
              <w:t xml:space="preserve"> clarity and accountability.</w:t>
            </w:r>
          </w:p>
          <w:p w14:paraId="2E35D94C" w14:textId="1268CEE6" w:rsidR="00BB663D" w:rsidRPr="0097493E" w:rsidRDefault="00BB663D" w:rsidP="00E71F02">
            <w:pPr>
              <w:spacing w:before="120" w:after="120"/>
              <w:jc w:val="both"/>
              <w:rPr>
                <w:rFonts w:ascii="Verdana" w:hAnsi="Verdana"/>
                <w:sz w:val="20"/>
                <w:szCs w:val="20"/>
              </w:rPr>
            </w:pPr>
            <w:r w:rsidRPr="00BB663D">
              <w:rPr>
                <w:rFonts w:ascii="Verdana" w:hAnsi="Verdana"/>
                <w:sz w:val="20"/>
                <w:szCs w:val="20"/>
              </w:rPr>
              <w:t>While trend data is available within the detail of the IPR and TI dashboard, summary reporting does not currently highlight where a de-escalation trigger has previously been met. Expanding the IPR to outline this in a clearer way would offer a more rounded view of performance and escalation history</w:t>
            </w:r>
          </w:p>
          <w:p w14:paraId="2DD4F99F" w14:textId="12A6838B" w:rsidR="00E71F02" w:rsidRPr="001C7AFC" w:rsidRDefault="00E71F02" w:rsidP="00E71F02">
            <w:pPr>
              <w:spacing w:before="120" w:after="120"/>
              <w:jc w:val="both"/>
              <w:rPr>
                <w:rFonts w:ascii="Verdana" w:hAnsi="Verdana"/>
                <w:sz w:val="20"/>
                <w:szCs w:val="20"/>
              </w:rPr>
            </w:pPr>
          </w:p>
        </w:tc>
        <w:tc>
          <w:tcPr>
            <w:tcW w:w="2263" w:type="dxa"/>
            <w:vMerge w:val="restart"/>
            <w:tcBorders>
              <w:top w:val="dotted" w:sz="4" w:space="0" w:color="002060"/>
            </w:tcBorders>
            <w:shd w:val="clear" w:color="auto" w:fill="FFFFFF" w:themeFill="background1"/>
          </w:tcPr>
          <w:p w14:paraId="5E7917CF" w14:textId="0A71DE68" w:rsidR="00E71F02" w:rsidRPr="00822DC5" w:rsidRDefault="00E71F02" w:rsidP="00E71F02">
            <w:pPr>
              <w:spacing w:before="120" w:after="120"/>
              <w:rPr>
                <w:rFonts w:ascii="Verdana" w:hAnsi="Verdana"/>
                <w:sz w:val="20"/>
                <w:szCs w:val="20"/>
              </w:rPr>
            </w:pPr>
            <w:r w:rsidRPr="00E71F02">
              <w:rPr>
                <w:rFonts w:ascii="Verdana" w:hAnsi="Verdana"/>
                <w:sz w:val="20"/>
                <w:szCs w:val="20"/>
              </w:rPr>
              <w:lastRenderedPageBreak/>
              <w:t xml:space="preserve">The absence of clear action ownership, timelines, and impact measures limits the Board’s ability to monitor progress and gain </w:t>
            </w:r>
            <w:r w:rsidRPr="00E71F02">
              <w:rPr>
                <w:rFonts w:ascii="Verdana" w:hAnsi="Verdana"/>
                <w:sz w:val="20"/>
                <w:szCs w:val="20"/>
              </w:rPr>
              <w:lastRenderedPageBreak/>
              <w:t>assurance over escalation-related improvements.</w:t>
            </w:r>
          </w:p>
        </w:tc>
        <w:tc>
          <w:tcPr>
            <w:tcW w:w="6696" w:type="dxa"/>
            <w:tcBorders>
              <w:top w:val="dotted" w:sz="4" w:space="0" w:color="002060"/>
              <w:right w:val="nil"/>
            </w:tcBorders>
            <w:shd w:val="clear" w:color="auto" w:fill="FFFFFF" w:themeFill="background1"/>
          </w:tcPr>
          <w:p w14:paraId="2BB993F8" w14:textId="77777777" w:rsidR="00E71F02" w:rsidRPr="00822DC5" w:rsidRDefault="00E71F02" w:rsidP="00E71F02">
            <w:pPr>
              <w:spacing w:before="120" w:after="120"/>
              <w:rPr>
                <w:rFonts w:ascii="Verdana" w:hAnsi="Verdana"/>
                <w:b/>
                <w:bCs/>
                <w:sz w:val="20"/>
                <w:szCs w:val="20"/>
              </w:rPr>
            </w:pPr>
            <w:r w:rsidRPr="00822DC5">
              <w:rPr>
                <w:rFonts w:ascii="Verdana" w:hAnsi="Verdana"/>
                <w:b/>
                <w:bCs/>
                <w:sz w:val="20"/>
                <w:szCs w:val="20"/>
              </w:rPr>
              <w:lastRenderedPageBreak/>
              <w:t>Agreed Action:</w:t>
            </w:r>
          </w:p>
          <w:p w14:paraId="63ED36C4" w14:textId="38C4E9B8" w:rsidR="00E71F02" w:rsidRDefault="007F4086" w:rsidP="00497EEF">
            <w:pPr>
              <w:numPr>
                <w:ilvl w:val="0"/>
                <w:numId w:val="3"/>
              </w:numPr>
              <w:spacing w:before="120" w:after="120"/>
              <w:jc w:val="both"/>
              <w:rPr>
                <w:rFonts w:ascii="Verdana" w:hAnsi="Verdana"/>
                <w:i/>
                <w:iCs/>
                <w:sz w:val="20"/>
                <w:szCs w:val="20"/>
              </w:rPr>
            </w:pPr>
            <w:r w:rsidRPr="007F4086">
              <w:rPr>
                <w:rFonts w:ascii="Verdana" w:hAnsi="Verdana"/>
                <w:i/>
                <w:iCs/>
                <w:sz w:val="20"/>
                <w:szCs w:val="20"/>
              </w:rPr>
              <w:t>Develop and implement a</w:t>
            </w:r>
            <w:r w:rsidR="007E405D">
              <w:rPr>
                <w:rFonts w:ascii="Verdana" w:hAnsi="Verdana"/>
                <w:i/>
                <w:iCs/>
                <w:sz w:val="20"/>
                <w:szCs w:val="20"/>
              </w:rPr>
              <w:t>n escalation</w:t>
            </w:r>
            <w:r w:rsidRPr="007F4086">
              <w:rPr>
                <w:rFonts w:ascii="Verdana" w:hAnsi="Verdana"/>
                <w:i/>
                <w:iCs/>
                <w:sz w:val="20"/>
                <w:szCs w:val="20"/>
              </w:rPr>
              <w:t xml:space="preserve"> </w:t>
            </w:r>
            <w:r w:rsidR="007E405D">
              <w:rPr>
                <w:rFonts w:ascii="Verdana" w:hAnsi="Verdana"/>
                <w:i/>
                <w:iCs/>
                <w:sz w:val="20"/>
                <w:szCs w:val="20"/>
              </w:rPr>
              <w:t>plan</w:t>
            </w:r>
            <w:r w:rsidRPr="007F4086">
              <w:rPr>
                <w:rFonts w:ascii="Verdana" w:hAnsi="Verdana"/>
                <w:i/>
                <w:iCs/>
                <w:sz w:val="20"/>
                <w:szCs w:val="20"/>
              </w:rPr>
              <w:t xml:space="preserve"> that assigns clear action owners, sets timescales, and includes impact assessments for each reported action.</w:t>
            </w:r>
          </w:p>
          <w:p w14:paraId="235567A5" w14:textId="77777777" w:rsidR="005B2251" w:rsidRDefault="005B2251" w:rsidP="00497EEF">
            <w:pPr>
              <w:numPr>
                <w:ilvl w:val="0"/>
                <w:numId w:val="3"/>
              </w:numPr>
              <w:spacing w:before="120" w:after="120"/>
              <w:jc w:val="both"/>
              <w:rPr>
                <w:rFonts w:ascii="Verdana" w:hAnsi="Verdana"/>
                <w:i/>
                <w:iCs/>
                <w:sz w:val="20"/>
                <w:szCs w:val="20"/>
              </w:rPr>
            </w:pPr>
            <w:r w:rsidRPr="005B2251">
              <w:rPr>
                <w:rFonts w:ascii="Verdana" w:hAnsi="Verdana"/>
                <w:i/>
                <w:iCs/>
                <w:sz w:val="20"/>
                <w:szCs w:val="20"/>
              </w:rPr>
              <w:t>Establish a process for verifying and documenting the completion of previously reported actions, including evidence of delivery and outcomes.</w:t>
            </w:r>
          </w:p>
          <w:p w14:paraId="1A203FEB" w14:textId="77777777" w:rsidR="007E405D" w:rsidRDefault="007E405D" w:rsidP="00497EEF">
            <w:pPr>
              <w:numPr>
                <w:ilvl w:val="0"/>
                <w:numId w:val="3"/>
              </w:numPr>
              <w:spacing w:before="120" w:after="120"/>
              <w:jc w:val="both"/>
              <w:rPr>
                <w:rFonts w:ascii="Verdana" w:hAnsi="Verdana"/>
                <w:i/>
                <w:iCs/>
                <w:sz w:val="20"/>
                <w:szCs w:val="20"/>
              </w:rPr>
            </w:pPr>
            <w:r w:rsidRPr="007E405D">
              <w:rPr>
                <w:rFonts w:ascii="Verdana" w:hAnsi="Verdana"/>
                <w:i/>
                <w:iCs/>
                <w:sz w:val="20"/>
                <w:szCs w:val="20"/>
              </w:rPr>
              <w:lastRenderedPageBreak/>
              <w:t>Embed a standardised rating system within reports to assess confidence levels for de-escalation, improving transparency and accountability.</w:t>
            </w:r>
          </w:p>
          <w:p w14:paraId="481A730B" w14:textId="0C195ACD" w:rsidR="002677D8" w:rsidRPr="00441A49" w:rsidRDefault="00CF48FC" w:rsidP="00497EEF">
            <w:pPr>
              <w:numPr>
                <w:ilvl w:val="0"/>
                <w:numId w:val="3"/>
              </w:numPr>
              <w:spacing w:before="120" w:after="120"/>
              <w:jc w:val="both"/>
              <w:rPr>
                <w:rFonts w:ascii="Verdana" w:hAnsi="Verdana"/>
                <w:i/>
                <w:iCs/>
                <w:sz w:val="20"/>
                <w:szCs w:val="20"/>
              </w:rPr>
            </w:pPr>
            <w:r>
              <w:rPr>
                <w:rFonts w:ascii="Verdana" w:hAnsi="Verdana"/>
                <w:i/>
                <w:iCs/>
                <w:sz w:val="20"/>
                <w:szCs w:val="20"/>
              </w:rPr>
              <w:t xml:space="preserve">Inclusion of </w:t>
            </w:r>
            <w:r w:rsidR="00CA34B3">
              <w:rPr>
                <w:rFonts w:ascii="Verdana" w:hAnsi="Verdana"/>
                <w:i/>
                <w:iCs/>
                <w:sz w:val="20"/>
                <w:szCs w:val="20"/>
              </w:rPr>
              <w:t>additional performance narrative</w:t>
            </w:r>
            <w:r w:rsidR="00127BC0">
              <w:rPr>
                <w:rFonts w:ascii="Verdana" w:hAnsi="Verdana"/>
                <w:i/>
                <w:iCs/>
                <w:sz w:val="20"/>
                <w:szCs w:val="20"/>
              </w:rPr>
              <w:t xml:space="preserve"> within performance reporting</w:t>
            </w:r>
            <w:r w:rsidR="00CA34B3">
              <w:rPr>
                <w:rFonts w:ascii="Verdana" w:hAnsi="Verdana"/>
                <w:i/>
                <w:iCs/>
                <w:sz w:val="20"/>
                <w:szCs w:val="20"/>
              </w:rPr>
              <w:t xml:space="preserve"> </w:t>
            </w:r>
            <w:r w:rsidR="00706B8D">
              <w:rPr>
                <w:rFonts w:ascii="Verdana" w:hAnsi="Verdana"/>
                <w:i/>
                <w:iCs/>
                <w:sz w:val="20"/>
                <w:szCs w:val="20"/>
              </w:rPr>
              <w:t xml:space="preserve">(see ‘Performance Overview’ within </w:t>
            </w:r>
            <w:r w:rsidR="00127BC0">
              <w:rPr>
                <w:rFonts w:ascii="Verdana" w:hAnsi="Verdana"/>
                <w:i/>
                <w:iCs/>
                <w:sz w:val="20"/>
                <w:szCs w:val="20"/>
              </w:rPr>
              <w:t>Appendix B).</w:t>
            </w:r>
            <w:r w:rsidR="00706B8D">
              <w:rPr>
                <w:rFonts w:ascii="Verdana" w:hAnsi="Verdana"/>
                <w:i/>
                <w:iCs/>
                <w:sz w:val="20"/>
                <w:szCs w:val="20"/>
              </w:rPr>
              <w:t xml:space="preserve"> </w:t>
            </w:r>
            <w:r w:rsidR="002677D8">
              <w:rPr>
                <w:rFonts w:ascii="Verdana" w:hAnsi="Verdana"/>
                <w:i/>
                <w:iCs/>
                <w:sz w:val="20"/>
                <w:szCs w:val="20"/>
              </w:rPr>
              <w:t xml:space="preserve"> </w:t>
            </w:r>
          </w:p>
        </w:tc>
      </w:tr>
      <w:tr w:rsidR="00E71F02" w:rsidRPr="00406895" w14:paraId="22D57DBB" w14:textId="77777777" w:rsidTr="00F92AED">
        <w:tc>
          <w:tcPr>
            <w:tcW w:w="566" w:type="dxa"/>
            <w:vMerge/>
            <w:tcBorders>
              <w:left w:val="nil"/>
            </w:tcBorders>
            <w:shd w:val="clear" w:color="auto" w:fill="FFFFFF" w:themeFill="background1"/>
          </w:tcPr>
          <w:p w14:paraId="06B43464" w14:textId="77777777" w:rsidR="00E71F02" w:rsidRPr="00332AFA" w:rsidRDefault="00E71F02" w:rsidP="00E71F02">
            <w:pPr>
              <w:spacing w:before="120" w:after="120"/>
              <w:rPr>
                <w:rFonts w:ascii="Verdana" w:hAnsi="Verdana"/>
                <w:sz w:val="20"/>
                <w:szCs w:val="20"/>
              </w:rPr>
            </w:pPr>
          </w:p>
        </w:tc>
        <w:tc>
          <w:tcPr>
            <w:tcW w:w="6641" w:type="dxa"/>
            <w:vMerge/>
            <w:shd w:val="clear" w:color="auto" w:fill="FFFFFF" w:themeFill="background1"/>
          </w:tcPr>
          <w:p w14:paraId="4A4AA569" w14:textId="77777777" w:rsidR="00E71F02" w:rsidRPr="00822DC5" w:rsidRDefault="00E71F02" w:rsidP="00E71F02">
            <w:pPr>
              <w:spacing w:before="120" w:after="120"/>
              <w:rPr>
                <w:rFonts w:ascii="Verdana" w:hAnsi="Verdana"/>
                <w:sz w:val="20"/>
                <w:szCs w:val="20"/>
              </w:rPr>
            </w:pPr>
          </w:p>
        </w:tc>
        <w:tc>
          <w:tcPr>
            <w:tcW w:w="2263" w:type="dxa"/>
            <w:vMerge/>
            <w:tcBorders>
              <w:bottom w:val="dotted" w:sz="4" w:space="0" w:color="002060"/>
            </w:tcBorders>
            <w:shd w:val="clear" w:color="auto" w:fill="FFFFFF" w:themeFill="background1"/>
          </w:tcPr>
          <w:p w14:paraId="2CB8991E" w14:textId="77777777" w:rsidR="00E71F02" w:rsidRPr="00822DC5" w:rsidRDefault="00E71F02" w:rsidP="00E71F02">
            <w:pPr>
              <w:spacing w:before="120" w:after="120"/>
              <w:rPr>
                <w:rFonts w:ascii="Verdana" w:hAnsi="Verdana"/>
                <w:sz w:val="20"/>
                <w:szCs w:val="20"/>
              </w:rPr>
            </w:pPr>
          </w:p>
        </w:tc>
        <w:tc>
          <w:tcPr>
            <w:tcW w:w="6696" w:type="dxa"/>
            <w:tcBorders>
              <w:right w:val="nil"/>
            </w:tcBorders>
            <w:shd w:val="clear" w:color="auto" w:fill="FFFFFF" w:themeFill="background1"/>
          </w:tcPr>
          <w:p w14:paraId="096E4F96" w14:textId="77777777" w:rsidR="00E71F02" w:rsidRPr="00822DC5" w:rsidRDefault="00E71F02" w:rsidP="00E71F02">
            <w:pPr>
              <w:spacing w:before="120" w:after="120"/>
              <w:rPr>
                <w:rFonts w:ascii="Verdana" w:hAnsi="Verdana"/>
                <w:b/>
                <w:bCs/>
                <w:sz w:val="20"/>
                <w:szCs w:val="20"/>
              </w:rPr>
            </w:pPr>
            <w:r w:rsidRPr="00822DC5">
              <w:rPr>
                <w:rFonts w:ascii="Verdana" w:hAnsi="Verdana"/>
                <w:b/>
                <w:bCs/>
                <w:sz w:val="20"/>
                <w:szCs w:val="20"/>
              </w:rPr>
              <w:t>Expected Evidence of Implementation:</w:t>
            </w:r>
          </w:p>
          <w:p w14:paraId="3C06BA3E" w14:textId="77777777" w:rsidR="00E71F02" w:rsidRPr="00ED52EC" w:rsidRDefault="009D0028" w:rsidP="00497EEF">
            <w:pPr>
              <w:spacing w:before="120" w:after="120"/>
              <w:jc w:val="both"/>
              <w:rPr>
                <w:rFonts w:ascii="Verdana" w:hAnsi="Verdana"/>
                <w:i/>
                <w:sz w:val="20"/>
                <w:szCs w:val="20"/>
              </w:rPr>
            </w:pPr>
            <w:r w:rsidRPr="00ED52EC">
              <w:rPr>
                <w:rFonts w:ascii="Verdana" w:hAnsi="Verdana"/>
                <w:i/>
                <w:sz w:val="20"/>
                <w:szCs w:val="20"/>
              </w:rPr>
              <w:t xml:space="preserve">Approved Escalation Plan document which </w:t>
            </w:r>
            <w:r w:rsidR="00BA7E1F" w:rsidRPr="00ED52EC">
              <w:rPr>
                <w:rFonts w:ascii="Verdana" w:hAnsi="Verdana"/>
                <w:i/>
                <w:sz w:val="20"/>
                <w:szCs w:val="20"/>
              </w:rPr>
              <w:t xml:space="preserve">includes </w:t>
            </w:r>
            <w:r w:rsidR="00AB28A8" w:rsidRPr="00ED52EC">
              <w:rPr>
                <w:rFonts w:ascii="Verdana" w:hAnsi="Verdana"/>
                <w:i/>
                <w:sz w:val="20"/>
                <w:szCs w:val="20"/>
              </w:rPr>
              <w:t>action owner, timescale</w:t>
            </w:r>
            <w:r w:rsidR="00BA7E1F" w:rsidRPr="00ED52EC">
              <w:rPr>
                <w:rFonts w:ascii="Verdana" w:hAnsi="Verdana"/>
                <w:i/>
                <w:sz w:val="20"/>
                <w:szCs w:val="20"/>
              </w:rPr>
              <w:t>, impact and confidence</w:t>
            </w:r>
            <w:r w:rsidRPr="00ED52EC">
              <w:rPr>
                <w:rFonts w:ascii="Verdana" w:hAnsi="Verdana"/>
                <w:i/>
                <w:sz w:val="20"/>
                <w:szCs w:val="20"/>
              </w:rPr>
              <w:t>.</w:t>
            </w:r>
          </w:p>
          <w:p w14:paraId="0F148F98" w14:textId="1E7BC55D" w:rsidR="007A75C1" w:rsidRPr="00822DC5" w:rsidRDefault="007A75C1" w:rsidP="00497EEF">
            <w:pPr>
              <w:spacing w:before="120" w:after="120"/>
              <w:jc w:val="both"/>
              <w:rPr>
                <w:rFonts w:ascii="Verdana" w:hAnsi="Verdana"/>
                <w:sz w:val="20"/>
                <w:szCs w:val="20"/>
              </w:rPr>
            </w:pPr>
            <w:r w:rsidRPr="00ED52EC">
              <w:rPr>
                <w:rFonts w:ascii="Verdana" w:hAnsi="Verdana"/>
                <w:i/>
                <w:sz w:val="20"/>
                <w:szCs w:val="20"/>
              </w:rPr>
              <w:t xml:space="preserve">Copies of reports to Committee and board which </w:t>
            </w:r>
            <w:r w:rsidR="00035DEC" w:rsidRPr="00ED52EC">
              <w:rPr>
                <w:rFonts w:ascii="Verdana" w:hAnsi="Verdana"/>
                <w:i/>
                <w:sz w:val="20"/>
                <w:szCs w:val="20"/>
              </w:rPr>
              <w:t>include action trackers and follow up status</w:t>
            </w:r>
            <w:r w:rsidR="00CD72D9" w:rsidRPr="00ED52EC">
              <w:rPr>
                <w:rFonts w:ascii="Verdana" w:hAnsi="Verdana"/>
                <w:i/>
                <w:sz w:val="20"/>
                <w:szCs w:val="20"/>
              </w:rPr>
              <w:t xml:space="preserve"> of implemented actions</w:t>
            </w:r>
            <w:r w:rsidR="00035DEC" w:rsidRPr="00ED52EC">
              <w:rPr>
                <w:rFonts w:ascii="Verdana" w:hAnsi="Verdana"/>
                <w:i/>
                <w:sz w:val="20"/>
                <w:szCs w:val="20"/>
              </w:rPr>
              <w:t>.</w:t>
            </w:r>
          </w:p>
        </w:tc>
      </w:tr>
      <w:tr w:rsidR="00E71F02" w:rsidRPr="00406895" w14:paraId="37EA4FE3" w14:textId="77777777" w:rsidTr="003D0C1C">
        <w:trPr>
          <w:trHeight w:hRule="exact" w:val="2336"/>
        </w:trPr>
        <w:tc>
          <w:tcPr>
            <w:tcW w:w="566" w:type="dxa"/>
            <w:vMerge/>
            <w:tcBorders>
              <w:left w:val="nil"/>
            </w:tcBorders>
            <w:shd w:val="clear" w:color="auto" w:fill="FFFFFF" w:themeFill="background1"/>
          </w:tcPr>
          <w:p w14:paraId="73453BA8" w14:textId="77777777" w:rsidR="00E71F02" w:rsidRPr="00332AFA" w:rsidRDefault="00E71F02" w:rsidP="00E71F02">
            <w:pPr>
              <w:spacing w:before="120" w:after="120"/>
              <w:rPr>
                <w:rFonts w:ascii="Verdana" w:hAnsi="Verdana"/>
                <w:sz w:val="20"/>
                <w:szCs w:val="20"/>
              </w:rPr>
            </w:pPr>
          </w:p>
        </w:tc>
        <w:tc>
          <w:tcPr>
            <w:tcW w:w="6641" w:type="dxa"/>
            <w:vMerge/>
            <w:shd w:val="clear" w:color="auto" w:fill="FFFFFF" w:themeFill="background1"/>
          </w:tcPr>
          <w:p w14:paraId="420E9C3C" w14:textId="77777777" w:rsidR="00E71F02" w:rsidRPr="00822DC5" w:rsidRDefault="00E71F02" w:rsidP="00E71F02">
            <w:pPr>
              <w:spacing w:before="120" w:after="120"/>
              <w:rPr>
                <w:rFonts w:ascii="Verdana" w:hAnsi="Verdana"/>
                <w:sz w:val="20"/>
                <w:szCs w:val="20"/>
              </w:rPr>
            </w:pPr>
          </w:p>
        </w:tc>
        <w:sdt>
          <w:sdtPr>
            <w:rPr>
              <w:rFonts w:ascii="Verdana" w:hAnsi="Verdana"/>
              <w:b/>
              <w:bCs/>
              <w:sz w:val="20"/>
              <w:szCs w:val="20"/>
            </w:rPr>
            <w:alias w:val="Priority"/>
            <w:tag w:val="Priority"/>
            <w:id w:val="-1403672338"/>
            <w:placeholder>
              <w:docPart w:val="0D7D0DDD322946AB82A7309D4D11455A"/>
            </w:placeholder>
            <w:dropDownList>
              <w:listItem w:value="Choose an item."/>
              <w:listItem w:displayText="High Priority" w:value="High Priority"/>
              <w:listItem w:displayText="Medium Priority" w:value="Medium Priority"/>
            </w:dropDownList>
          </w:sdtPr>
          <w:sdtEndPr/>
          <w:sdtContent>
            <w:tc>
              <w:tcPr>
                <w:tcW w:w="2263" w:type="dxa"/>
                <w:tcBorders>
                  <w:bottom w:val="nil"/>
                </w:tcBorders>
                <w:shd w:val="clear" w:color="auto" w:fill="FFFF00"/>
                <w:vAlign w:val="center"/>
              </w:tcPr>
              <w:p w14:paraId="458C7B8B" w14:textId="7B64FB6E" w:rsidR="00E71F02" w:rsidRPr="00822DC5" w:rsidRDefault="00E71F02" w:rsidP="00E71F02">
                <w:pPr>
                  <w:spacing w:before="120" w:after="120"/>
                  <w:jc w:val="center"/>
                  <w:rPr>
                    <w:rFonts w:ascii="Verdana" w:hAnsi="Verdana"/>
                    <w:b/>
                    <w:bCs/>
                    <w:sz w:val="20"/>
                    <w:szCs w:val="20"/>
                  </w:rPr>
                </w:pPr>
                <w:r>
                  <w:rPr>
                    <w:rFonts w:ascii="Verdana" w:hAnsi="Verdana"/>
                    <w:b/>
                    <w:bCs/>
                    <w:sz w:val="20"/>
                    <w:szCs w:val="20"/>
                  </w:rPr>
                  <w:t>Medium Priority</w:t>
                </w:r>
              </w:p>
            </w:tc>
          </w:sdtContent>
        </w:sdt>
        <w:tc>
          <w:tcPr>
            <w:tcW w:w="6696" w:type="dxa"/>
            <w:vMerge w:val="restart"/>
            <w:tcBorders>
              <w:right w:val="nil"/>
            </w:tcBorders>
            <w:shd w:val="clear" w:color="auto" w:fill="FFFFFF" w:themeFill="background1"/>
            <w:vAlign w:val="center"/>
          </w:tcPr>
          <w:p w14:paraId="6B3903F4" w14:textId="4FA423A7" w:rsidR="00E71F02" w:rsidRPr="00822DC5" w:rsidRDefault="00E71F02" w:rsidP="00E71F02">
            <w:pPr>
              <w:spacing w:before="120" w:after="120"/>
              <w:rPr>
                <w:rFonts w:ascii="Verdana" w:hAnsi="Verdana"/>
                <w:b/>
                <w:bCs/>
                <w:sz w:val="20"/>
                <w:szCs w:val="20"/>
              </w:rPr>
            </w:pPr>
            <w:r w:rsidRPr="00822DC5">
              <w:rPr>
                <w:rFonts w:ascii="Verdana" w:hAnsi="Verdana"/>
                <w:b/>
                <w:bCs/>
                <w:sz w:val="20"/>
                <w:szCs w:val="20"/>
              </w:rPr>
              <w:t xml:space="preserve">Officer: </w:t>
            </w:r>
            <w:r w:rsidR="00BD1214">
              <w:rPr>
                <w:rFonts w:ascii="Verdana" w:hAnsi="Verdana"/>
                <w:b/>
                <w:bCs/>
                <w:sz w:val="20"/>
                <w:szCs w:val="20"/>
              </w:rPr>
              <w:t>Director of Performance &amp; Business Intelligence</w:t>
            </w:r>
          </w:p>
          <w:p w14:paraId="0E3F92AB" w14:textId="0640BDA2" w:rsidR="00E71F02" w:rsidRPr="00822DC5" w:rsidRDefault="00E71F02" w:rsidP="00E71F02">
            <w:pPr>
              <w:spacing w:before="120" w:after="120"/>
              <w:rPr>
                <w:rFonts w:ascii="Verdana" w:hAnsi="Verdana"/>
                <w:sz w:val="20"/>
                <w:szCs w:val="20"/>
              </w:rPr>
            </w:pPr>
            <w:r>
              <w:rPr>
                <w:rFonts w:ascii="Verdana" w:hAnsi="Verdana"/>
                <w:b/>
                <w:bCs/>
                <w:sz w:val="20"/>
                <w:szCs w:val="20"/>
              </w:rPr>
              <w:t xml:space="preserve">Target Implementation </w:t>
            </w:r>
            <w:r w:rsidRPr="00822DC5">
              <w:rPr>
                <w:rFonts w:ascii="Verdana" w:hAnsi="Verdana"/>
                <w:b/>
                <w:bCs/>
                <w:sz w:val="20"/>
                <w:szCs w:val="20"/>
              </w:rPr>
              <w:t>Date:</w:t>
            </w:r>
            <w:r w:rsidR="00BD1214">
              <w:rPr>
                <w:rFonts w:ascii="Verdana" w:hAnsi="Verdana"/>
                <w:b/>
                <w:bCs/>
                <w:sz w:val="20"/>
                <w:szCs w:val="20"/>
              </w:rPr>
              <w:t xml:space="preserve"> July 2026</w:t>
            </w:r>
          </w:p>
        </w:tc>
      </w:tr>
      <w:tr w:rsidR="00E71F02" w:rsidRPr="00406895" w14:paraId="73F523C5" w14:textId="77777777" w:rsidTr="001C7AFC">
        <w:trPr>
          <w:trHeight w:hRule="exact" w:val="567"/>
        </w:trPr>
        <w:tc>
          <w:tcPr>
            <w:tcW w:w="566" w:type="dxa"/>
            <w:vMerge/>
            <w:tcBorders>
              <w:left w:val="nil"/>
              <w:bottom w:val="dotted" w:sz="4" w:space="0" w:color="002060"/>
            </w:tcBorders>
            <w:shd w:val="clear" w:color="auto" w:fill="FFFFFF" w:themeFill="background1"/>
          </w:tcPr>
          <w:p w14:paraId="33077FEC" w14:textId="77777777" w:rsidR="00E71F02" w:rsidRPr="00332AFA" w:rsidRDefault="00E71F02" w:rsidP="00E71F02">
            <w:pPr>
              <w:spacing w:before="120" w:after="120"/>
              <w:ind w:right="28"/>
              <w:jc w:val="center"/>
              <w:rPr>
                <w:rFonts w:ascii="Verdana" w:hAnsi="Verdana"/>
                <w:sz w:val="20"/>
                <w:szCs w:val="20"/>
              </w:rPr>
            </w:pPr>
          </w:p>
        </w:tc>
        <w:tc>
          <w:tcPr>
            <w:tcW w:w="6641" w:type="dxa"/>
            <w:tcBorders>
              <w:bottom w:val="dotted" w:sz="4" w:space="0" w:color="002060"/>
            </w:tcBorders>
            <w:shd w:val="clear" w:color="auto" w:fill="FFFFFF" w:themeFill="background1"/>
            <w:vAlign w:val="center"/>
          </w:tcPr>
          <w:p w14:paraId="41C34D03" w14:textId="363B8903" w:rsidR="00E71F02" w:rsidRPr="00822DC5" w:rsidRDefault="00E71F02" w:rsidP="00E71F02">
            <w:pPr>
              <w:spacing w:before="120" w:after="12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739985507"/>
                <w:placeholder>
                  <w:docPart w:val="211EA8C8AC734D158E9DC9DC147AEA90"/>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623DBB">
                  <w:rPr>
                    <w:rStyle w:val="Themes"/>
                    <w:szCs w:val="20"/>
                  </w:rPr>
                  <w:t>Reporting</w:t>
                </w:r>
              </w:sdtContent>
            </w:sdt>
          </w:p>
        </w:tc>
        <w:sdt>
          <w:sdtPr>
            <w:rPr>
              <w:rFonts w:ascii="Verdana" w:hAnsi="Verdana"/>
              <w:sz w:val="20"/>
              <w:szCs w:val="20"/>
            </w:rPr>
            <w:alias w:val="Design/Operation"/>
            <w:tag w:val="Design/Operation"/>
            <w:id w:val="161978533"/>
            <w:placeholder>
              <w:docPart w:val="53BE9F9B397C4DDFA23CBA2FEEDDFE6B"/>
            </w:placeholder>
            <w:dropDownList>
              <w:listItem w:value="Choose an item."/>
              <w:listItem w:displayText="Control Design " w:value="Control Design "/>
              <w:listItem w:displayText="Control Operation " w:value="Control Operation "/>
            </w:dropDownList>
          </w:sdtPr>
          <w:sdtEndPr/>
          <w:sdtContent>
            <w:tc>
              <w:tcPr>
                <w:tcW w:w="2263" w:type="dxa"/>
                <w:tcBorders>
                  <w:top w:val="nil"/>
                  <w:bottom w:val="dotted" w:sz="4" w:space="0" w:color="002060"/>
                </w:tcBorders>
                <w:shd w:val="clear" w:color="auto" w:fill="FFFFFF" w:themeFill="background1"/>
                <w:vAlign w:val="center"/>
              </w:tcPr>
              <w:p w14:paraId="7C6E427B" w14:textId="432E4726" w:rsidR="00E71F02" w:rsidRPr="00822DC5" w:rsidRDefault="00E71F02" w:rsidP="00E71F02">
                <w:pPr>
                  <w:spacing w:before="120" w:after="120"/>
                  <w:jc w:val="center"/>
                  <w:rPr>
                    <w:rFonts w:ascii="Verdana" w:hAnsi="Verdana"/>
                    <w:b/>
                    <w:bCs/>
                    <w:sz w:val="20"/>
                    <w:szCs w:val="20"/>
                  </w:rPr>
                </w:pPr>
                <w:r>
                  <w:rPr>
                    <w:rFonts w:ascii="Verdana" w:hAnsi="Verdana"/>
                    <w:sz w:val="20"/>
                    <w:szCs w:val="20"/>
                  </w:rPr>
                  <w:t xml:space="preserve">Control Design </w:t>
                </w:r>
              </w:p>
            </w:tc>
          </w:sdtContent>
        </w:sdt>
        <w:tc>
          <w:tcPr>
            <w:tcW w:w="6696" w:type="dxa"/>
            <w:vMerge/>
            <w:tcBorders>
              <w:bottom w:val="dotted" w:sz="4" w:space="0" w:color="002060"/>
              <w:right w:val="nil"/>
            </w:tcBorders>
            <w:shd w:val="clear" w:color="auto" w:fill="FFFFFF" w:themeFill="background1"/>
          </w:tcPr>
          <w:p w14:paraId="2CF95315" w14:textId="77777777" w:rsidR="00E71F02" w:rsidRPr="00822DC5" w:rsidRDefault="00E71F02" w:rsidP="00E71F02">
            <w:pPr>
              <w:spacing w:before="120" w:after="120"/>
              <w:rPr>
                <w:rFonts w:ascii="Verdana" w:hAnsi="Verdana"/>
                <w:sz w:val="20"/>
                <w:szCs w:val="20"/>
              </w:rPr>
            </w:pPr>
          </w:p>
        </w:tc>
      </w:tr>
      <w:tr w:rsidR="00A7159F" w:rsidRPr="00406895" w14:paraId="49C8CC6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183"/>
        </w:trPr>
        <w:tc>
          <w:tcPr>
            <w:tcW w:w="566" w:type="dxa"/>
            <w:vMerge w:val="restart"/>
            <w:tcBorders>
              <w:top w:val="dotted" w:sz="4" w:space="0" w:color="002060"/>
              <w:left w:val="nil"/>
              <w:right w:val="dotted" w:sz="4" w:space="0" w:color="002060"/>
            </w:tcBorders>
            <w:shd w:val="clear" w:color="auto" w:fill="FFFFFF" w:themeFill="background1"/>
          </w:tcPr>
          <w:p w14:paraId="0FDC17BE" w14:textId="559B3CAB" w:rsidR="00A7159F" w:rsidRPr="00332AFA" w:rsidRDefault="00A7159F" w:rsidP="00E71F02">
            <w:pPr>
              <w:spacing w:before="120" w:after="120"/>
              <w:jc w:val="center"/>
              <w:rPr>
                <w:rFonts w:ascii="Verdana" w:hAnsi="Verdana"/>
                <w:sz w:val="20"/>
                <w:szCs w:val="20"/>
              </w:rPr>
            </w:pPr>
            <w:r>
              <w:rPr>
                <w:rFonts w:ascii="Verdana" w:hAnsi="Verdana"/>
                <w:sz w:val="20"/>
                <w:szCs w:val="20"/>
              </w:rPr>
              <w:t>4</w:t>
            </w:r>
          </w:p>
        </w:tc>
        <w:tc>
          <w:tcPr>
            <w:tcW w:w="6641" w:type="dxa"/>
            <w:vMerge w:val="restart"/>
            <w:tcBorders>
              <w:top w:val="dotted" w:sz="4" w:space="0" w:color="002060"/>
              <w:left w:val="dotted" w:sz="4" w:space="0" w:color="002060"/>
              <w:right w:val="dotted" w:sz="4" w:space="0" w:color="002060"/>
            </w:tcBorders>
            <w:shd w:val="clear" w:color="auto" w:fill="FFFFFF" w:themeFill="background1"/>
          </w:tcPr>
          <w:p w14:paraId="62FA6C75" w14:textId="20E2C84B" w:rsidR="00A7159F" w:rsidRPr="00623DBB" w:rsidRDefault="00A7159F" w:rsidP="00E71F02">
            <w:pPr>
              <w:spacing w:before="120" w:after="120"/>
              <w:jc w:val="both"/>
              <w:rPr>
                <w:rFonts w:ascii="Verdana" w:hAnsi="Verdana"/>
                <w:b/>
                <w:bCs/>
                <w:sz w:val="20"/>
                <w:szCs w:val="20"/>
              </w:rPr>
            </w:pPr>
            <w:r w:rsidRPr="001F5B4B">
              <w:rPr>
                <w:rFonts w:ascii="Verdana" w:hAnsi="Verdana"/>
                <w:b/>
                <w:bCs/>
                <w:sz w:val="20"/>
                <w:szCs w:val="20"/>
              </w:rPr>
              <w:t>Limited Guidance on External Escalation in the</w:t>
            </w:r>
            <w:r>
              <w:rPr>
                <w:rFonts w:ascii="Verdana" w:hAnsi="Verdana"/>
                <w:b/>
                <w:bCs/>
                <w:sz w:val="20"/>
                <w:szCs w:val="20"/>
              </w:rPr>
              <w:t xml:space="preserve"> </w:t>
            </w:r>
            <w:r w:rsidRPr="00623DBB">
              <w:rPr>
                <w:rFonts w:ascii="Verdana" w:hAnsi="Verdana"/>
                <w:b/>
                <w:bCs/>
                <w:sz w:val="20"/>
                <w:szCs w:val="20"/>
              </w:rPr>
              <w:t>Performance and Assurance Framework</w:t>
            </w:r>
          </w:p>
          <w:p w14:paraId="7854D69C" w14:textId="5943D5D4" w:rsidR="00A7159F" w:rsidRPr="00C428A2" w:rsidRDefault="00A7159F" w:rsidP="00E71F02">
            <w:pPr>
              <w:spacing w:before="120" w:after="120"/>
              <w:jc w:val="both"/>
              <w:rPr>
                <w:rFonts w:ascii="Verdana" w:hAnsi="Verdana"/>
                <w:sz w:val="20"/>
                <w:szCs w:val="20"/>
              </w:rPr>
            </w:pPr>
            <w:r w:rsidRPr="00623DBB">
              <w:rPr>
                <w:rFonts w:ascii="Verdana" w:hAnsi="Verdana"/>
                <w:sz w:val="20"/>
                <w:szCs w:val="20"/>
              </w:rPr>
              <w:t>The health board</w:t>
            </w:r>
            <w:r>
              <w:rPr>
                <w:rFonts w:ascii="Verdana" w:hAnsi="Verdana"/>
                <w:sz w:val="20"/>
                <w:szCs w:val="20"/>
              </w:rPr>
              <w:t>’s</w:t>
            </w:r>
            <w:r w:rsidRPr="00C428A2">
              <w:rPr>
                <w:rFonts w:ascii="Verdana" w:hAnsi="Verdana"/>
                <w:sz w:val="20"/>
                <w:szCs w:val="20"/>
              </w:rPr>
              <w:t xml:space="preserve"> Performance and Assurance Framework, most recent</w:t>
            </w:r>
            <w:r>
              <w:rPr>
                <w:rFonts w:ascii="Verdana" w:hAnsi="Verdana"/>
                <w:sz w:val="20"/>
                <w:szCs w:val="20"/>
              </w:rPr>
              <w:t>ly updated in</w:t>
            </w:r>
            <w:r w:rsidRPr="00C428A2">
              <w:rPr>
                <w:rFonts w:ascii="Verdana" w:hAnsi="Verdana"/>
                <w:sz w:val="20"/>
                <w:szCs w:val="20"/>
              </w:rPr>
              <w:t xml:space="preserve"> May 2025</w:t>
            </w:r>
            <w:r>
              <w:rPr>
                <w:rFonts w:ascii="Verdana" w:hAnsi="Verdana"/>
                <w:sz w:val="20"/>
                <w:szCs w:val="20"/>
              </w:rPr>
              <w:t>,</w:t>
            </w:r>
            <w:r w:rsidRPr="00C428A2">
              <w:rPr>
                <w:rFonts w:ascii="Verdana" w:hAnsi="Verdana"/>
                <w:sz w:val="20"/>
                <w:szCs w:val="20"/>
              </w:rPr>
              <w:t xml:space="preserve"> outlines the scrutiny and accountability arrangements for internal escalation</w:t>
            </w:r>
            <w:r>
              <w:rPr>
                <w:rFonts w:ascii="Verdana" w:hAnsi="Verdana"/>
                <w:sz w:val="20"/>
                <w:szCs w:val="20"/>
              </w:rPr>
              <w:t>. It</w:t>
            </w:r>
            <w:r w:rsidRPr="00C428A2">
              <w:rPr>
                <w:rFonts w:ascii="Verdana" w:hAnsi="Verdana"/>
                <w:sz w:val="20"/>
                <w:szCs w:val="20"/>
              </w:rPr>
              <w:t xml:space="preserve"> not</w:t>
            </w:r>
            <w:r>
              <w:rPr>
                <w:rFonts w:ascii="Verdana" w:hAnsi="Verdana"/>
                <w:sz w:val="20"/>
                <w:szCs w:val="20"/>
              </w:rPr>
              <w:t>es</w:t>
            </w:r>
            <w:r w:rsidRPr="00C428A2">
              <w:rPr>
                <w:rFonts w:ascii="Verdana" w:hAnsi="Verdana"/>
                <w:sz w:val="20"/>
                <w:szCs w:val="20"/>
              </w:rPr>
              <w:t xml:space="preserve"> that these processes are intended to operate in parallel with those established by Welsh Government. However, </w:t>
            </w:r>
            <w:r>
              <w:rPr>
                <w:rFonts w:ascii="Verdana" w:hAnsi="Verdana"/>
                <w:sz w:val="20"/>
                <w:szCs w:val="20"/>
              </w:rPr>
              <w:t>the framework</w:t>
            </w:r>
            <w:r w:rsidRPr="00C428A2">
              <w:rPr>
                <w:rFonts w:ascii="Verdana" w:hAnsi="Verdana"/>
                <w:sz w:val="20"/>
                <w:szCs w:val="20"/>
              </w:rPr>
              <w:t xml:space="preserve"> </w:t>
            </w:r>
            <w:r w:rsidRPr="00C428A2">
              <w:rPr>
                <w:rFonts w:ascii="Verdana" w:hAnsi="Verdana"/>
                <w:sz w:val="20"/>
                <w:szCs w:val="20"/>
              </w:rPr>
              <w:lastRenderedPageBreak/>
              <w:t>does not clear</w:t>
            </w:r>
            <w:r>
              <w:rPr>
                <w:rFonts w:ascii="Verdana" w:hAnsi="Verdana"/>
                <w:sz w:val="20"/>
                <w:szCs w:val="20"/>
              </w:rPr>
              <w:t>ly define</w:t>
            </w:r>
            <w:r w:rsidRPr="00C428A2">
              <w:rPr>
                <w:rFonts w:ascii="Verdana" w:hAnsi="Verdana"/>
                <w:sz w:val="20"/>
                <w:szCs w:val="20"/>
              </w:rPr>
              <w:t xml:space="preserve"> the expected organisational response to </w:t>
            </w:r>
            <w:r>
              <w:rPr>
                <w:rFonts w:ascii="Verdana" w:hAnsi="Verdana"/>
                <w:sz w:val="20"/>
                <w:szCs w:val="20"/>
              </w:rPr>
              <w:t xml:space="preserve">external </w:t>
            </w:r>
            <w:r w:rsidRPr="00C428A2">
              <w:rPr>
                <w:rFonts w:ascii="Verdana" w:hAnsi="Verdana"/>
                <w:sz w:val="20"/>
                <w:szCs w:val="20"/>
              </w:rPr>
              <w:t>escalation. As a result, there is limited</w:t>
            </w:r>
            <w:r>
              <w:rPr>
                <w:rFonts w:ascii="Verdana" w:hAnsi="Verdana"/>
                <w:sz w:val="20"/>
                <w:szCs w:val="20"/>
              </w:rPr>
              <w:t xml:space="preserve"> practical</w:t>
            </w:r>
            <w:r w:rsidRPr="00C428A2">
              <w:rPr>
                <w:rFonts w:ascii="Verdana" w:hAnsi="Verdana"/>
                <w:sz w:val="20"/>
                <w:szCs w:val="20"/>
              </w:rPr>
              <w:t xml:space="preserve"> guidance on how escalation should be managed</w:t>
            </w:r>
            <w:r w:rsidRPr="006819E2">
              <w:rPr>
                <w:rFonts w:ascii="Verdana" w:hAnsi="Verdana"/>
                <w:sz w:val="20"/>
                <w:szCs w:val="20"/>
              </w:rPr>
              <w:t>, reducing consistency and assurance in the health board’s approach</w:t>
            </w:r>
            <w:r w:rsidRPr="00C428A2">
              <w:rPr>
                <w:rFonts w:ascii="Verdana" w:hAnsi="Verdana"/>
                <w:sz w:val="20"/>
                <w:szCs w:val="20"/>
              </w:rPr>
              <w:t>.</w:t>
            </w:r>
          </w:p>
        </w:tc>
        <w:tc>
          <w:tcPr>
            <w:tcW w:w="2263" w:type="dxa"/>
            <w:vMerge w:val="restart"/>
            <w:tcBorders>
              <w:top w:val="dotted" w:sz="4" w:space="0" w:color="002060"/>
              <w:left w:val="dotted" w:sz="4" w:space="0" w:color="002060"/>
              <w:right w:val="dotted" w:sz="4" w:space="0" w:color="002060"/>
            </w:tcBorders>
            <w:shd w:val="clear" w:color="auto" w:fill="FFFFFF" w:themeFill="background1"/>
          </w:tcPr>
          <w:p w14:paraId="69BA1176" w14:textId="4A8015F3" w:rsidR="00A7159F" w:rsidRPr="00822DC5" w:rsidRDefault="00A7159F" w:rsidP="00E71F02">
            <w:pPr>
              <w:spacing w:before="120" w:after="120"/>
              <w:rPr>
                <w:rFonts w:ascii="Verdana" w:hAnsi="Verdana"/>
                <w:sz w:val="20"/>
                <w:szCs w:val="20"/>
              </w:rPr>
            </w:pPr>
            <w:r w:rsidRPr="00BD2189">
              <w:rPr>
                <w:rFonts w:ascii="Verdana" w:hAnsi="Verdana"/>
                <w:sz w:val="20"/>
                <w:szCs w:val="20"/>
              </w:rPr>
              <w:lastRenderedPageBreak/>
              <w:t xml:space="preserve">The absence of clear guidance on </w:t>
            </w:r>
            <w:r>
              <w:rPr>
                <w:rFonts w:ascii="Verdana" w:hAnsi="Verdana"/>
                <w:sz w:val="20"/>
                <w:szCs w:val="20"/>
              </w:rPr>
              <w:t xml:space="preserve">responding to external </w:t>
            </w:r>
            <w:r w:rsidRPr="00BD2189">
              <w:rPr>
                <w:rFonts w:ascii="Verdana" w:hAnsi="Verdana"/>
                <w:sz w:val="20"/>
                <w:szCs w:val="20"/>
              </w:rPr>
              <w:t xml:space="preserve">escalation within the Performance and Assurance Framework </w:t>
            </w:r>
            <w:r w:rsidRPr="00BD2189">
              <w:rPr>
                <w:rFonts w:ascii="Verdana" w:hAnsi="Verdana"/>
                <w:sz w:val="20"/>
                <w:szCs w:val="20"/>
              </w:rPr>
              <w:lastRenderedPageBreak/>
              <w:t xml:space="preserve">increases the risk of </w:t>
            </w:r>
            <w:r>
              <w:rPr>
                <w:rFonts w:ascii="Verdana" w:hAnsi="Verdana"/>
                <w:sz w:val="20"/>
                <w:szCs w:val="20"/>
              </w:rPr>
              <w:t>fragmented approaches</w:t>
            </w:r>
            <w:r w:rsidRPr="00BD2189">
              <w:rPr>
                <w:rFonts w:ascii="Verdana" w:hAnsi="Verdana"/>
                <w:sz w:val="20"/>
                <w:szCs w:val="20"/>
              </w:rPr>
              <w:t xml:space="preserve"> and delayed corrective action. This could undermine accountability</w:t>
            </w:r>
            <w:r>
              <w:rPr>
                <w:rFonts w:ascii="Verdana" w:hAnsi="Verdana"/>
                <w:sz w:val="20"/>
                <w:szCs w:val="20"/>
              </w:rPr>
              <w:t xml:space="preserve"> and</w:t>
            </w:r>
            <w:r w:rsidRPr="00BD2189">
              <w:rPr>
                <w:rFonts w:ascii="Verdana" w:hAnsi="Verdana"/>
                <w:sz w:val="20"/>
                <w:szCs w:val="20"/>
              </w:rPr>
              <w:t xml:space="preserve"> operational effectiveness</w:t>
            </w:r>
            <w:r>
              <w:rPr>
                <w:rFonts w:ascii="Verdana" w:hAnsi="Verdana"/>
                <w:sz w:val="20"/>
                <w:szCs w:val="20"/>
              </w:rPr>
              <w:t>.</w:t>
            </w:r>
          </w:p>
        </w:tc>
        <w:tc>
          <w:tcPr>
            <w:tcW w:w="6696" w:type="dxa"/>
            <w:tcBorders>
              <w:top w:val="dotted" w:sz="4" w:space="0" w:color="002060"/>
              <w:left w:val="dotted" w:sz="4" w:space="0" w:color="002060"/>
              <w:bottom w:val="dotted" w:sz="4" w:space="0" w:color="002060"/>
              <w:right w:val="nil"/>
            </w:tcBorders>
            <w:shd w:val="clear" w:color="auto" w:fill="FFFFFF" w:themeFill="background1"/>
          </w:tcPr>
          <w:p w14:paraId="5ACB76AB" w14:textId="62F4232B" w:rsidR="00EC2A93" w:rsidRDefault="00A7159F" w:rsidP="00EC2A93">
            <w:pPr>
              <w:spacing w:before="120" w:after="120"/>
              <w:rPr>
                <w:rFonts w:ascii="Verdana" w:hAnsi="Verdana"/>
                <w:b/>
                <w:bCs/>
                <w:sz w:val="20"/>
                <w:szCs w:val="20"/>
              </w:rPr>
            </w:pPr>
            <w:r w:rsidRPr="00A7159F">
              <w:rPr>
                <w:rFonts w:ascii="Verdana" w:hAnsi="Verdana"/>
                <w:b/>
                <w:bCs/>
                <w:sz w:val="20"/>
                <w:szCs w:val="20"/>
              </w:rPr>
              <w:lastRenderedPageBreak/>
              <w:t>Agreed Action:</w:t>
            </w:r>
          </w:p>
          <w:p w14:paraId="34D5FA86" w14:textId="7C86CF4B" w:rsidR="00A7159F" w:rsidRDefault="00A7159F" w:rsidP="00ED52EC">
            <w:pPr>
              <w:numPr>
                <w:ilvl w:val="0"/>
                <w:numId w:val="4"/>
              </w:numPr>
              <w:spacing w:before="120" w:after="120"/>
              <w:jc w:val="both"/>
              <w:rPr>
                <w:rFonts w:ascii="Verdana" w:hAnsi="Verdana"/>
                <w:i/>
                <w:iCs/>
                <w:sz w:val="20"/>
                <w:szCs w:val="20"/>
              </w:rPr>
            </w:pPr>
            <w:r w:rsidRPr="0072777F">
              <w:rPr>
                <w:rFonts w:ascii="Verdana" w:hAnsi="Verdana"/>
                <w:i/>
                <w:iCs/>
                <w:sz w:val="20"/>
                <w:szCs w:val="20"/>
              </w:rPr>
              <w:t xml:space="preserve">Revise the </w:t>
            </w:r>
            <w:r>
              <w:rPr>
                <w:rFonts w:ascii="Verdana" w:hAnsi="Verdana"/>
                <w:i/>
                <w:iCs/>
                <w:sz w:val="20"/>
                <w:szCs w:val="20"/>
              </w:rPr>
              <w:t xml:space="preserve">Performance and Assurance </w:t>
            </w:r>
            <w:r w:rsidRPr="0072777F">
              <w:rPr>
                <w:rFonts w:ascii="Verdana" w:hAnsi="Verdana"/>
                <w:i/>
                <w:iCs/>
                <w:sz w:val="20"/>
                <w:szCs w:val="20"/>
              </w:rPr>
              <w:t>framework to include clear protocols, roles, and responsibilities for responding to external escalation</w:t>
            </w:r>
            <w:r w:rsidR="005774D0">
              <w:rPr>
                <w:rFonts w:ascii="Verdana" w:hAnsi="Verdana"/>
                <w:i/>
                <w:iCs/>
                <w:sz w:val="20"/>
                <w:szCs w:val="20"/>
              </w:rPr>
              <w:t>.</w:t>
            </w:r>
          </w:p>
          <w:p w14:paraId="32F3B08C" w14:textId="71B6EAFF" w:rsidR="005774D0" w:rsidRPr="00B2604C" w:rsidRDefault="005774D0" w:rsidP="00ED52EC">
            <w:pPr>
              <w:numPr>
                <w:ilvl w:val="0"/>
                <w:numId w:val="4"/>
              </w:numPr>
              <w:spacing w:before="120" w:after="120"/>
              <w:jc w:val="both"/>
              <w:rPr>
                <w:rFonts w:ascii="Verdana" w:hAnsi="Verdana"/>
                <w:i/>
                <w:iCs/>
                <w:sz w:val="20"/>
                <w:szCs w:val="20"/>
              </w:rPr>
            </w:pPr>
            <w:r>
              <w:rPr>
                <w:rFonts w:ascii="Verdana" w:hAnsi="Verdana"/>
                <w:i/>
                <w:iCs/>
                <w:sz w:val="20"/>
                <w:szCs w:val="20"/>
              </w:rPr>
              <w:t xml:space="preserve">Guidance which </w:t>
            </w:r>
            <w:r w:rsidRPr="005774D0">
              <w:rPr>
                <w:rFonts w:ascii="Verdana" w:hAnsi="Verdana"/>
                <w:i/>
                <w:iCs/>
                <w:sz w:val="20"/>
                <w:szCs w:val="20"/>
              </w:rPr>
              <w:t>translates the</w:t>
            </w:r>
            <w:r w:rsidR="000D12A8">
              <w:rPr>
                <w:rFonts w:ascii="Verdana" w:hAnsi="Verdana"/>
                <w:i/>
                <w:iCs/>
                <w:sz w:val="20"/>
                <w:szCs w:val="20"/>
              </w:rPr>
              <w:t xml:space="preserve"> Performance and Assurance</w:t>
            </w:r>
            <w:r w:rsidRPr="005774D0">
              <w:rPr>
                <w:rFonts w:ascii="Verdana" w:hAnsi="Verdana"/>
                <w:i/>
                <w:iCs/>
                <w:sz w:val="20"/>
                <w:szCs w:val="20"/>
              </w:rPr>
              <w:t xml:space="preserve"> framework into actionable steps for service leads and operational managers</w:t>
            </w:r>
            <w:r w:rsidR="000D12A8">
              <w:rPr>
                <w:rFonts w:ascii="Verdana" w:hAnsi="Verdana"/>
                <w:i/>
                <w:iCs/>
                <w:sz w:val="20"/>
                <w:szCs w:val="20"/>
              </w:rPr>
              <w:t>.</w:t>
            </w:r>
          </w:p>
        </w:tc>
      </w:tr>
      <w:tr w:rsidR="00A7159F" w:rsidRPr="00406895" w14:paraId="60E240D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182"/>
        </w:trPr>
        <w:tc>
          <w:tcPr>
            <w:tcW w:w="566" w:type="dxa"/>
            <w:vMerge/>
            <w:tcBorders>
              <w:left w:val="nil"/>
              <w:right w:val="dotted" w:sz="4" w:space="0" w:color="002060"/>
            </w:tcBorders>
            <w:shd w:val="clear" w:color="auto" w:fill="FFFFFF" w:themeFill="background1"/>
          </w:tcPr>
          <w:p w14:paraId="4C87623E" w14:textId="77777777" w:rsidR="00A7159F" w:rsidRDefault="00A7159F" w:rsidP="00E71F02">
            <w:pPr>
              <w:spacing w:before="120" w:after="120"/>
              <w:jc w:val="center"/>
              <w:rPr>
                <w:rFonts w:ascii="Verdana" w:hAnsi="Verdana"/>
                <w:sz w:val="20"/>
                <w:szCs w:val="20"/>
              </w:rPr>
            </w:pPr>
          </w:p>
        </w:tc>
        <w:tc>
          <w:tcPr>
            <w:tcW w:w="6641" w:type="dxa"/>
            <w:vMerge/>
            <w:tcBorders>
              <w:left w:val="dotted" w:sz="4" w:space="0" w:color="002060"/>
              <w:right w:val="dotted" w:sz="4" w:space="0" w:color="002060"/>
            </w:tcBorders>
            <w:shd w:val="clear" w:color="auto" w:fill="FFFFFF" w:themeFill="background1"/>
          </w:tcPr>
          <w:p w14:paraId="00D0D3CC" w14:textId="77777777" w:rsidR="00A7159F" w:rsidRPr="00D85475" w:rsidRDefault="00A7159F" w:rsidP="00E71F02">
            <w:pPr>
              <w:spacing w:before="120" w:after="120"/>
              <w:jc w:val="both"/>
              <w:rPr>
                <w:rStyle w:val="CommentReference"/>
              </w:rPr>
            </w:pPr>
          </w:p>
        </w:tc>
        <w:tc>
          <w:tcPr>
            <w:tcW w:w="2263" w:type="dxa"/>
            <w:vMerge/>
            <w:tcBorders>
              <w:left w:val="dotted" w:sz="4" w:space="0" w:color="002060"/>
              <w:bottom w:val="dotted" w:sz="4" w:space="0" w:color="002060"/>
              <w:right w:val="dotted" w:sz="4" w:space="0" w:color="002060"/>
            </w:tcBorders>
            <w:shd w:val="clear" w:color="auto" w:fill="FFFFFF" w:themeFill="background1"/>
          </w:tcPr>
          <w:p w14:paraId="6659E278" w14:textId="77777777" w:rsidR="00A7159F" w:rsidDel="00C13C96" w:rsidRDefault="00A7159F" w:rsidP="00E71F02">
            <w:pPr>
              <w:spacing w:before="120" w:after="120"/>
            </w:pPr>
          </w:p>
        </w:tc>
        <w:tc>
          <w:tcPr>
            <w:tcW w:w="6696" w:type="dxa"/>
            <w:tcBorders>
              <w:top w:val="dotted" w:sz="4" w:space="0" w:color="002060"/>
              <w:left w:val="dotted" w:sz="4" w:space="0" w:color="002060"/>
              <w:bottom w:val="dotted" w:sz="4" w:space="0" w:color="002060"/>
              <w:right w:val="nil"/>
            </w:tcBorders>
            <w:shd w:val="clear" w:color="auto" w:fill="FFFFFF" w:themeFill="background1"/>
          </w:tcPr>
          <w:p w14:paraId="483FE191" w14:textId="77777777" w:rsidR="00A7159F" w:rsidRDefault="00A7159F" w:rsidP="00E71F02">
            <w:pPr>
              <w:spacing w:before="120" w:after="120"/>
              <w:rPr>
                <w:rFonts w:ascii="Verdana" w:hAnsi="Verdana"/>
                <w:b/>
                <w:bCs/>
                <w:sz w:val="20"/>
                <w:szCs w:val="20"/>
              </w:rPr>
            </w:pPr>
            <w:r w:rsidRPr="00A7159F">
              <w:rPr>
                <w:rFonts w:ascii="Verdana" w:hAnsi="Verdana"/>
                <w:b/>
                <w:bCs/>
                <w:sz w:val="20"/>
                <w:szCs w:val="20"/>
              </w:rPr>
              <w:t>Expected Evidence of Implementation:</w:t>
            </w:r>
          </w:p>
          <w:p w14:paraId="52CFA18B" w14:textId="77777777" w:rsidR="00AE51D5" w:rsidRPr="00ED52EC" w:rsidRDefault="00AE51D5" w:rsidP="00ED52EC">
            <w:pPr>
              <w:spacing w:before="120" w:after="120"/>
              <w:jc w:val="both"/>
              <w:rPr>
                <w:rFonts w:ascii="Verdana" w:hAnsi="Verdana"/>
                <w:i/>
                <w:sz w:val="20"/>
                <w:szCs w:val="20"/>
              </w:rPr>
            </w:pPr>
            <w:r w:rsidRPr="00ED52EC">
              <w:rPr>
                <w:rFonts w:ascii="Verdana" w:hAnsi="Verdana"/>
                <w:i/>
                <w:sz w:val="20"/>
                <w:szCs w:val="20"/>
              </w:rPr>
              <w:t>Updated framework document with new section on external escalation</w:t>
            </w:r>
          </w:p>
          <w:p w14:paraId="02E4629D" w14:textId="77777777" w:rsidR="000D12A8" w:rsidRPr="00ED52EC" w:rsidRDefault="005C5D8F" w:rsidP="00ED52EC">
            <w:pPr>
              <w:spacing w:before="120" w:after="120"/>
              <w:jc w:val="both"/>
              <w:rPr>
                <w:rFonts w:ascii="Verdana" w:hAnsi="Verdana"/>
                <w:i/>
                <w:sz w:val="20"/>
                <w:szCs w:val="20"/>
              </w:rPr>
            </w:pPr>
            <w:r w:rsidRPr="00ED52EC">
              <w:rPr>
                <w:rFonts w:ascii="Verdana" w:hAnsi="Verdana"/>
                <w:i/>
                <w:sz w:val="20"/>
                <w:szCs w:val="20"/>
              </w:rPr>
              <w:t>Published escalation response guide</w:t>
            </w:r>
          </w:p>
          <w:p w14:paraId="2151F9A0" w14:textId="466E951A" w:rsidR="00711F53" w:rsidRPr="00EC2A93" w:rsidRDefault="00711F53" w:rsidP="00ED52EC">
            <w:pPr>
              <w:spacing w:before="120" w:after="120"/>
              <w:jc w:val="both"/>
              <w:rPr>
                <w:rFonts w:ascii="Verdana" w:hAnsi="Verdana"/>
                <w:sz w:val="20"/>
                <w:szCs w:val="20"/>
              </w:rPr>
            </w:pPr>
            <w:r w:rsidRPr="00ED52EC">
              <w:rPr>
                <w:rFonts w:ascii="Verdana" w:hAnsi="Verdana"/>
                <w:i/>
                <w:sz w:val="20"/>
                <w:szCs w:val="20"/>
              </w:rPr>
              <w:t>Governance group approval or endorsement</w:t>
            </w:r>
          </w:p>
        </w:tc>
      </w:tr>
      <w:tr w:rsidR="00A7159F" w:rsidRPr="00406895" w14:paraId="478DC477" w14:textId="77777777">
        <w:trPr>
          <w:trHeight w:hRule="exact" w:val="567"/>
        </w:trPr>
        <w:tc>
          <w:tcPr>
            <w:tcW w:w="566" w:type="dxa"/>
            <w:vMerge/>
            <w:tcBorders>
              <w:left w:val="nil"/>
              <w:right w:val="dotted" w:sz="4" w:space="0" w:color="002060"/>
            </w:tcBorders>
            <w:shd w:val="clear" w:color="auto" w:fill="FFFFFF" w:themeFill="background1"/>
          </w:tcPr>
          <w:p w14:paraId="1E799695" w14:textId="77777777" w:rsidR="00A7159F" w:rsidRPr="00332AFA" w:rsidRDefault="00A7159F" w:rsidP="00E71F02">
            <w:pPr>
              <w:spacing w:before="120" w:after="120"/>
              <w:rPr>
                <w:rFonts w:ascii="Verdana" w:hAnsi="Verdana"/>
                <w:sz w:val="20"/>
                <w:szCs w:val="20"/>
              </w:rPr>
            </w:pPr>
          </w:p>
        </w:tc>
        <w:tc>
          <w:tcPr>
            <w:tcW w:w="6641" w:type="dxa"/>
            <w:vMerge/>
            <w:tcBorders>
              <w:left w:val="dotted" w:sz="4" w:space="0" w:color="002060"/>
              <w:bottom w:val="dotted" w:sz="4" w:space="0" w:color="002060"/>
              <w:right w:val="dotted" w:sz="4" w:space="0" w:color="002060"/>
            </w:tcBorders>
            <w:shd w:val="clear" w:color="auto" w:fill="FFFFFF" w:themeFill="background1"/>
          </w:tcPr>
          <w:p w14:paraId="39929BC9" w14:textId="77777777" w:rsidR="00A7159F" w:rsidRPr="00822DC5" w:rsidRDefault="00A7159F" w:rsidP="00E71F02">
            <w:pPr>
              <w:spacing w:before="120" w:after="120"/>
              <w:rPr>
                <w:rFonts w:ascii="Verdana" w:hAnsi="Verdana"/>
                <w:sz w:val="20"/>
                <w:szCs w:val="20"/>
              </w:rPr>
            </w:pPr>
          </w:p>
        </w:tc>
        <w:sdt>
          <w:sdtPr>
            <w:rPr>
              <w:rFonts w:ascii="Verdana" w:hAnsi="Verdana"/>
              <w:b/>
              <w:bCs/>
              <w:sz w:val="20"/>
              <w:szCs w:val="20"/>
            </w:rPr>
            <w:alias w:val="Priority"/>
            <w:tag w:val="Priority"/>
            <w:id w:val="-657616410"/>
            <w:placeholder>
              <w:docPart w:val="DA6E32E1547E4D96B9EAABE426836C8B"/>
            </w:placeholder>
            <w:dropDownList>
              <w:listItem w:value="Choose an item."/>
              <w:listItem w:displayText="High Priority" w:value="High Priority"/>
              <w:listItem w:displayText="Medium Priority" w:value="Medium Priority"/>
            </w:dropDownList>
          </w:sdtPr>
          <w:sdtEndPr/>
          <w:sdtContent>
            <w:tc>
              <w:tcPr>
                <w:tcW w:w="2263" w:type="dxa"/>
                <w:tcBorders>
                  <w:top w:val="dotted" w:sz="4" w:space="0" w:color="002060"/>
                  <w:left w:val="dotted" w:sz="4" w:space="0" w:color="002060"/>
                  <w:bottom w:val="nil"/>
                  <w:right w:val="dotted" w:sz="4" w:space="0" w:color="002060"/>
                </w:tcBorders>
                <w:shd w:val="clear" w:color="auto" w:fill="FFFF00"/>
                <w:vAlign w:val="center"/>
              </w:tcPr>
              <w:p w14:paraId="486F36B3" w14:textId="240A577C" w:rsidR="00A7159F" w:rsidRPr="00822DC5" w:rsidRDefault="00A7159F" w:rsidP="00E71F02">
                <w:pPr>
                  <w:spacing w:before="120" w:after="120"/>
                  <w:jc w:val="center"/>
                  <w:rPr>
                    <w:rFonts w:ascii="Verdana" w:hAnsi="Verdana"/>
                    <w:b/>
                    <w:bCs/>
                    <w:sz w:val="20"/>
                    <w:szCs w:val="20"/>
                  </w:rPr>
                </w:pPr>
                <w:r>
                  <w:rPr>
                    <w:rFonts w:ascii="Verdana" w:hAnsi="Verdana"/>
                    <w:b/>
                    <w:bCs/>
                    <w:sz w:val="20"/>
                    <w:szCs w:val="20"/>
                  </w:rPr>
                  <w:t>Medium Priority</w:t>
                </w:r>
              </w:p>
            </w:tc>
          </w:sdtContent>
        </w:sdt>
        <w:tc>
          <w:tcPr>
            <w:tcW w:w="6696" w:type="dxa"/>
            <w:vMerge w:val="restart"/>
            <w:tcBorders>
              <w:top w:val="dotted" w:sz="4" w:space="0" w:color="002060"/>
              <w:left w:val="dotted" w:sz="4" w:space="0" w:color="002060"/>
              <w:right w:val="nil"/>
            </w:tcBorders>
            <w:shd w:val="clear" w:color="auto" w:fill="FFFFFF" w:themeFill="background1"/>
            <w:vAlign w:val="center"/>
          </w:tcPr>
          <w:p w14:paraId="11920485" w14:textId="0E011E26" w:rsidR="00A7159F" w:rsidRPr="00822DC5" w:rsidRDefault="00A7159F" w:rsidP="00E71F02">
            <w:pPr>
              <w:spacing w:before="120" w:after="120"/>
              <w:rPr>
                <w:rFonts w:ascii="Verdana" w:hAnsi="Verdana"/>
                <w:b/>
                <w:bCs/>
                <w:sz w:val="20"/>
                <w:szCs w:val="20"/>
              </w:rPr>
            </w:pPr>
            <w:r w:rsidRPr="00822DC5">
              <w:rPr>
                <w:rFonts w:ascii="Verdana" w:hAnsi="Verdana"/>
                <w:b/>
                <w:bCs/>
                <w:sz w:val="20"/>
                <w:szCs w:val="20"/>
              </w:rPr>
              <w:t xml:space="preserve">Officer: </w:t>
            </w:r>
            <w:r w:rsidR="00BD1214">
              <w:rPr>
                <w:rFonts w:ascii="Verdana" w:hAnsi="Verdana"/>
                <w:b/>
                <w:bCs/>
                <w:sz w:val="20"/>
                <w:szCs w:val="20"/>
              </w:rPr>
              <w:t>Head of Health Board Performance</w:t>
            </w:r>
          </w:p>
          <w:p w14:paraId="2168ABA6" w14:textId="3D75162C" w:rsidR="00A7159F" w:rsidRPr="00822DC5" w:rsidRDefault="00A7159F" w:rsidP="00E71F02">
            <w:pPr>
              <w:spacing w:before="120" w:after="120"/>
              <w:rPr>
                <w:rFonts w:ascii="Verdana" w:hAnsi="Verdana"/>
                <w:sz w:val="20"/>
                <w:szCs w:val="20"/>
              </w:rPr>
            </w:pPr>
            <w:r>
              <w:rPr>
                <w:rFonts w:ascii="Verdana" w:hAnsi="Verdana"/>
                <w:b/>
                <w:bCs/>
                <w:sz w:val="20"/>
                <w:szCs w:val="20"/>
              </w:rPr>
              <w:t xml:space="preserve">Target Implementation </w:t>
            </w:r>
            <w:r w:rsidRPr="00822DC5">
              <w:rPr>
                <w:rFonts w:ascii="Verdana" w:hAnsi="Verdana"/>
                <w:b/>
                <w:bCs/>
                <w:sz w:val="20"/>
                <w:szCs w:val="20"/>
              </w:rPr>
              <w:t>Date:</w:t>
            </w:r>
            <w:r w:rsidR="00BD1214">
              <w:rPr>
                <w:rFonts w:ascii="Verdana" w:hAnsi="Verdana"/>
                <w:b/>
                <w:bCs/>
                <w:sz w:val="20"/>
                <w:szCs w:val="20"/>
              </w:rPr>
              <w:t xml:space="preserve"> April 2026</w:t>
            </w:r>
          </w:p>
        </w:tc>
      </w:tr>
      <w:tr w:rsidR="00A7159F" w:rsidRPr="00406895" w14:paraId="350B061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67"/>
        </w:trPr>
        <w:tc>
          <w:tcPr>
            <w:tcW w:w="566" w:type="dxa"/>
            <w:vMerge/>
            <w:tcBorders>
              <w:left w:val="nil"/>
              <w:bottom w:val="dotted" w:sz="4" w:space="0" w:color="002060"/>
              <w:right w:val="dotted" w:sz="4" w:space="0" w:color="002060"/>
            </w:tcBorders>
            <w:shd w:val="clear" w:color="auto" w:fill="FFFFFF" w:themeFill="background1"/>
          </w:tcPr>
          <w:p w14:paraId="24B6D5CF" w14:textId="77777777" w:rsidR="00A7159F" w:rsidRPr="00332AFA" w:rsidRDefault="00A7159F" w:rsidP="00E71F02">
            <w:pPr>
              <w:spacing w:before="120" w:after="120"/>
              <w:ind w:right="28"/>
              <w:jc w:val="center"/>
              <w:rPr>
                <w:rFonts w:ascii="Verdana" w:hAnsi="Verdana"/>
                <w:sz w:val="20"/>
                <w:szCs w:val="20"/>
              </w:rPr>
            </w:pPr>
          </w:p>
        </w:tc>
        <w:tc>
          <w:tcPr>
            <w:tcW w:w="6641" w:type="dxa"/>
            <w:tcBorders>
              <w:top w:val="dotted" w:sz="4" w:space="0" w:color="002060"/>
              <w:left w:val="dotted" w:sz="4" w:space="0" w:color="002060"/>
              <w:bottom w:val="dotted" w:sz="4" w:space="0" w:color="002060"/>
              <w:right w:val="dotted" w:sz="4" w:space="0" w:color="002060"/>
            </w:tcBorders>
            <w:shd w:val="clear" w:color="auto" w:fill="FFFFFF" w:themeFill="background1"/>
            <w:vAlign w:val="center"/>
          </w:tcPr>
          <w:p w14:paraId="1535321B" w14:textId="3FC15828" w:rsidR="00A7159F" w:rsidRPr="00822DC5" w:rsidRDefault="00A7159F" w:rsidP="00E71F02">
            <w:pPr>
              <w:spacing w:before="120" w:after="12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219247888"/>
                <w:placeholder>
                  <w:docPart w:val="D4393941BDD24A4C8B78BA7D8887C047"/>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Pr>
                    <w:rStyle w:val="Themes"/>
                    <w:szCs w:val="20"/>
                  </w:rPr>
                  <w:t>Policies &amp; Procedures</w:t>
                </w:r>
              </w:sdtContent>
            </w:sdt>
          </w:p>
        </w:tc>
        <w:sdt>
          <w:sdtPr>
            <w:rPr>
              <w:rFonts w:ascii="Verdana" w:hAnsi="Verdana"/>
              <w:sz w:val="20"/>
              <w:szCs w:val="20"/>
            </w:rPr>
            <w:alias w:val="Design/Operation"/>
            <w:tag w:val="Design/Operation"/>
            <w:id w:val="961069185"/>
            <w:placeholder>
              <w:docPart w:val="C5EA89AC6F58462E82BD0E560C149982"/>
            </w:placeholder>
            <w:dropDownList>
              <w:listItem w:value="Choose an item."/>
              <w:listItem w:displayText="Control Design " w:value="Control Design "/>
              <w:listItem w:displayText="Control Operation " w:value="Control Operation "/>
            </w:dropDownList>
          </w:sdtPr>
          <w:sdtEndPr/>
          <w:sdtContent>
            <w:tc>
              <w:tcPr>
                <w:tcW w:w="2263" w:type="dxa"/>
                <w:tcBorders>
                  <w:top w:val="nil"/>
                  <w:left w:val="dotted" w:sz="4" w:space="0" w:color="002060"/>
                  <w:bottom w:val="dotted" w:sz="4" w:space="0" w:color="002060"/>
                  <w:right w:val="dotted" w:sz="4" w:space="0" w:color="002060"/>
                </w:tcBorders>
                <w:shd w:val="clear" w:color="auto" w:fill="FFFFFF" w:themeFill="background1"/>
                <w:vAlign w:val="center"/>
              </w:tcPr>
              <w:p w14:paraId="34CFE95C" w14:textId="6185EE87" w:rsidR="00A7159F" w:rsidRPr="00822DC5" w:rsidRDefault="00A7159F" w:rsidP="00E71F02">
                <w:pPr>
                  <w:spacing w:before="120" w:after="120"/>
                  <w:jc w:val="center"/>
                  <w:rPr>
                    <w:rFonts w:ascii="Verdana" w:hAnsi="Verdana"/>
                    <w:sz w:val="20"/>
                    <w:szCs w:val="20"/>
                  </w:rPr>
                </w:pPr>
                <w:r>
                  <w:rPr>
                    <w:rFonts w:ascii="Verdana" w:hAnsi="Verdana"/>
                    <w:sz w:val="20"/>
                    <w:szCs w:val="20"/>
                  </w:rPr>
                  <w:t xml:space="preserve">Control Design </w:t>
                </w:r>
              </w:p>
            </w:tc>
          </w:sdtContent>
        </w:sdt>
        <w:tc>
          <w:tcPr>
            <w:tcW w:w="6696" w:type="dxa"/>
            <w:vMerge/>
            <w:tcBorders>
              <w:left w:val="dotted" w:sz="4" w:space="0" w:color="002060"/>
              <w:bottom w:val="dotted" w:sz="4" w:space="0" w:color="002060"/>
              <w:right w:val="nil"/>
            </w:tcBorders>
            <w:shd w:val="clear" w:color="auto" w:fill="FFFFFF" w:themeFill="background1"/>
          </w:tcPr>
          <w:p w14:paraId="27384710" w14:textId="77777777" w:rsidR="00A7159F" w:rsidRPr="00822DC5" w:rsidRDefault="00A7159F" w:rsidP="00E71F02">
            <w:pPr>
              <w:spacing w:before="120" w:after="120"/>
              <w:rPr>
                <w:rFonts w:ascii="Verdana" w:hAnsi="Verdana"/>
                <w:sz w:val="20"/>
                <w:szCs w:val="20"/>
              </w:rPr>
            </w:pPr>
          </w:p>
        </w:tc>
      </w:tr>
    </w:tbl>
    <w:p w14:paraId="5C1442BF" w14:textId="154D4F3B" w:rsidR="00666913" w:rsidRDefault="00666913" w:rsidP="00AD693F">
      <w:pPr>
        <w:tabs>
          <w:tab w:val="left" w:pos="2625"/>
        </w:tabs>
        <w:spacing w:before="120" w:after="120" w:line="22" w:lineRule="atLeast"/>
        <w:rPr>
          <w:rFonts w:ascii="Verdana" w:hAnsi="Verdana"/>
          <w:sz w:val="20"/>
          <w:szCs w:val="20"/>
        </w:rPr>
      </w:pPr>
    </w:p>
    <w:p w14:paraId="51E54241" w14:textId="77777777" w:rsidR="00666913" w:rsidRDefault="00666913">
      <w:pPr>
        <w:rPr>
          <w:rFonts w:ascii="Verdana" w:hAnsi="Verdana"/>
          <w:sz w:val="20"/>
          <w:szCs w:val="20"/>
        </w:rPr>
      </w:pPr>
      <w:r>
        <w:rPr>
          <w:rFonts w:ascii="Verdana" w:hAnsi="Verdana"/>
          <w:sz w:val="20"/>
          <w:szCs w:val="20"/>
        </w:rPr>
        <w:br w:type="page"/>
      </w: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4524"/>
        <w:gridCol w:w="1642"/>
      </w:tblGrid>
      <w:tr w:rsidR="0020799E" w:rsidRPr="000929B0" w14:paraId="73E815AF" w14:textId="77777777" w:rsidTr="004A6BDE">
        <w:tc>
          <w:tcPr>
            <w:tcW w:w="14524" w:type="dxa"/>
            <w:tcBorders>
              <w:top w:val="nil"/>
              <w:left w:val="nil"/>
              <w:bottom w:val="nil"/>
              <w:right w:val="nil"/>
            </w:tcBorders>
            <w:shd w:val="clear" w:color="auto" w:fill="002060"/>
            <w:vAlign w:val="center"/>
          </w:tcPr>
          <w:p w14:paraId="157CB445" w14:textId="77777777" w:rsidR="00830CED" w:rsidRPr="00830CED" w:rsidRDefault="003C4F04" w:rsidP="00830CED">
            <w:pPr>
              <w:spacing w:before="120" w:after="120" w:line="22" w:lineRule="atLeast"/>
              <w:jc w:val="both"/>
              <w:rPr>
                <w:rFonts w:ascii="Verdana" w:hAnsi="Verdana"/>
              </w:rPr>
            </w:pPr>
            <w:r>
              <w:rPr>
                <w:rFonts w:ascii="Verdana" w:hAnsi="Verdana"/>
                <w:sz w:val="20"/>
                <w:szCs w:val="20"/>
              </w:rPr>
              <w:lastRenderedPageBreak/>
              <w:br w:type="page"/>
            </w:r>
            <w:r w:rsidR="0020799E" w:rsidRPr="000929B0">
              <w:rPr>
                <w:rFonts w:ascii="Verdana" w:hAnsi="Verdana"/>
                <w:b/>
                <w:bCs/>
              </w:rPr>
              <w:t xml:space="preserve">Objective </w:t>
            </w:r>
            <w:r w:rsidR="0020799E">
              <w:rPr>
                <w:rFonts w:ascii="Verdana" w:hAnsi="Verdana"/>
                <w:b/>
                <w:bCs/>
              </w:rPr>
              <w:t>2</w:t>
            </w:r>
            <w:r w:rsidR="0020799E" w:rsidRPr="000929B0">
              <w:rPr>
                <w:rFonts w:ascii="Verdana" w:hAnsi="Verdana"/>
                <w:b/>
                <w:bCs/>
              </w:rPr>
              <w:t>:</w:t>
            </w:r>
            <w:r w:rsidR="0020799E" w:rsidRPr="000929B0">
              <w:rPr>
                <w:rFonts w:ascii="Verdana" w:hAnsi="Verdana"/>
              </w:rPr>
              <w:t xml:space="preserve"> </w:t>
            </w:r>
            <w:r w:rsidR="00830CED" w:rsidRPr="00830CED">
              <w:rPr>
                <w:rFonts w:ascii="Verdana" w:hAnsi="Verdana"/>
              </w:rPr>
              <w:t>Targeted Intervention actions are only closed on approval of an appropriate forum on the basis that they are:</w:t>
            </w:r>
          </w:p>
          <w:p w14:paraId="6C1C785B" w14:textId="77777777" w:rsidR="00830CED" w:rsidRPr="00830CED" w:rsidRDefault="00830CED" w:rsidP="00830CED">
            <w:pPr>
              <w:spacing w:before="120" w:after="120" w:line="22" w:lineRule="atLeast"/>
              <w:jc w:val="both"/>
              <w:rPr>
                <w:rFonts w:ascii="Verdana" w:hAnsi="Verdana"/>
              </w:rPr>
            </w:pPr>
            <w:r w:rsidRPr="00830CED">
              <w:rPr>
                <w:rFonts w:ascii="Verdana" w:hAnsi="Verdana"/>
              </w:rPr>
              <w:t>i.</w:t>
            </w:r>
            <w:r w:rsidRPr="00830CED">
              <w:rPr>
                <w:rFonts w:ascii="Verdana" w:hAnsi="Verdana"/>
              </w:rPr>
              <w:tab/>
              <w:t>supported by sufficient and appropriate evidence demonstrating completion, or</w:t>
            </w:r>
          </w:p>
          <w:p w14:paraId="17A612B3" w14:textId="1B422B3B" w:rsidR="0020799E" w:rsidRPr="000929B0" w:rsidRDefault="00830CED" w:rsidP="00830CED">
            <w:pPr>
              <w:spacing w:before="120" w:after="120" w:line="22" w:lineRule="atLeast"/>
              <w:jc w:val="both"/>
              <w:rPr>
                <w:rFonts w:ascii="Verdana" w:hAnsi="Verdana"/>
              </w:rPr>
            </w:pPr>
            <w:r w:rsidRPr="00830CED">
              <w:rPr>
                <w:rFonts w:ascii="Verdana" w:hAnsi="Verdana"/>
              </w:rPr>
              <w:t>ii.</w:t>
            </w:r>
            <w:r w:rsidRPr="00830CED">
              <w:rPr>
                <w:rFonts w:ascii="Verdana" w:hAnsi="Verdana"/>
              </w:rPr>
              <w:tab/>
              <w:t>subject to alternative ‘business as usual’ monitoring arrangements with mechanisms in place to provide assurance over progress and completion.</w:t>
            </w:r>
          </w:p>
        </w:tc>
        <w:tc>
          <w:tcPr>
            <w:tcW w:w="1642" w:type="dxa"/>
            <w:tcBorders>
              <w:top w:val="nil"/>
              <w:left w:val="nil"/>
              <w:bottom w:val="nil"/>
              <w:right w:val="nil"/>
            </w:tcBorders>
            <w:shd w:val="clear" w:color="auto" w:fill="FFC000"/>
            <w:vAlign w:val="center"/>
          </w:tcPr>
          <w:p w14:paraId="59282389" w14:textId="328BDC07" w:rsidR="0020799E" w:rsidRPr="000929B0" w:rsidRDefault="006D77A5" w:rsidP="00AD693F">
            <w:pPr>
              <w:spacing w:before="120" w:after="120" w:line="22" w:lineRule="atLeast"/>
              <w:jc w:val="center"/>
              <w:rPr>
                <w:rFonts w:ascii="Verdana" w:hAnsi="Verdana"/>
              </w:rPr>
            </w:pPr>
            <w:r>
              <w:rPr>
                <w:rFonts w:ascii="Verdana" w:hAnsi="Verdana"/>
                <w:b/>
                <w:bCs/>
              </w:rPr>
              <w:t>Limited</w:t>
            </w:r>
          </w:p>
        </w:tc>
      </w:tr>
      <w:tr w:rsidR="0020799E" w:rsidRPr="000929B0" w14:paraId="6F0D6C47" w14:textId="77777777" w:rsidTr="00FC7127">
        <w:tc>
          <w:tcPr>
            <w:tcW w:w="16166" w:type="dxa"/>
            <w:gridSpan w:val="2"/>
            <w:tcBorders>
              <w:top w:val="nil"/>
              <w:left w:val="nil"/>
              <w:bottom w:val="nil"/>
              <w:right w:val="nil"/>
            </w:tcBorders>
            <w:shd w:val="clear" w:color="auto" w:fill="FFFFFF" w:themeFill="background1"/>
          </w:tcPr>
          <w:p w14:paraId="03C15FB8" w14:textId="3C6C3E4C" w:rsidR="00910256" w:rsidRDefault="00910256" w:rsidP="004E4C82">
            <w:pPr>
              <w:spacing w:before="120" w:after="120" w:line="22" w:lineRule="atLeast"/>
              <w:jc w:val="both"/>
              <w:rPr>
                <w:rFonts w:ascii="Verdana" w:hAnsi="Verdana" w:cs="Arial"/>
              </w:rPr>
            </w:pPr>
            <w:r w:rsidRPr="00910256">
              <w:rPr>
                <w:rFonts w:ascii="Verdana" w:hAnsi="Verdana" w:cs="Arial"/>
              </w:rPr>
              <w:t xml:space="preserve">Our review identified that while the Escalation and Oversight Report </w:t>
            </w:r>
            <w:proofErr w:type="gramStart"/>
            <w:r w:rsidRPr="00910256">
              <w:rPr>
                <w:rFonts w:ascii="Verdana" w:hAnsi="Verdana" w:cs="Arial"/>
              </w:rPr>
              <w:t>serves</w:t>
            </w:r>
            <w:proofErr w:type="gramEnd"/>
            <w:r w:rsidRPr="00910256">
              <w:rPr>
                <w:rFonts w:ascii="Verdana" w:hAnsi="Verdana" w:cs="Arial"/>
              </w:rPr>
              <w:t xml:space="preserve"> as a key mechanism for tracking performance-related actions, there is currently no formal process in place to monitor the status or closure of these actions beyond their inclusion in the report. Unlike Targeted Intervention (TI) or Enhanced Monitoring (EM) frameworks, which </w:t>
            </w:r>
            <w:r w:rsidR="00E217EC">
              <w:rPr>
                <w:rFonts w:ascii="Verdana" w:hAnsi="Verdana" w:cs="Arial"/>
              </w:rPr>
              <w:t>expect</w:t>
            </w:r>
            <w:r w:rsidR="00E217EC" w:rsidRPr="00910256">
              <w:rPr>
                <w:rFonts w:ascii="Verdana" w:hAnsi="Verdana" w:cs="Arial"/>
              </w:rPr>
              <w:t xml:space="preserve"> </w:t>
            </w:r>
            <w:r w:rsidRPr="00910256">
              <w:rPr>
                <w:rFonts w:ascii="Verdana" w:hAnsi="Verdana" w:cs="Arial"/>
              </w:rPr>
              <w:t xml:space="preserve">structured closure procedures and formal sign-off, the actions listed in the Escalation and Oversight Report lack such governance rigour. As a result, our testing focused on assessing the status of actions reported to the Board in May 2025, specifically within the Performance and Outcomes domain across Urgent and Emergency Care (UEC), Planned Care, Cancer, and Healthcare Associated Infections (HCAI). A full list of sampled actions is provided in Appendix </w:t>
            </w:r>
            <w:r w:rsidR="00F74295">
              <w:rPr>
                <w:rFonts w:ascii="Verdana" w:hAnsi="Verdana" w:cs="Arial"/>
              </w:rPr>
              <w:t>A</w:t>
            </w:r>
            <w:r w:rsidRPr="00910256">
              <w:rPr>
                <w:rFonts w:ascii="Verdana" w:hAnsi="Verdana" w:cs="Arial"/>
              </w:rPr>
              <w:t>.</w:t>
            </w:r>
          </w:p>
          <w:p w14:paraId="0840B115" w14:textId="1106D132" w:rsidR="00FB5572" w:rsidRDefault="00030A3B" w:rsidP="004E4C82">
            <w:pPr>
              <w:spacing w:before="120" w:after="120" w:line="22" w:lineRule="atLeast"/>
              <w:jc w:val="both"/>
              <w:rPr>
                <w:rFonts w:ascii="Verdana" w:hAnsi="Verdana" w:cs="Arial"/>
              </w:rPr>
            </w:pPr>
            <w:r>
              <w:rPr>
                <w:rFonts w:ascii="Verdana" w:hAnsi="Verdana" w:cs="Arial"/>
                <w:u w:val="single"/>
              </w:rPr>
              <w:t>UEC</w:t>
            </w:r>
            <w:r w:rsidR="006F7C21">
              <w:rPr>
                <w:rFonts w:ascii="Verdana" w:hAnsi="Verdana" w:cs="Arial"/>
                <w:u w:val="single"/>
              </w:rPr>
              <w:t>:</w:t>
            </w:r>
            <w:r w:rsidR="003C29BD" w:rsidRPr="00131951">
              <w:rPr>
                <w:rFonts w:ascii="Verdana" w:hAnsi="Verdana" w:cs="Arial"/>
              </w:rPr>
              <w:t xml:space="preserve"> </w:t>
            </w:r>
            <w:r w:rsidR="003A2029" w:rsidRPr="003A2029">
              <w:rPr>
                <w:rFonts w:ascii="Verdana" w:hAnsi="Verdana" w:cs="Arial"/>
              </w:rPr>
              <w:t xml:space="preserve">Testing confirmed that progress against </w:t>
            </w:r>
            <w:r w:rsidR="00473145">
              <w:rPr>
                <w:rFonts w:ascii="Verdana" w:hAnsi="Verdana" w:cs="Arial"/>
              </w:rPr>
              <w:t>three of four</w:t>
            </w:r>
            <w:r w:rsidR="003A2029" w:rsidRPr="003A2029">
              <w:rPr>
                <w:rFonts w:ascii="Verdana" w:hAnsi="Verdana" w:cs="Arial"/>
              </w:rPr>
              <w:t xml:space="preserve"> </w:t>
            </w:r>
            <w:r w:rsidR="00473145">
              <w:rPr>
                <w:rFonts w:ascii="Verdana" w:hAnsi="Verdana" w:cs="Arial"/>
              </w:rPr>
              <w:t>sampled</w:t>
            </w:r>
            <w:r w:rsidR="003A2029" w:rsidRPr="003A2029">
              <w:rPr>
                <w:rFonts w:ascii="Verdana" w:hAnsi="Verdana" w:cs="Arial"/>
              </w:rPr>
              <w:t xml:space="preserve"> actions</w:t>
            </w:r>
            <w:r w:rsidR="00473145">
              <w:rPr>
                <w:rFonts w:ascii="Verdana" w:hAnsi="Verdana" w:cs="Arial"/>
              </w:rPr>
              <w:t>:</w:t>
            </w:r>
            <w:r w:rsidR="003A2029">
              <w:rPr>
                <w:rFonts w:ascii="Verdana" w:hAnsi="Verdana" w:cs="Arial"/>
              </w:rPr>
              <w:t xml:space="preserve"> </w:t>
            </w:r>
            <w:r w:rsidR="003A2029" w:rsidRPr="003A2029">
              <w:rPr>
                <w:rFonts w:ascii="Verdana" w:hAnsi="Verdana" w:cs="Arial"/>
              </w:rPr>
              <w:t xml:space="preserve">development of a </w:t>
            </w:r>
            <w:proofErr w:type="gramStart"/>
            <w:r w:rsidR="003A2029" w:rsidRPr="003A2029">
              <w:rPr>
                <w:rFonts w:ascii="Verdana" w:hAnsi="Verdana" w:cs="Arial"/>
              </w:rPr>
              <w:t>falls</w:t>
            </w:r>
            <w:proofErr w:type="gramEnd"/>
            <w:r w:rsidR="003A2029" w:rsidRPr="003A2029">
              <w:rPr>
                <w:rFonts w:ascii="Verdana" w:hAnsi="Verdana" w:cs="Arial"/>
              </w:rPr>
              <w:t xml:space="preserve"> pathway, UEC care coordination funding application, and Anglesey ward PDSA</w:t>
            </w:r>
            <w:r w:rsidR="003A2029">
              <w:rPr>
                <w:rFonts w:ascii="Verdana" w:hAnsi="Verdana" w:cs="Arial"/>
              </w:rPr>
              <w:t xml:space="preserve"> (Plan, Do, Study, Act)</w:t>
            </w:r>
            <w:r w:rsidR="003A2029" w:rsidRPr="003A2029">
              <w:rPr>
                <w:rFonts w:ascii="Verdana" w:hAnsi="Verdana" w:cs="Arial"/>
              </w:rPr>
              <w:t xml:space="preserve"> tests</w:t>
            </w:r>
            <w:r w:rsidR="003A2029">
              <w:rPr>
                <w:rFonts w:ascii="Verdana" w:hAnsi="Verdana" w:cs="Arial"/>
              </w:rPr>
              <w:t xml:space="preserve">, </w:t>
            </w:r>
            <w:r w:rsidR="003A2029" w:rsidRPr="003A2029">
              <w:rPr>
                <w:rFonts w:ascii="Verdana" w:hAnsi="Verdana" w:cs="Arial"/>
              </w:rPr>
              <w:t>w</w:t>
            </w:r>
            <w:r w:rsidR="00B23310">
              <w:rPr>
                <w:rFonts w:ascii="Verdana" w:hAnsi="Verdana" w:cs="Arial"/>
              </w:rPr>
              <w:t>ere</w:t>
            </w:r>
            <w:r w:rsidR="003A2029" w:rsidRPr="003A2029">
              <w:rPr>
                <w:rFonts w:ascii="Verdana" w:hAnsi="Verdana" w:cs="Arial"/>
              </w:rPr>
              <w:t xml:space="preserve"> consistent with the status reported. However, we noted </w:t>
            </w:r>
            <w:r w:rsidR="006510B9">
              <w:rPr>
                <w:rFonts w:ascii="Verdana" w:hAnsi="Verdana" w:cs="Arial"/>
              </w:rPr>
              <w:t xml:space="preserve">that the </w:t>
            </w:r>
            <w:r w:rsidR="00473145" w:rsidRPr="003A2029">
              <w:rPr>
                <w:rFonts w:ascii="Verdana" w:hAnsi="Verdana" w:cs="Arial"/>
              </w:rPr>
              <w:t xml:space="preserve">community capacity review </w:t>
            </w:r>
            <w:r w:rsidR="00473145">
              <w:rPr>
                <w:rFonts w:ascii="Verdana" w:hAnsi="Verdana" w:cs="Arial"/>
              </w:rPr>
              <w:t>status</w:t>
            </w:r>
            <w:r w:rsidR="008F11CC">
              <w:rPr>
                <w:rFonts w:ascii="Verdana" w:hAnsi="Verdana" w:cs="Arial"/>
              </w:rPr>
              <w:t xml:space="preserve"> </w:t>
            </w:r>
            <w:r w:rsidR="002B3AEB">
              <w:rPr>
                <w:rFonts w:ascii="Verdana" w:hAnsi="Verdana" w:cs="Arial"/>
              </w:rPr>
              <w:t>lacked</w:t>
            </w:r>
            <w:r w:rsidR="00ED158D">
              <w:rPr>
                <w:rFonts w:ascii="Verdana" w:hAnsi="Verdana" w:cs="Arial"/>
              </w:rPr>
              <w:t xml:space="preserve"> detail </w:t>
            </w:r>
            <w:r w:rsidR="002B3AEB">
              <w:rPr>
                <w:rFonts w:ascii="Verdana" w:hAnsi="Verdana" w:cs="Arial"/>
              </w:rPr>
              <w:t>on</w:t>
            </w:r>
            <w:r w:rsidR="00ED158D">
              <w:rPr>
                <w:rFonts w:ascii="Verdana" w:hAnsi="Verdana" w:cs="Arial"/>
              </w:rPr>
              <w:t xml:space="preserve"> output</w:t>
            </w:r>
            <w:r w:rsidR="002B3AEB">
              <w:rPr>
                <w:rFonts w:ascii="Verdana" w:hAnsi="Verdana" w:cs="Arial"/>
              </w:rPr>
              <w:t>s</w:t>
            </w:r>
            <w:r w:rsidR="00ED158D">
              <w:rPr>
                <w:rFonts w:ascii="Verdana" w:hAnsi="Verdana" w:cs="Arial"/>
              </w:rPr>
              <w:t xml:space="preserve"> and timescales (see </w:t>
            </w:r>
            <w:r w:rsidR="00ED158D" w:rsidRPr="00ED158D">
              <w:rPr>
                <w:rFonts w:ascii="Verdana" w:hAnsi="Verdana" w:cs="Arial"/>
                <w:b/>
                <w:bCs/>
              </w:rPr>
              <w:t>Key Finding 5</w:t>
            </w:r>
            <w:r w:rsidR="00ED158D">
              <w:rPr>
                <w:rFonts w:ascii="Verdana" w:hAnsi="Verdana" w:cs="Arial"/>
              </w:rPr>
              <w:t xml:space="preserve">). Additionally, </w:t>
            </w:r>
            <w:r w:rsidR="003A2029" w:rsidRPr="003A2029">
              <w:rPr>
                <w:rFonts w:ascii="Verdana" w:hAnsi="Verdana" w:cs="Arial"/>
              </w:rPr>
              <w:t xml:space="preserve">the emphasis on performance indicators may inadvertently overlook other framework requirements, such as the assessment of business continuity incidents </w:t>
            </w:r>
            <w:r w:rsidR="006E3B53">
              <w:rPr>
                <w:rFonts w:ascii="Verdana" w:hAnsi="Verdana" w:cs="Arial"/>
              </w:rPr>
              <w:t xml:space="preserve">(see </w:t>
            </w:r>
            <w:r w:rsidR="006E3B53" w:rsidRPr="006E3B53">
              <w:rPr>
                <w:rFonts w:ascii="Verdana" w:hAnsi="Verdana" w:cs="Arial"/>
                <w:b/>
                <w:bCs/>
              </w:rPr>
              <w:t>Key Finding 5</w:t>
            </w:r>
            <w:r w:rsidR="006E3B53">
              <w:rPr>
                <w:rFonts w:ascii="Verdana" w:hAnsi="Verdana" w:cs="Arial"/>
              </w:rPr>
              <w:t>)</w:t>
            </w:r>
            <w:r w:rsidR="00FB5572" w:rsidRPr="00FB5572">
              <w:rPr>
                <w:rFonts w:ascii="Verdana" w:hAnsi="Verdana" w:cs="Arial"/>
              </w:rPr>
              <w:t>.</w:t>
            </w:r>
          </w:p>
          <w:p w14:paraId="06178992" w14:textId="3326D818" w:rsidR="004F24B4" w:rsidRDefault="003C29BD" w:rsidP="004E4C82">
            <w:pPr>
              <w:spacing w:before="120" w:after="120" w:line="22" w:lineRule="atLeast"/>
              <w:jc w:val="both"/>
              <w:rPr>
                <w:rFonts w:ascii="Verdana" w:hAnsi="Verdana" w:cs="Arial"/>
              </w:rPr>
            </w:pPr>
            <w:r w:rsidRPr="003C29BD">
              <w:rPr>
                <w:rFonts w:ascii="Verdana" w:hAnsi="Verdana" w:cs="Arial"/>
                <w:u w:val="single"/>
              </w:rPr>
              <w:t>Planned Care</w:t>
            </w:r>
            <w:r w:rsidR="006F7C21">
              <w:rPr>
                <w:rFonts w:ascii="Verdana" w:hAnsi="Verdana" w:cs="Arial"/>
                <w:u w:val="single"/>
              </w:rPr>
              <w:t>:</w:t>
            </w:r>
            <w:r w:rsidRPr="00131951">
              <w:rPr>
                <w:rFonts w:ascii="Verdana" w:hAnsi="Verdana" w:cs="Arial"/>
              </w:rPr>
              <w:t xml:space="preserve"> </w:t>
            </w:r>
            <w:r w:rsidR="00C53FA4">
              <w:rPr>
                <w:rFonts w:ascii="Verdana" w:hAnsi="Verdana" w:cs="Arial"/>
              </w:rPr>
              <w:t>The a</w:t>
            </w:r>
            <w:r w:rsidR="004F24B4" w:rsidRPr="004F24B4">
              <w:rPr>
                <w:rFonts w:ascii="Verdana" w:hAnsi="Verdana" w:cs="Arial"/>
              </w:rPr>
              <w:t>ctions listed in the May 2025 Escalation and Oversight Report remained unchanged</w:t>
            </w:r>
            <w:r w:rsidR="00C53FA4">
              <w:rPr>
                <w:rFonts w:ascii="Verdana" w:hAnsi="Verdana" w:cs="Arial"/>
              </w:rPr>
              <w:t xml:space="preserve"> in status </w:t>
            </w:r>
            <w:r w:rsidR="004F24B4" w:rsidRPr="004F24B4">
              <w:rPr>
                <w:rFonts w:ascii="Verdana" w:hAnsi="Verdana" w:cs="Arial"/>
              </w:rPr>
              <w:t xml:space="preserve">from those previously reported in the July 2024 TI report. Notably, the report continued to reference oversight dashboards and Chief Operating Officer (COO) meetings, despite the latter being stood down ahead of de-escalation in December 2024 (see </w:t>
            </w:r>
            <w:r w:rsidR="004F24B4" w:rsidRPr="004F24B4">
              <w:rPr>
                <w:rFonts w:ascii="Verdana" w:hAnsi="Verdana" w:cs="Arial"/>
                <w:b/>
                <w:bCs/>
              </w:rPr>
              <w:t>Key Finding 6</w:t>
            </w:r>
            <w:r w:rsidR="004F24B4" w:rsidRPr="004F24B4">
              <w:rPr>
                <w:rFonts w:ascii="Verdana" w:hAnsi="Verdana" w:cs="Arial"/>
              </w:rPr>
              <w:t>). Regional working reports presented to the Planned Care Board indicated slow progress in advancing the regional Orthopaedics programme. However, the transfer of SRO responsibilities to the COO from July 2025</w:t>
            </w:r>
            <w:r w:rsidR="004F24B4">
              <w:rPr>
                <w:rFonts w:ascii="Verdana" w:hAnsi="Verdana" w:cs="Arial"/>
              </w:rPr>
              <w:t xml:space="preserve">, </w:t>
            </w:r>
            <w:r w:rsidR="004861D5">
              <w:rPr>
                <w:rFonts w:ascii="Verdana" w:hAnsi="Verdana" w:cs="Arial"/>
              </w:rPr>
              <w:t>m</w:t>
            </w:r>
            <w:r w:rsidR="004F24B4" w:rsidRPr="004F24B4">
              <w:rPr>
                <w:rFonts w:ascii="Verdana" w:hAnsi="Verdana" w:cs="Arial"/>
              </w:rPr>
              <w:t>irror</w:t>
            </w:r>
            <w:r w:rsidR="004861D5">
              <w:rPr>
                <w:rFonts w:ascii="Verdana" w:hAnsi="Verdana" w:cs="Arial"/>
              </w:rPr>
              <w:t xml:space="preserve">ed by a similar </w:t>
            </w:r>
            <w:r w:rsidR="003D7E24">
              <w:rPr>
                <w:rFonts w:ascii="Verdana" w:hAnsi="Verdana" w:cs="Arial"/>
              </w:rPr>
              <w:t>arrangement by</w:t>
            </w:r>
            <w:r w:rsidR="004F24B4" w:rsidRPr="004F24B4">
              <w:rPr>
                <w:rFonts w:ascii="Verdana" w:hAnsi="Verdana" w:cs="Arial"/>
              </w:rPr>
              <w:t xml:space="preserve"> Hywel Dda University Health Board</w:t>
            </w:r>
            <w:r w:rsidR="0012673A">
              <w:rPr>
                <w:rFonts w:ascii="Verdana" w:hAnsi="Verdana" w:cs="Arial"/>
              </w:rPr>
              <w:t>,</w:t>
            </w:r>
            <w:r w:rsidR="003D7E24">
              <w:rPr>
                <w:rFonts w:ascii="Verdana" w:hAnsi="Verdana" w:cs="Arial"/>
              </w:rPr>
              <w:t xml:space="preserve"> </w:t>
            </w:r>
            <w:r w:rsidR="004F24B4" w:rsidRPr="004F24B4">
              <w:rPr>
                <w:rFonts w:ascii="Verdana" w:hAnsi="Verdana" w:cs="Arial"/>
              </w:rPr>
              <w:t xml:space="preserve">may help accelerate regional collaboration. </w:t>
            </w:r>
          </w:p>
          <w:p w14:paraId="53585AFC" w14:textId="12FB4B52" w:rsidR="00BE6E5F" w:rsidRDefault="00A14F4B" w:rsidP="004E4C82">
            <w:pPr>
              <w:spacing w:before="120" w:after="120" w:line="22" w:lineRule="atLeast"/>
              <w:jc w:val="both"/>
              <w:rPr>
                <w:rFonts w:ascii="Verdana" w:hAnsi="Verdana" w:cs="Arial"/>
              </w:rPr>
            </w:pPr>
            <w:r>
              <w:rPr>
                <w:rFonts w:ascii="Verdana" w:hAnsi="Verdana" w:cs="Arial"/>
                <w:u w:val="single"/>
              </w:rPr>
              <w:t>Cancer</w:t>
            </w:r>
            <w:r w:rsidR="006F7C21">
              <w:rPr>
                <w:rFonts w:ascii="Verdana" w:hAnsi="Verdana" w:cs="Arial"/>
                <w:u w:val="single"/>
              </w:rPr>
              <w:t>:</w:t>
            </w:r>
            <w:r w:rsidR="00BC70C5">
              <w:rPr>
                <w:rFonts w:ascii="Verdana" w:hAnsi="Verdana" w:cs="Arial"/>
              </w:rPr>
              <w:t xml:space="preserve"> </w:t>
            </w:r>
            <w:r w:rsidR="00F153DF" w:rsidRPr="00F153DF">
              <w:rPr>
                <w:rFonts w:ascii="Verdana" w:hAnsi="Verdana" w:cs="Arial"/>
              </w:rPr>
              <w:t xml:space="preserve">Performance reports for four tumour sites were reviewed in line with oversight arrangements outlined in the May 2025 report. These reports demonstrated detailed breach-level analysis. However, action plans varied significantly in format and timeliness. For example, the Lung tumour site had no updates since May 2025; Lower GI continued to face unresolved RAG rating </w:t>
            </w:r>
            <w:r w:rsidR="00F153DF">
              <w:rPr>
                <w:rFonts w:ascii="Verdana" w:hAnsi="Verdana" w:cs="Arial"/>
              </w:rPr>
              <w:t>queries</w:t>
            </w:r>
            <w:r w:rsidR="00F153DF" w:rsidRPr="00F153DF">
              <w:rPr>
                <w:rFonts w:ascii="Verdana" w:hAnsi="Verdana" w:cs="Arial"/>
              </w:rPr>
              <w:t xml:space="preserve"> from April 2025; and Urology, which had the highest number of breaches, received a revised plan in September 2025, replacing a plan that had not been updated since early 2024 (see </w:t>
            </w:r>
            <w:r w:rsidR="00F153DF" w:rsidRPr="00B07E38">
              <w:rPr>
                <w:rFonts w:ascii="Verdana" w:hAnsi="Verdana" w:cs="Arial"/>
                <w:b/>
                <w:bCs/>
              </w:rPr>
              <w:t>Key Finding 7</w:t>
            </w:r>
            <w:r w:rsidR="00F153DF" w:rsidRPr="00F153DF">
              <w:rPr>
                <w:rFonts w:ascii="Verdana" w:hAnsi="Verdana" w:cs="Arial"/>
              </w:rPr>
              <w:t>). We were informed that the newly appointed Assistant Director of Operations for Planned Care will assume responsibility for Cancer performance, with a review of tumour site plans scheduled for October 2025.</w:t>
            </w:r>
          </w:p>
          <w:p w14:paraId="3725D8E9" w14:textId="2D448DCF" w:rsidR="00916CBF" w:rsidRDefault="00131951" w:rsidP="004E4C82">
            <w:pPr>
              <w:spacing w:before="120" w:after="120" w:line="22" w:lineRule="atLeast"/>
              <w:jc w:val="both"/>
              <w:rPr>
                <w:rFonts w:ascii="Verdana" w:hAnsi="Verdana" w:cs="Arial"/>
              </w:rPr>
            </w:pPr>
            <w:r w:rsidRPr="00131951">
              <w:rPr>
                <w:rFonts w:ascii="Verdana" w:hAnsi="Verdana" w:cs="Arial"/>
                <w:u w:val="single"/>
              </w:rPr>
              <w:t>HCAI</w:t>
            </w:r>
            <w:r w:rsidR="006F7C21">
              <w:rPr>
                <w:rFonts w:ascii="Verdana" w:hAnsi="Verdana" w:cs="Arial"/>
                <w:u w:val="single"/>
              </w:rPr>
              <w:t>:</w:t>
            </w:r>
            <w:r>
              <w:rPr>
                <w:rFonts w:ascii="Verdana" w:hAnsi="Verdana" w:cs="Arial"/>
              </w:rPr>
              <w:t xml:space="preserve"> </w:t>
            </w:r>
            <w:r w:rsidR="002D5BB3">
              <w:rPr>
                <w:rFonts w:ascii="Verdana" w:hAnsi="Verdana" w:cs="Arial"/>
              </w:rPr>
              <w:t>Review of d</w:t>
            </w:r>
            <w:r w:rsidR="002D5BB3" w:rsidRPr="002D5BB3">
              <w:rPr>
                <w:rFonts w:ascii="Verdana" w:hAnsi="Verdana" w:cs="Arial"/>
              </w:rPr>
              <w:t>ocumentation confirmed that the Gold Clostridioides difficile High Incidence Management Group (HIMG) operated from September 2024 to June 2025, supported by regular Silver-level reporting</w:t>
            </w:r>
            <w:r w:rsidR="00CF2796">
              <w:rPr>
                <w:rFonts w:ascii="Verdana" w:hAnsi="Verdana" w:cs="Arial"/>
              </w:rPr>
              <w:t>.</w:t>
            </w:r>
            <w:r w:rsidR="002D5BB3" w:rsidRPr="002D5BB3">
              <w:rPr>
                <w:rFonts w:ascii="Verdana" w:hAnsi="Verdana" w:cs="Arial"/>
              </w:rPr>
              <w:t xml:space="preserve"> </w:t>
            </w:r>
            <w:r w:rsidR="00CF2796">
              <w:rPr>
                <w:rFonts w:ascii="Verdana" w:hAnsi="Verdana" w:cs="Arial"/>
              </w:rPr>
              <w:t>H</w:t>
            </w:r>
            <w:r w:rsidR="002D5BB3" w:rsidRPr="002D5BB3">
              <w:rPr>
                <w:rFonts w:ascii="Verdana" w:hAnsi="Verdana" w:cs="Arial"/>
              </w:rPr>
              <w:t xml:space="preserve">owever, the group is currently paused following the departure of its Chair in May 2025. The Executive HCAI Scrutiny Meeting, established in May 2024, is also on hiatus due to the same leadership change. </w:t>
            </w:r>
            <w:r w:rsidR="004A7A0C" w:rsidRPr="004A7A0C">
              <w:rPr>
                <w:rFonts w:ascii="Verdana" w:hAnsi="Verdana" w:cs="Arial"/>
              </w:rPr>
              <w:t xml:space="preserve">(see </w:t>
            </w:r>
            <w:r w:rsidR="004A7A0C" w:rsidRPr="00A853CB">
              <w:rPr>
                <w:rFonts w:ascii="Verdana" w:hAnsi="Verdana" w:cs="Arial"/>
                <w:b/>
                <w:bCs/>
              </w:rPr>
              <w:t>Key Finding</w:t>
            </w:r>
            <w:r w:rsidR="004A7A0C" w:rsidRPr="004A7A0C">
              <w:rPr>
                <w:rFonts w:ascii="Verdana" w:hAnsi="Verdana" w:cs="Arial"/>
              </w:rPr>
              <w:t xml:space="preserve"> </w:t>
            </w:r>
            <w:r w:rsidR="00F94B33" w:rsidRPr="00F94B33">
              <w:rPr>
                <w:rFonts w:ascii="Verdana" w:hAnsi="Verdana" w:cs="Arial"/>
                <w:b/>
                <w:bCs/>
              </w:rPr>
              <w:t>8</w:t>
            </w:r>
            <w:r w:rsidR="004A7A0C" w:rsidRPr="004A7A0C">
              <w:rPr>
                <w:rFonts w:ascii="Verdana" w:hAnsi="Verdana" w:cs="Arial"/>
              </w:rPr>
              <w:t>)</w:t>
            </w:r>
            <w:r w:rsidR="00A323AD">
              <w:rPr>
                <w:rFonts w:ascii="Verdana" w:hAnsi="Verdana" w:cs="Arial"/>
              </w:rPr>
              <w:t xml:space="preserve">. </w:t>
            </w:r>
            <w:r w:rsidR="00922270">
              <w:rPr>
                <w:rFonts w:ascii="Verdana" w:hAnsi="Verdana" w:cs="Arial"/>
              </w:rPr>
              <w:t xml:space="preserve">An action </w:t>
            </w:r>
            <w:r w:rsidR="009B0D4E">
              <w:rPr>
                <w:rFonts w:ascii="Verdana" w:hAnsi="Verdana" w:cs="Arial"/>
              </w:rPr>
              <w:t xml:space="preserve">previously reported </w:t>
            </w:r>
            <w:r w:rsidR="00922270">
              <w:rPr>
                <w:rFonts w:ascii="Verdana" w:hAnsi="Verdana" w:cs="Arial"/>
              </w:rPr>
              <w:t>to establish and pilot a</w:t>
            </w:r>
            <w:r w:rsidR="00922270" w:rsidRPr="00922270">
              <w:rPr>
                <w:rFonts w:ascii="Verdana" w:hAnsi="Verdana" w:cs="Arial"/>
              </w:rPr>
              <w:t xml:space="preserve"> C. diff risk stratification project has been superseded by a formal </w:t>
            </w:r>
            <w:r w:rsidR="009B0D4E">
              <w:rPr>
                <w:rFonts w:ascii="Verdana" w:hAnsi="Verdana" w:cs="Arial"/>
              </w:rPr>
              <w:t>C</w:t>
            </w:r>
            <w:r w:rsidR="00842EAA">
              <w:rPr>
                <w:rFonts w:ascii="Verdana" w:hAnsi="Verdana" w:cs="Arial"/>
              </w:rPr>
              <w:t xml:space="preserve">. diff </w:t>
            </w:r>
            <w:r w:rsidR="00922270" w:rsidRPr="00922270">
              <w:rPr>
                <w:rFonts w:ascii="Verdana" w:hAnsi="Verdana" w:cs="Arial"/>
              </w:rPr>
              <w:t xml:space="preserve">governance framework, </w:t>
            </w:r>
            <w:r w:rsidR="00842EAA">
              <w:rPr>
                <w:rFonts w:ascii="Verdana" w:hAnsi="Verdana" w:cs="Arial"/>
              </w:rPr>
              <w:t xml:space="preserve">which has been </w:t>
            </w:r>
            <w:r w:rsidR="00922270" w:rsidRPr="00922270">
              <w:rPr>
                <w:rFonts w:ascii="Verdana" w:hAnsi="Verdana" w:cs="Arial"/>
              </w:rPr>
              <w:t xml:space="preserve">approved </w:t>
            </w:r>
            <w:r w:rsidR="00495003">
              <w:rPr>
                <w:rFonts w:ascii="Verdana" w:hAnsi="Verdana" w:cs="Arial"/>
              </w:rPr>
              <w:t>by Management Board in</w:t>
            </w:r>
            <w:r w:rsidR="00922270" w:rsidRPr="00922270">
              <w:rPr>
                <w:rFonts w:ascii="Verdana" w:hAnsi="Verdana" w:cs="Arial"/>
              </w:rPr>
              <w:t xml:space="preserve"> June 2025, </w:t>
            </w:r>
            <w:r w:rsidR="00495003">
              <w:rPr>
                <w:rFonts w:ascii="Verdana" w:hAnsi="Verdana" w:cs="Arial"/>
              </w:rPr>
              <w:t>and was in the early stages of implementation at the time of fieldwork</w:t>
            </w:r>
            <w:r w:rsidR="00842EAA">
              <w:rPr>
                <w:rFonts w:ascii="Verdana" w:hAnsi="Verdana" w:cs="Arial"/>
              </w:rPr>
              <w:t xml:space="preserve"> closing</w:t>
            </w:r>
            <w:r w:rsidR="00922270" w:rsidRPr="00922270">
              <w:rPr>
                <w:rFonts w:ascii="Verdana" w:hAnsi="Verdana" w:cs="Arial"/>
              </w:rPr>
              <w:t>.</w:t>
            </w:r>
            <w:r w:rsidR="009B6E54" w:rsidRPr="009B6E54">
              <w:rPr>
                <w:rFonts w:ascii="Verdana" w:hAnsi="Verdana" w:cs="Arial"/>
              </w:rPr>
              <w:t xml:space="preserve"> </w:t>
            </w:r>
            <w:r w:rsidR="003930E3">
              <w:rPr>
                <w:rFonts w:ascii="Verdana" w:hAnsi="Verdana" w:cs="Arial"/>
              </w:rPr>
              <w:t>We noted an</w:t>
            </w:r>
            <w:r w:rsidR="00A44AD6" w:rsidRPr="00A44AD6">
              <w:rPr>
                <w:rFonts w:ascii="Verdana" w:hAnsi="Verdana" w:cs="Arial"/>
              </w:rPr>
              <w:t xml:space="preserve"> action relating to increased collaboration between IPC and support services was evidenced</w:t>
            </w:r>
            <w:r w:rsidR="005F25A4">
              <w:rPr>
                <w:rFonts w:ascii="Verdana" w:hAnsi="Verdana" w:cs="Arial"/>
              </w:rPr>
              <w:t xml:space="preserve"> through support provided </w:t>
            </w:r>
            <w:r w:rsidR="00057B30">
              <w:rPr>
                <w:rFonts w:ascii="Verdana" w:hAnsi="Verdana" w:cs="Arial"/>
              </w:rPr>
              <w:t>to</w:t>
            </w:r>
            <w:r w:rsidR="005F25A4">
              <w:rPr>
                <w:rFonts w:ascii="Verdana" w:hAnsi="Verdana" w:cs="Arial"/>
              </w:rPr>
              <w:t xml:space="preserve"> address cleaning </w:t>
            </w:r>
            <w:r w:rsidR="00524339">
              <w:rPr>
                <w:rFonts w:ascii="Verdana" w:hAnsi="Verdana" w:cs="Arial"/>
              </w:rPr>
              <w:t>standards within Morriston Emergency Department</w:t>
            </w:r>
            <w:r w:rsidR="00F16246">
              <w:rPr>
                <w:rFonts w:ascii="Verdana" w:hAnsi="Verdana" w:cs="Arial"/>
              </w:rPr>
              <w:t>.</w:t>
            </w:r>
            <w:r w:rsidR="00A44AD6" w:rsidRPr="00A44AD6">
              <w:rPr>
                <w:rFonts w:ascii="Verdana" w:hAnsi="Verdana" w:cs="Arial"/>
              </w:rPr>
              <w:t xml:space="preserve"> </w:t>
            </w:r>
          </w:p>
          <w:p w14:paraId="3FB5A340" w14:textId="75B99EC8" w:rsidR="00F94B33" w:rsidRPr="00D165B7" w:rsidRDefault="00D165B7" w:rsidP="004E4C82">
            <w:pPr>
              <w:spacing w:before="120" w:after="120" w:line="22" w:lineRule="atLeast"/>
              <w:jc w:val="both"/>
              <w:rPr>
                <w:rFonts w:ascii="Verdana" w:hAnsi="Verdana" w:cs="Arial"/>
                <w:u w:val="single"/>
              </w:rPr>
            </w:pPr>
            <w:r w:rsidRPr="00D165B7">
              <w:rPr>
                <w:rFonts w:ascii="Verdana" w:hAnsi="Verdana" w:cs="Arial"/>
                <w:u w:val="single"/>
              </w:rPr>
              <w:t>Ongoing performance</w:t>
            </w:r>
          </w:p>
          <w:p w14:paraId="0FFCC48F" w14:textId="44230305" w:rsidR="00770024" w:rsidRPr="00682EB6" w:rsidRDefault="002C2D16" w:rsidP="001955D7">
            <w:pPr>
              <w:spacing w:before="120" w:after="120" w:line="22" w:lineRule="atLeast"/>
              <w:jc w:val="both"/>
              <w:rPr>
                <w:rFonts w:ascii="Verdana" w:hAnsi="Verdana" w:cs="Arial"/>
              </w:rPr>
            </w:pPr>
            <w:r w:rsidRPr="002C2D16">
              <w:rPr>
                <w:rFonts w:ascii="Verdana" w:hAnsi="Verdana" w:cs="Arial"/>
              </w:rPr>
              <w:t xml:space="preserve">In February 2025, both Planned Care and CAMHS were successfully de-escalated to </w:t>
            </w:r>
            <w:r w:rsidR="00D75920">
              <w:rPr>
                <w:rFonts w:ascii="Verdana" w:hAnsi="Verdana" w:cs="Arial"/>
              </w:rPr>
              <w:t>EM</w:t>
            </w:r>
            <w:r w:rsidRPr="002C2D16">
              <w:rPr>
                <w:rFonts w:ascii="Verdana" w:hAnsi="Verdana" w:cs="Arial"/>
              </w:rPr>
              <w:t xml:space="preserve"> status, reflecting positive progress in these areas. More recently, improvements have also been observed within UEC, attributed to the implementation of </w:t>
            </w:r>
            <w:r w:rsidR="00C921CB">
              <w:rPr>
                <w:rFonts w:ascii="Verdana" w:hAnsi="Verdana" w:cs="Arial"/>
              </w:rPr>
              <w:t>the PDSA</w:t>
            </w:r>
            <w:r w:rsidR="00C921CB" w:rsidRPr="002C2D16">
              <w:rPr>
                <w:rFonts w:ascii="Verdana" w:hAnsi="Verdana" w:cs="Arial"/>
              </w:rPr>
              <w:t xml:space="preserve"> </w:t>
            </w:r>
            <w:r w:rsidRPr="002C2D16">
              <w:rPr>
                <w:rFonts w:ascii="Verdana" w:hAnsi="Verdana" w:cs="Arial"/>
              </w:rPr>
              <w:t xml:space="preserve">test of change. </w:t>
            </w:r>
            <w:r w:rsidR="000B50CB" w:rsidRPr="000B50CB">
              <w:rPr>
                <w:rFonts w:ascii="Verdana" w:hAnsi="Verdana" w:cs="Arial"/>
              </w:rPr>
              <w:t xml:space="preserve">However, as detailed </w:t>
            </w:r>
            <w:r w:rsidR="000B50CB" w:rsidRPr="000B50CB">
              <w:rPr>
                <w:rFonts w:ascii="Verdana" w:hAnsi="Verdana" w:cs="Arial"/>
              </w:rPr>
              <w:lastRenderedPageBreak/>
              <w:t xml:space="preserve">in Appendix </w:t>
            </w:r>
            <w:r w:rsidR="00F91D5E">
              <w:rPr>
                <w:rFonts w:ascii="Verdana" w:hAnsi="Verdana" w:cs="Arial"/>
              </w:rPr>
              <w:t>B</w:t>
            </w:r>
            <w:r w:rsidR="000B50CB" w:rsidRPr="000B50CB">
              <w:rPr>
                <w:rFonts w:ascii="Verdana" w:hAnsi="Verdana" w:cs="Arial"/>
              </w:rPr>
              <w:t xml:space="preserve">, </w:t>
            </w:r>
            <w:r w:rsidR="00513B24">
              <w:rPr>
                <w:rFonts w:ascii="Verdana" w:hAnsi="Verdana" w:cs="Arial"/>
              </w:rPr>
              <w:t>consistent achievement of</w:t>
            </w:r>
            <w:r w:rsidR="000B50CB" w:rsidRPr="000B50CB">
              <w:rPr>
                <w:rFonts w:ascii="Verdana" w:hAnsi="Verdana" w:cs="Arial"/>
              </w:rPr>
              <w:t xml:space="preserve"> de-escalation criteria remains </w:t>
            </w:r>
            <w:r w:rsidR="000B50CB">
              <w:rPr>
                <w:rFonts w:ascii="Verdana" w:hAnsi="Verdana" w:cs="Arial"/>
              </w:rPr>
              <w:t>challenging</w:t>
            </w:r>
            <w:r w:rsidR="00513B24">
              <w:rPr>
                <w:rFonts w:ascii="Verdana" w:hAnsi="Verdana" w:cs="Arial"/>
              </w:rPr>
              <w:t>,</w:t>
            </w:r>
            <w:r w:rsidR="000B50CB">
              <w:rPr>
                <w:rFonts w:ascii="Verdana" w:hAnsi="Verdana" w:cs="Arial"/>
              </w:rPr>
              <w:t xml:space="preserve"> </w:t>
            </w:r>
            <w:r w:rsidR="00C921CB">
              <w:rPr>
                <w:rFonts w:ascii="Verdana" w:hAnsi="Verdana" w:cs="Arial"/>
              </w:rPr>
              <w:t>particularly in Cancer and HCAI</w:t>
            </w:r>
            <w:r w:rsidR="000B50CB" w:rsidRPr="000B50CB">
              <w:rPr>
                <w:rFonts w:ascii="Verdana" w:hAnsi="Verdana" w:cs="Arial"/>
              </w:rPr>
              <w:t xml:space="preserve">. It is also important to note that the targets set under the Enhanced Monitoring </w:t>
            </w:r>
            <w:r w:rsidR="007E2D94">
              <w:rPr>
                <w:rFonts w:ascii="Verdana" w:hAnsi="Verdana" w:cs="Arial"/>
              </w:rPr>
              <w:t xml:space="preserve">de-escalation criteria </w:t>
            </w:r>
            <w:r w:rsidR="000B50CB" w:rsidRPr="000B50CB">
              <w:rPr>
                <w:rFonts w:ascii="Verdana" w:hAnsi="Verdana" w:cs="Arial"/>
              </w:rPr>
              <w:t xml:space="preserve">for Planned Care are more ambitious than those previously applied under </w:t>
            </w:r>
            <w:r w:rsidR="007E2D94">
              <w:rPr>
                <w:rFonts w:ascii="Verdana" w:hAnsi="Verdana" w:cs="Arial"/>
              </w:rPr>
              <w:t>TI</w:t>
            </w:r>
            <w:r w:rsidR="000B50CB" w:rsidRPr="000B50CB">
              <w:rPr>
                <w:rFonts w:ascii="Verdana" w:hAnsi="Verdana" w:cs="Arial"/>
              </w:rPr>
              <w:t xml:space="preserve">, which may </w:t>
            </w:r>
            <w:r w:rsidR="009418C4">
              <w:rPr>
                <w:rFonts w:ascii="Verdana" w:hAnsi="Verdana" w:cs="Arial"/>
              </w:rPr>
              <w:t>impact</w:t>
            </w:r>
            <w:r w:rsidR="000B50CB" w:rsidRPr="000B50CB">
              <w:rPr>
                <w:rFonts w:ascii="Verdana" w:hAnsi="Verdana" w:cs="Arial"/>
              </w:rPr>
              <w:t xml:space="preserve"> </w:t>
            </w:r>
            <w:r w:rsidR="009418C4">
              <w:rPr>
                <w:rFonts w:ascii="Verdana" w:hAnsi="Verdana" w:cs="Arial"/>
              </w:rPr>
              <w:t>sustainability of</w:t>
            </w:r>
            <w:r w:rsidR="000B50CB" w:rsidRPr="000B50CB">
              <w:rPr>
                <w:rFonts w:ascii="Verdana" w:hAnsi="Verdana" w:cs="Arial"/>
              </w:rPr>
              <w:t xml:space="preserve"> progress.</w:t>
            </w:r>
          </w:p>
        </w:tc>
      </w:tr>
    </w:tbl>
    <w:p w14:paraId="0AF99B0F" w14:textId="77777777" w:rsidR="00FA2A0C" w:rsidRPr="00FA2A0C" w:rsidRDefault="00FA2A0C">
      <w:pPr>
        <w:rPr>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6"/>
        <w:gridCol w:w="6630"/>
        <w:gridCol w:w="2260"/>
        <w:gridCol w:w="6710"/>
      </w:tblGrid>
      <w:tr w:rsidR="0020799E" w:rsidRPr="000929B0" w14:paraId="179FC8FE" w14:textId="77777777" w:rsidTr="005A5B6F">
        <w:trPr>
          <w:tblHeader/>
        </w:trPr>
        <w:tc>
          <w:tcPr>
            <w:tcW w:w="7196" w:type="dxa"/>
            <w:gridSpan w:val="2"/>
            <w:tcBorders>
              <w:top w:val="nil"/>
              <w:left w:val="nil"/>
              <w:bottom w:val="nil"/>
            </w:tcBorders>
            <w:shd w:val="clear" w:color="auto" w:fill="002060"/>
            <w:vAlign w:val="center"/>
          </w:tcPr>
          <w:p w14:paraId="70FFC0D3" w14:textId="77777777" w:rsidR="0020799E" w:rsidRPr="000929B0" w:rsidRDefault="0020799E" w:rsidP="00AD693F">
            <w:pPr>
              <w:spacing w:before="120" w:after="120" w:line="22" w:lineRule="atLeast"/>
              <w:rPr>
                <w:rFonts w:ascii="Verdana" w:hAnsi="Verdana"/>
                <w:b/>
                <w:bCs/>
              </w:rPr>
            </w:pPr>
            <w:r w:rsidRPr="000929B0">
              <w:rPr>
                <w:rFonts w:ascii="Verdana" w:hAnsi="Verdana"/>
                <w:b/>
                <w:bCs/>
              </w:rPr>
              <w:t>Key Findings</w:t>
            </w:r>
          </w:p>
        </w:tc>
        <w:tc>
          <w:tcPr>
            <w:tcW w:w="2260" w:type="dxa"/>
            <w:tcBorders>
              <w:top w:val="nil"/>
              <w:bottom w:val="nil"/>
            </w:tcBorders>
            <w:shd w:val="clear" w:color="auto" w:fill="002060"/>
            <w:vAlign w:val="center"/>
          </w:tcPr>
          <w:p w14:paraId="1E95412F" w14:textId="77777777" w:rsidR="0020799E" w:rsidRPr="000929B0" w:rsidRDefault="0020799E" w:rsidP="00AD693F">
            <w:pPr>
              <w:spacing w:before="120" w:after="120" w:line="22" w:lineRule="atLeast"/>
              <w:rPr>
                <w:rFonts w:ascii="Verdana" w:hAnsi="Verdana"/>
                <w:b/>
                <w:bCs/>
              </w:rPr>
            </w:pPr>
            <w:r w:rsidRPr="000929B0">
              <w:rPr>
                <w:rFonts w:ascii="Verdana" w:hAnsi="Verdana"/>
                <w:b/>
                <w:bCs/>
              </w:rPr>
              <w:t>Risk &amp; Impact</w:t>
            </w:r>
          </w:p>
        </w:tc>
        <w:tc>
          <w:tcPr>
            <w:tcW w:w="6710" w:type="dxa"/>
            <w:tcBorders>
              <w:top w:val="nil"/>
              <w:bottom w:val="nil"/>
              <w:right w:val="nil"/>
            </w:tcBorders>
            <w:shd w:val="clear" w:color="auto" w:fill="002060"/>
            <w:vAlign w:val="center"/>
          </w:tcPr>
          <w:p w14:paraId="5EF27C84" w14:textId="77777777" w:rsidR="0020799E" w:rsidRPr="000929B0" w:rsidRDefault="0020799E" w:rsidP="00AD693F">
            <w:pPr>
              <w:spacing w:before="120" w:after="120" w:line="22" w:lineRule="atLeast"/>
              <w:rPr>
                <w:rFonts w:ascii="Verdana" w:hAnsi="Verdana"/>
                <w:b/>
                <w:bCs/>
              </w:rPr>
            </w:pPr>
            <w:r w:rsidRPr="000929B0">
              <w:rPr>
                <w:rFonts w:ascii="Verdana" w:hAnsi="Verdana"/>
                <w:b/>
                <w:bCs/>
              </w:rPr>
              <w:t xml:space="preserve">Agreed Management Action </w:t>
            </w:r>
          </w:p>
        </w:tc>
      </w:tr>
      <w:tr w:rsidR="002B1E70" w:rsidRPr="00822DC5" w14:paraId="241F919A" w14:textId="77777777" w:rsidTr="00497EA1">
        <w:trPr>
          <w:trHeight w:val="2551"/>
        </w:trPr>
        <w:tc>
          <w:tcPr>
            <w:tcW w:w="566" w:type="dxa"/>
            <w:vMerge w:val="restart"/>
            <w:tcBorders>
              <w:top w:val="nil"/>
              <w:left w:val="nil"/>
            </w:tcBorders>
            <w:shd w:val="clear" w:color="auto" w:fill="FFFFFF" w:themeFill="background1"/>
          </w:tcPr>
          <w:p w14:paraId="67EE8778" w14:textId="14225788" w:rsidR="00FA2A0C" w:rsidRPr="00822DC5" w:rsidRDefault="007919FF" w:rsidP="00FA2A0C">
            <w:pPr>
              <w:spacing w:before="120" w:after="120" w:line="22" w:lineRule="atLeast"/>
              <w:jc w:val="center"/>
              <w:rPr>
                <w:rFonts w:ascii="Verdana" w:hAnsi="Verdana"/>
                <w:sz w:val="20"/>
                <w:szCs w:val="20"/>
              </w:rPr>
            </w:pPr>
            <w:r>
              <w:rPr>
                <w:rFonts w:ascii="Verdana" w:hAnsi="Verdana"/>
                <w:sz w:val="20"/>
                <w:szCs w:val="20"/>
              </w:rPr>
              <w:t>5</w:t>
            </w:r>
          </w:p>
        </w:tc>
        <w:tc>
          <w:tcPr>
            <w:tcW w:w="6630" w:type="dxa"/>
            <w:vMerge w:val="restart"/>
            <w:tcBorders>
              <w:top w:val="nil"/>
            </w:tcBorders>
            <w:shd w:val="clear" w:color="auto" w:fill="FFFFFF" w:themeFill="background1"/>
          </w:tcPr>
          <w:p w14:paraId="71E6DB63" w14:textId="27CDF986" w:rsidR="00D65C89" w:rsidRDefault="00CE75C5" w:rsidP="00F140F0">
            <w:pPr>
              <w:spacing w:before="120" w:after="120" w:line="22" w:lineRule="atLeast"/>
              <w:jc w:val="both"/>
              <w:rPr>
                <w:rFonts w:ascii="Verdana" w:hAnsi="Verdana"/>
                <w:b/>
                <w:bCs/>
                <w:sz w:val="20"/>
                <w:szCs w:val="20"/>
              </w:rPr>
            </w:pPr>
            <w:r>
              <w:rPr>
                <w:rFonts w:ascii="Verdana" w:hAnsi="Verdana"/>
                <w:b/>
                <w:bCs/>
                <w:sz w:val="20"/>
                <w:szCs w:val="20"/>
              </w:rPr>
              <w:t>Incomplete Oversi</w:t>
            </w:r>
            <w:r w:rsidR="000264A9">
              <w:rPr>
                <w:rFonts w:ascii="Verdana" w:hAnsi="Verdana"/>
                <w:b/>
                <w:bCs/>
                <w:sz w:val="20"/>
                <w:szCs w:val="20"/>
              </w:rPr>
              <w:t xml:space="preserve">ght of </w:t>
            </w:r>
            <w:r w:rsidR="00C36914">
              <w:rPr>
                <w:rFonts w:ascii="Verdana" w:hAnsi="Verdana"/>
                <w:b/>
                <w:bCs/>
                <w:sz w:val="20"/>
                <w:szCs w:val="20"/>
              </w:rPr>
              <w:t>UEC Escalation Action</w:t>
            </w:r>
            <w:r w:rsidR="00B5513C">
              <w:rPr>
                <w:rFonts w:ascii="Verdana" w:hAnsi="Verdana"/>
                <w:b/>
                <w:bCs/>
                <w:sz w:val="20"/>
                <w:szCs w:val="20"/>
              </w:rPr>
              <w:t>s</w:t>
            </w:r>
            <w:r w:rsidR="00C36914">
              <w:rPr>
                <w:rFonts w:ascii="Verdana" w:hAnsi="Verdana"/>
                <w:b/>
                <w:bCs/>
                <w:sz w:val="20"/>
                <w:szCs w:val="20"/>
              </w:rPr>
              <w:t xml:space="preserve"> </w:t>
            </w:r>
            <w:r w:rsidR="00387EFC">
              <w:rPr>
                <w:rFonts w:ascii="Verdana" w:hAnsi="Verdana"/>
                <w:b/>
                <w:bCs/>
                <w:sz w:val="20"/>
                <w:szCs w:val="20"/>
              </w:rPr>
              <w:t>and De</w:t>
            </w:r>
            <w:r w:rsidR="00C36914">
              <w:rPr>
                <w:rFonts w:ascii="Verdana" w:hAnsi="Verdana"/>
                <w:b/>
                <w:bCs/>
                <w:sz w:val="20"/>
                <w:szCs w:val="20"/>
              </w:rPr>
              <w:t xml:space="preserve">-escalation </w:t>
            </w:r>
            <w:r w:rsidR="000264A9">
              <w:rPr>
                <w:rFonts w:ascii="Verdana" w:hAnsi="Verdana"/>
                <w:b/>
                <w:bCs/>
                <w:sz w:val="20"/>
                <w:szCs w:val="20"/>
              </w:rPr>
              <w:t>Requirements</w:t>
            </w:r>
            <w:r w:rsidR="00C36914">
              <w:rPr>
                <w:rFonts w:ascii="Verdana" w:hAnsi="Verdana"/>
                <w:b/>
                <w:bCs/>
                <w:sz w:val="20"/>
                <w:szCs w:val="20"/>
              </w:rPr>
              <w:t>.</w:t>
            </w:r>
          </w:p>
          <w:p w14:paraId="386BA18D" w14:textId="6BDF8C06" w:rsidR="00C36914" w:rsidRDefault="001400A1" w:rsidP="00F140F0">
            <w:pPr>
              <w:spacing w:before="120" w:after="120" w:line="22" w:lineRule="atLeast"/>
              <w:jc w:val="both"/>
              <w:rPr>
                <w:rFonts w:ascii="Verdana" w:hAnsi="Verdana"/>
                <w:b/>
                <w:bCs/>
                <w:sz w:val="20"/>
                <w:szCs w:val="20"/>
              </w:rPr>
            </w:pPr>
            <w:r w:rsidRPr="001400A1">
              <w:rPr>
                <w:rFonts w:ascii="Verdana" w:hAnsi="Verdana"/>
                <w:sz w:val="20"/>
                <w:szCs w:val="20"/>
                <w:u w:val="single"/>
              </w:rPr>
              <w:t>Community Services Review</w:t>
            </w:r>
            <w:r w:rsidRPr="00C472FF">
              <w:rPr>
                <w:rFonts w:ascii="Verdana" w:hAnsi="Verdana"/>
                <w:sz w:val="20"/>
                <w:szCs w:val="20"/>
              </w:rPr>
              <w:t xml:space="preserve"> - </w:t>
            </w:r>
            <w:r w:rsidR="002A5115">
              <w:rPr>
                <w:rFonts w:ascii="Verdana" w:hAnsi="Verdana"/>
                <w:sz w:val="20"/>
                <w:szCs w:val="20"/>
              </w:rPr>
              <w:t>Between</w:t>
            </w:r>
            <w:r w:rsidR="002A5115" w:rsidRPr="005A6C9F">
              <w:rPr>
                <w:rFonts w:ascii="Verdana" w:hAnsi="Verdana"/>
                <w:sz w:val="20"/>
                <w:szCs w:val="20"/>
              </w:rPr>
              <w:t xml:space="preserve"> </w:t>
            </w:r>
            <w:r w:rsidR="005A6C9F" w:rsidRPr="005A6C9F">
              <w:rPr>
                <w:rFonts w:ascii="Verdana" w:hAnsi="Verdana"/>
                <w:sz w:val="20"/>
                <w:szCs w:val="20"/>
              </w:rPr>
              <w:t xml:space="preserve">July 2024 </w:t>
            </w:r>
            <w:r w:rsidR="002A5115">
              <w:rPr>
                <w:rFonts w:ascii="Verdana" w:hAnsi="Verdana"/>
                <w:sz w:val="20"/>
                <w:szCs w:val="20"/>
              </w:rPr>
              <w:t>and</w:t>
            </w:r>
            <w:r w:rsidR="005A6C9F" w:rsidRPr="005A6C9F">
              <w:rPr>
                <w:rFonts w:ascii="Verdana" w:hAnsi="Verdana"/>
                <w:sz w:val="20"/>
                <w:szCs w:val="20"/>
              </w:rPr>
              <w:t xml:space="preserve"> January 2025, Board updates repeatedly referenced the review of community capacity and operating </w:t>
            </w:r>
            <w:r w:rsidR="00CA2077" w:rsidRPr="005A6C9F">
              <w:rPr>
                <w:rFonts w:ascii="Verdana" w:hAnsi="Verdana"/>
                <w:sz w:val="20"/>
                <w:szCs w:val="20"/>
              </w:rPr>
              <w:t>models</w:t>
            </w:r>
            <w:r w:rsidR="002145CB">
              <w:rPr>
                <w:rFonts w:ascii="Verdana" w:hAnsi="Verdana"/>
                <w:sz w:val="20"/>
                <w:szCs w:val="20"/>
              </w:rPr>
              <w:t>. However,</w:t>
            </w:r>
            <w:r w:rsidR="005A6C9F" w:rsidRPr="005A6C9F">
              <w:rPr>
                <w:rFonts w:ascii="Verdana" w:hAnsi="Verdana"/>
                <w:sz w:val="20"/>
                <w:szCs w:val="20"/>
              </w:rPr>
              <w:t xml:space="preserve"> no additional narrative or evidence of progress</w:t>
            </w:r>
            <w:r w:rsidR="00105AD2">
              <w:rPr>
                <w:rFonts w:ascii="Verdana" w:hAnsi="Verdana"/>
                <w:sz w:val="20"/>
                <w:szCs w:val="20"/>
              </w:rPr>
              <w:t xml:space="preserve"> was provided</w:t>
            </w:r>
            <w:r w:rsidR="005A6C9F" w:rsidRPr="005A6C9F">
              <w:rPr>
                <w:rFonts w:ascii="Verdana" w:hAnsi="Verdana"/>
                <w:sz w:val="20"/>
                <w:szCs w:val="20"/>
              </w:rPr>
              <w:t>. Although the May 2025 update noted the establishment of a dedicated workstream</w:t>
            </w:r>
            <w:r w:rsidR="00105AD2">
              <w:rPr>
                <w:rFonts w:ascii="Verdana" w:hAnsi="Verdana"/>
                <w:sz w:val="20"/>
                <w:szCs w:val="20"/>
              </w:rPr>
              <w:t>,</w:t>
            </w:r>
            <w:r w:rsidR="00FF74FB">
              <w:rPr>
                <w:rFonts w:ascii="Verdana" w:hAnsi="Verdana"/>
                <w:sz w:val="20"/>
                <w:szCs w:val="20"/>
              </w:rPr>
              <w:t xml:space="preserve"> it has not </w:t>
            </w:r>
            <w:r w:rsidR="003D57C5">
              <w:rPr>
                <w:rFonts w:ascii="Verdana" w:hAnsi="Verdana"/>
                <w:sz w:val="20"/>
                <w:szCs w:val="20"/>
              </w:rPr>
              <w:t xml:space="preserve">featured within </w:t>
            </w:r>
            <w:r w:rsidR="005A6C9F" w:rsidRPr="005A6C9F">
              <w:rPr>
                <w:rFonts w:ascii="Verdana" w:hAnsi="Verdana"/>
                <w:sz w:val="20"/>
                <w:szCs w:val="20"/>
              </w:rPr>
              <w:t>subsequent updates</w:t>
            </w:r>
            <w:r w:rsidR="00105AD2">
              <w:rPr>
                <w:rFonts w:ascii="Verdana" w:hAnsi="Verdana"/>
                <w:sz w:val="20"/>
                <w:szCs w:val="20"/>
              </w:rPr>
              <w:t>,</w:t>
            </w:r>
            <w:r w:rsidR="005A6C9F" w:rsidRPr="005A6C9F">
              <w:rPr>
                <w:rFonts w:ascii="Verdana" w:hAnsi="Verdana"/>
                <w:sz w:val="20"/>
                <w:szCs w:val="20"/>
              </w:rPr>
              <w:t xml:space="preserve"> </w:t>
            </w:r>
            <w:r w:rsidR="003D57C5">
              <w:rPr>
                <w:rFonts w:ascii="Verdana" w:hAnsi="Verdana"/>
                <w:sz w:val="20"/>
                <w:szCs w:val="20"/>
              </w:rPr>
              <w:t xml:space="preserve">and </w:t>
            </w:r>
            <w:r w:rsidR="00105AD2">
              <w:rPr>
                <w:rFonts w:ascii="Verdana" w:hAnsi="Verdana"/>
                <w:sz w:val="20"/>
                <w:szCs w:val="20"/>
              </w:rPr>
              <w:t xml:space="preserve">there is </w:t>
            </w:r>
            <w:r w:rsidR="003D57C5">
              <w:rPr>
                <w:rFonts w:ascii="Verdana" w:hAnsi="Verdana"/>
                <w:sz w:val="20"/>
                <w:szCs w:val="20"/>
              </w:rPr>
              <w:t xml:space="preserve">no reference to </w:t>
            </w:r>
            <w:r w:rsidR="005A6C9F" w:rsidRPr="005A6C9F">
              <w:rPr>
                <w:rFonts w:ascii="Verdana" w:hAnsi="Verdana"/>
                <w:sz w:val="20"/>
                <w:szCs w:val="20"/>
              </w:rPr>
              <w:t>outputs or timelines. In September 2025, the UEC Programme Board received a verbal update confirming that an external reviewer had been commissioned, with an initial report anticipated within three months.</w:t>
            </w:r>
          </w:p>
          <w:p w14:paraId="44F21AED" w14:textId="4C6D393E" w:rsidR="00C40F84" w:rsidRPr="000D2B1C" w:rsidRDefault="001400A1" w:rsidP="001400A1">
            <w:pPr>
              <w:spacing w:before="120" w:after="120" w:line="22" w:lineRule="atLeast"/>
              <w:jc w:val="both"/>
              <w:rPr>
                <w:rFonts w:ascii="Verdana" w:hAnsi="Verdana"/>
                <w:sz w:val="20"/>
                <w:szCs w:val="20"/>
              </w:rPr>
            </w:pPr>
            <w:r w:rsidRPr="001400A1">
              <w:rPr>
                <w:rFonts w:ascii="Verdana" w:hAnsi="Verdana"/>
                <w:sz w:val="20"/>
                <w:szCs w:val="20"/>
                <w:u w:val="single"/>
              </w:rPr>
              <w:t>Business Continuity Incident Assessments</w:t>
            </w:r>
            <w:r w:rsidRPr="00C472FF">
              <w:rPr>
                <w:rFonts w:ascii="Verdana" w:hAnsi="Verdana"/>
                <w:sz w:val="20"/>
                <w:szCs w:val="20"/>
              </w:rPr>
              <w:t xml:space="preserve"> - </w:t>
            </w:r>
            <w:r w:rsidR="00132F66" w:rsidRPr="00132F66">
              <w:rPr>
                <w:rFonts w:ascii="Verdana" w:hAnsi="Verdana"/>
                <w:sz w:val="20"/>
                <w:szCs w:val="20"/>
              </w:rPr>
              <w:t xml:space="preserve">The de-escalation criteria for Urgent and Emergency Care (UEC) require the Health Board to assess declared Business Continuity Incidents (BCIs), including </w:t>
            </w:r>
            <w:r w:rsidR="00CA4643">
              <w:rPr>
                <w:rFonts w:ascii="Verdana" w:hAnsi="Verdana"/>
                <w:sz w:val="20"/>
                <w:szCs w:val="20"/>
              </w:rPr>
              <w:t>analysis of causes</w:t>
            </w:r>
            <w:r w:rsidR="00132F66" w:rsidRPr="00132F66">
              <w:rPr>
                <w:rFonts w:ascii="Verdana" w:hAnsi="Verdana"/>
                <w:sz w:val="20"/>
                <w:szCs w:val="20"/>
              </w:rPr>
              <w:t xml:space="preserve">, actions taken, and lessons learned. While </w:t>
            </w:r>
            <w:r w:rsidR="00C36914">
              <w:rPr>
                <w:rFonts w:ascii="Verdana" w:hAnsi="Verdana"/>
                <w:sz w:val="20"/>
                <w:szCs w:val="20"/>
              </w:rPr>
              <w:t>two</w:t>
            </w:r>
            <w:r w:rsidR="002F3163">
              <w:rPr>
                <w:rFonts w:ascii="Verdana" w:hAnsi="Verdana"/>
                <w:sz w:val="20"/>
                <w:szCs w:val="20"/>
              </w:rPr>
              <w:t xml:space="preserve"> </w:t>
            </w:r>
            <w:r w:rsidR="00132F66" w:rsidRPr="00132F66">
              <w:rPr>
                <w:rFonts w:ascii="Verdana" w:hAnsi="Verdana"/>
                <w:sz w:val="20"/>
                <w:szCs w:val="20"/>
              </w:rPr>
              <w:t xml:space="preserve">BCIs </w:t>
            </w:r>
            <w:r w:rsidR="00132F66">
              <w:rPr>
                <w:rFonts w:ascii="Verdana" w:hAnsi="Verdana"/>
                <w:sz w:val="20"/>
                <w:szCs w:val="20"/>
              </w:rPr>
              <w:t>have been</w:t>
            </w:r>
            <w:r w:rsidR="00132F66" w:rsidRPr="00132F66">
              <w:rPr>
                <w:rFonts w:ascii="Verdana" w:hAnsi="Verdana"/>
                <w:sz w:val="20"/>
                <w:szCs w:val="20"/>
              </w:rPr>
              <w:t xml:space="preserve"> reported to the Board (28 October 2024</w:t>
            </w:r>
            <w:r w:rsidR="002F3163">
              <w:rPr>
                <w:rFonts w:ascii="Verdana" w:hAnsi="Verdana"/>
                <w:sz w:val="20"/>
                <w:szCs w:val="20"/>
              </w:rPr>
              <w:t>,</w:t>
            </w:r>
            <w:r w:rsidR="00132F66" w:rsidRPr="00132F66">
              <w:rPr>
                <w:rFonts w:ascii="Verdana" w:hAnsi="Verdana"/>
                <w:sz w:val="20"/>
                <w:szCs w:val="20"/>
              </w:rPr>
              <w:t xml:space="preserve"> 10–13 February), there is no evidence that </w:t>
            </w:r>
            <w:r w:rsidR="003240A7">
              <w:rPr>
                <w:rFonts w:ascii="Verdana" w:hAnsi="Verdana"/>
                <w:sz w:val="20"/>
                <w:szCs w:val="20"/>
              </w:rPr>
              <w:t>formal</w:t>
            </w:r>
            <w:r w:rsidR="000304A5">
              <w:rPr>
                <w:rFonts w:ascii="Verdana" w:hAnsi="Verdana"/>
                <w:sz w:val="20"/>
                <w:szCs w:val="20"/>
              </w:rPr>
              <w:t xml:space="preserve"> a</w:t>
            </w:r>
            <w:r w:rsidR="00132F66" w:rsidRPr="00132F66">
              <w:rPr>
                <w:rFonts w:ascii="Verdana" w:hAnsi="Verdana"/>
                <w:sz w:val="20"/>
                <w:szCs w:val="20"/>
              </w:rPr>
              <w:t>ssessments were undertaken</w:t>
            </w:r>
            <w:r w:rsidR="002C62B8">
              <w:rPr>
                <w:rFonts w:ascii="Verdana" w:hAnsi="Verdana"/>
                <w:sz w:val="20"/>
                <w:szCs w:val="20"/>
              </w:rPr>
              <w:t>,</w:t>
            </w:r>
            <w:r w:rsidR="00132F66" w:rsidRPr="00132F66">
              <w:rPr>
                <w:rFonts w:ascii="Verdana" w:hAnsi="Verdana"/>
                <w:sz w:val="20"/>
                <w:szCs w:val="20"/>
              </w:rPr>
              <w:t xml:space="preserve"> or</w:t>
            </w:r>
            <w:r w:rsidR="000304A5">
              <w:rPr>
                <w:rFonts w:ascii="Verdana" w:hAnsi="Verdana"/>
                <w:sz w:val="20"/>
                <w:szCs w:val="20"/>
              </w:rPr>
              <w:t xml:space="preserve"> </w:t>
            </w:r>
            <w:r w:rsidR="003240A7">
              <w:rPr>
                <w:rFonts w:ascii="Verdana" w:hAnsi="Verdana"/>
                <w:sz w:val="20"/>
                <w:szCs w:val="20"/>
              </w:rPr>
              <w:t>that any</w:t>
            </w:r>
            <w:r w:rsidR="002C62B8">
              <w:rPr>
                <w:rFonts w:ascii="Verdana" w:hAnsi="Verdana"/>
                <w:sz w:val="20"/>
                <w:szCs w:val="20"/>
              </w:rPr>
              <w:t xml:space="preserve"> lessons</w:t>
            </w:r>
            <w:r w:rsidR="000304A5">
              <w:rPr>
                <w:rFonts w:ascii="Verdana" w:hAnsi="Verdana"/>
                <w:sz w:val="20"/>
                <w:szCs w:val="20"/>
              </w:rPr>
              <w:t xml:space="preserve"> learn</w:t>
            </w:r>
            <w:r w:rsidR="003240A7">
              <w:rPr>
                <w:rFonts w:ascii="Verdana" w:hAnsi="Verdana"/>
                <w:sz w:val="20"/>
                <w:szCs w:val="20"/>
              </w:rPr>
              <w:t>ed</w:t>
            </w:r>
            <w:r w:rsidR="002C62B8">
              <w:rPr>
                <w:rFonts w:ascii="Verdana" w:hAnsi="Verdana"/>
                <w:sz w:val="20"/>
                <w:szCs w:val="20"/>
              </w:rPr>
              <w:t xml:space="preserve"> </w:t>
            </w:r>
            <w:r w:rsidR="003240A7">
              <w:rPr>
                <w:rFonts w:ascii="Verdana" w:hAnsi="Verdana"/>
                <w:sz w:val="20"/>
                <w:szCs w:val="20"/>
              </w:rPr>
              <w:t xml:space="preserve">were </w:t>
            </w:r>
            <w:r w:rsidR="00132F66" w:rsidRPr="00132F66">
              <w:rPr>
                <w:rFonts w:ascii="Verdana" w:hAnsi="Verdana"/>
                <w:sz w:val="20"/>
                <w:szCs w:val="20"/>
              </w:rPr>
              <w:t xml:space="preserve">shared with the UEC </w:t>
            </w:r>
            <w:r w:rsidR="00821FF1">
              <w:rPr>
                <w:rFonts w:ascii="Verdana" w:hAnsi="Verdana"/>
                <w:sz w:val="20"/>
                <w:szCs w:val="20"/>
              </w:rPr>
              <w:t xml:space="preserve">Programme </w:t>
            </w:r>
            <w:r w:rsidR="00132F66" w:rsidRPr="00132F66">
              <w:rPr>
                <w:rFonts w:ascii="Verdana" w:hAnsi="Verdana"/>
                <w:sz w:val="20"/>
                <w:szCs w:val="20"/>
              </w:rPr>
              <w:t>Board.</w:t>
            </w:r>
          </w:p>
        </w:tc>
        <w:tc>
          <w:tcPr>
            <w:tcW w:w="2260" w:type="dxa"/>
            <w:vMerge w:val="restart"/>
            <w:tcBorders>
              <w:top w:val="nil"/>
            </w:tcBorders>
            <w:shd w:val="clear" w:color="auto" w:fill="FFFFFF" w:themeFill="background1"/>
          </w:tcPr>
          <w:p w14:paraId="16FFD21D" w14:textId="43A8C6AA" w:rsidR="00FA2A0C" w:rsidRPr="00822DC5" w:rsidRDefault="0034547F" w:rsidP="00FA2A0C">
            <w:pPr>
              <w:spacing w:before="120" w:after="120" w:line="22" w:lineRule="atLeast"/>
              <w:rPr>
                <w:rFonts w:ascii="Verdana" w:hAnsi="Verdana"/>
                <w:sz w:val="20"/>
                <w:szCs w:val="20"/>
              </w:rPr>
            </w:pPr>
            <w:r>
              <w:rPr>
                <w:rFonts w:ascii="Verdana" w:hAnsi="Verdana"/>
                <w:sz w:val="20"/>
                <w:szCs w:val="20"/>
              </w:rPr>
              <w:t xml:space="preserve">Lack of consistent </w:t>
            </w:r>
            <w:r w:rsidR="005E689B">
              <w:rPr>
                <w:rFonts w:ascii="Verdana" w:hAnsi="Verdana"/>
                <w:sz w:val="20"/>
                <w:szCs w:val="20"/>
              </w:rPr>
              <w:t>reporting of action status and failure to address criteria may</w:t>
            </w:r>
            <w:r w:rsidR="00A6673D">
              <w:rPr>
                <w:rFonts w:ascii="Verdana" w:hAnsi="Verdana"/>
                <w:sz w:val="20"/>
                <w:szCs w:val="20"/>
              </w:rPr>
              <w:t xml:space="preserve"> </w:t>
            </w:r>
            <w:r w:rsidR="009F087F">
              <w:rPr>
                <w:rFonts w:ascii="Verdana" w:hAnsi="Verdana"/>
                <w:sz w:val="20"/>
                <w:szCs w:val="20"/>
              </w:rPr>
              <w:t xml:space="preserve">increase the risk of repeated service pressures and </w:t>
            </w:r>
            <w:r w:rsidR="00A6673D">
              <w:rPr>
                <w:rFonts w:ascii="Verdana" w:hAnsi="Verdana"/>
                <w:sz w:val="20"/>
                <w:szCs w:val="20"/>
              </w:rPr>
              <w:t>impact future de-escalation</w:t>
            </w:r>
            <w:r w:rsidR="00456CCB">
              <w:rPr>
                <w:rFonts w:ascii="Verdana" w:hAnsi="Verdana"/>
                <w:sz w:val="20"/>
                <w:szCs w:val="20"/>
              </w:rPr>
              <w:t>.</w:t>
            </w:r>
          </w:p>
        </w:tc>
        <w:tc>
          <w:tcPr>
            <w:tcW w:w="6710" w:type="dxa"/>
            <w:tcBorders>
              <w:top w:val="nil"/>
              <w:right w:val="nil"/>
            </w:tcBorders>
            <w:shd w:val="clear" w:color="auto" w:fill="FFFFFF" w:themeFill="background1"/>
          </w:tcPr>
          <w:p w14:paraId="4A492077" w14:textId="77777777" w:rsidR="00FA2A0C" w:rsidRPr="00822DC5" w:rsidRDefault="00FA2A0C" w:rsidP="00FA2A0C">
            <w:pPr>
              <w:spacing w:before="120" w:after="120"/>
              <w:rPr>
                <w:rFonts w:ascii="Verdana" w:hAnsi="Verdana"/>
                <w:b/>
                <w:bCs/>
                <w:sz w:val="20"/>
                <w:szCs w:val="20"/>
              </w:rPr>
            </w:pPr>
            <w:r w:rsidRPr="00822DC5">
              <w:rPr>
                <w:rFonts w:ascii="Verdana" w:hAnsi="Verdana"/>
                <w:b/>
                <w:bCs/>
                <w:sz w:val="20"/>
                <w:szCs w:val="20"/>
              </w:rPr>
              <w:t>Agreed Action:</w:t>
            </w:r>
          </w:p>
          <w:p w14:paraId="77E7ADCA" w14:textId="77777777" w:rsidR="00FA2A0C" w:rsidRPr="00ED52EC" w:rsidRDefault="000E596C" w:rsidP="006A122D">
            <w:pPr>
              <w:numPr>
                <w:ilvl w:val="0"/>
                <w:numId w:val="5"/>
              </w:numPr>
              <w:spacing w:before="120" w:after="120"/>
              <w:rPr>
                <w:rFonts w:ascii="Verdana" w:hAnsi="Verdana"/>
                <w:i/>
                <w:sz w:val="20"/>
                <w:szCs w:val="20"/>
              </w:rPr>
            </w:pPr>
            <w:r w:rsidRPr="00ED52EC">
              <w:rPr>
                <w:rFonts w:ascii="Verdana" w:hAnsi="Verdana"/>
                <w:i/>
                <w:sz w:val="20"/>
                <w:szCs w:val="20"/>
              </w:rPr>
              <w:t>Ensure that progress on the Community Services Review is consistently reported to the Board, including timelines, deliverables, and outputs from the commissioned external review</w:t>
            </w:r>
          </w:p>
          <w:p w14:paraId="0363BB92" w14:textId="415FCE65" w:rsidR="00892A5D" w:rsidRPr="00822DC5" w:rsidRDefault="00892A5D" w:rsidP="006A122D">
            <w:pPr>
              <w:numPr>
                <w:ilvl w:val="0"/>
                <w:numId w:val="5"/>
              </w:numPr>
              <w:spacing w:before="120" w:after="120"/>
              <w:rPr>
                <w:rFonts w:ascii="Verdana" w:hAnsi="Verdana"/>
                <w:sz w:val="20"/>
                <w:szCs w:val="20"/>
              </w:rPr>
            </w:pPr>
            <w:r w:rsidRPr="00ED52EC">
              <w:rPr>
                <w:rFonts w:ascii="Verdana" w:hAnsi="Verdana"/>
                <w:i/>
                <w:sz w:val="20"/>
                <w:szCs w:val="20"/>
              </w:rPr>
              <w:t>Implement a structured assessment process for</w:t>
            </w:r>
            <w:r w:rsidR="00832F82" w:rsidRPr="00ED52EC">
              <w:rPr>
                <w:rFonts w:ascii="Verdana" w:hAnsi="Verdana"/>
                <w:i/>
                <w:sz w:val="20"/>
                <w:szCs w:val="20"/>
              </w:rPr>
              <w:t xml:space="preserve"> future </w:t>
            </w:r>
            <w:r w:rsidRPr="00ED52EC">
              <w:rPr>
                <w:rFonts w:ascii="Verdana" w:hAnsi="Verdana"/>
                <w:i/>
                <w:sz w:val="20"/>
                <w:szCs w:val="20"/>
              </w:rPr>
              <w:t xml:space="preserve">BCIs, including root cause analysis, actions taken, and lessons learned, in line with UEC de-escalation criteria, which are reported to the UEC </w:t>
            </w:r>
            <w:r w:rsidR="008D6F36" w:rsidRPr="00ED52EC">
              <w:rPr>
                <w:rFonts w:ascii="Verdana" w:hAnsi="Verdana"/>
                <w:i/>
                <w:sz w:val="20"/>
                <w:szCs w:val="20"/>
              </w:rPr>
              <w:t>Programme Board.</w:t>
            </w:r>
          </w:p>
        </w:tc>
      </w:tr>
      <w:tr w:rsidR="002B1E70" w:rsidRPr="00822DC5" w14:paraId="0F9EB0C8" w14:textId="77777777" w:rsidTr="006E3B53">
        <w:trPr>
          <w:trHeight w:val="341"/>
        </w:trPr>
        <w:tc>
          <w:tcPr>
            <w:tcW w:w="566" w:type="dxa"/>
            <w:vMerge/>
            <w:tcBorders>
              <w:left w:val="nil"/>
            </w:tcBorders>
            <w:shd w:val="clear" w:color="auto" w:fill="FFFFFF" w:themeFill="background1"/>
          </w:tcPr>
          <w:p w14:paraId="6A21984F" w14:textId="77777777" w:rsidR="00FA2A0C" w:rsidRPr="00822DC5" w:rsidRDefault="00FA2A0C" w:rsidP="00FA2A0C">
            <w:pPr>
              <w:spacing w:before="120" w:after="120" w:line="22" w:lineRule="atLeast"/>
              <w:jc w:val="center"/>
              <w:rPr>
                <w:rFonts w:ascii="Verdana" w:hAnsi="Verdana"/>
                <w:sz w:val="20"/>
                <w:szCs w:val="20"/>
              </w:rPr>
            </w:pPr>
          </w:p>
        </w:tc>
        <w:tc>
          <w:tcPr>
            <w:tcW w:w="6630" w:type="dxa"/>
            <w:vMerge/>
            <w:shd w:val="clear" w:color="auto" w:fill="FFFFFF" w:themeFill="background1"/>
          </w:tcPr>
          <w:p w14:paraId="25DD06F6" w14:textId="77777777" w:rsidR="00FA2A0C" w:rsidRPr="00822DC5" w:rsidRDefault="00FA2A0C" w:rsidP="00FA2A0C">
            <w:pPr>
              <w:spacing w:before="120" w:after="120" w:line="22" w:lineRule="atLeast"/>
              <w:rPr>
                <w:rFonts w:ascii="Verdana" w:hAnsi="Verdana"/>
                <w:sz w:val="20"/>
                <w:szCs w:val="20"/>
              </w:rPr>
            </w:pPr>
          </w:p>
        </w:tc>
        <w:tc>
          <w:tcPr>
            <w:tcW w:w="2260" w:type="dxa"/>
            <w:vMerge/>
            <w:tcBorders>
              <w:bottom w:val="dotted" w:sz="4" w:space="0" w:color="002060"/>
            </w:tcBorders>
            <w:shd w:val="clear" w:color="auto" w:fill="FFFFFF" w:themeFill="background1"/>
            <w:vAlign w:val="center"/>
          </w:tcPr>
          <w:p w14:paraId="2B60D34D" w14:textId="77777777" w:rsidR="00FA2A0C" w:rsidRPr="00822DC5" w:rsidRDefault="00FA2A0C" w:rsidP="00FA2A0C">
            <w:pPr>
              <w:spacing w:before="120" w:after="120" w:line="22" w:lineRule="atLeast"/>
              <w:jc w:val="center"/>
              <w:rPr>
                <w:rFonts w:ascii="Verdana" w:hAnsi="Verdana"/>
                <w:sz w:val="20"/>
                <w:szCs w:val="20"/>
              </w:rPr>
            </w:pPr>
          </w:p>
        </w:tc>
        <w:tc>
          <w:tcPr>
            <w:tcW w:w="6710" w:type="dxa"/>
            <w:tcBorders>
              <w:right w:val="nil"/>
            </w:tcBorders>
            <w:shd w:val="clear" w:color="auto" w:fill="FFFFFF" w:themeFill="background1"/>
          </w:tcPr>
          <w:p w14:paraId="3111500B" w14:textId="77777777" w:rsidR="00FA2A0C" w:rsidRPr="00822DC5" w:rsidRDefault="00FA2A0C" w:rsidP="00FA2A0C">
            <w:pPr>
              <w:spacing w:before="120" w:after="120"/>
              <w:rPr>
                <w:rFonts w:ascii="Verdana" w:hAnsi="Verdana"/>
                <w:b/>
                <w:bCs/>
                <w:sz w:val="20"/>
                <w:szCs w:val="20"/>
              </w:rPr>
            </w:pPr>
            <w:r w:rsidRPr="00822DC5">
              <w:rPr>
                <w:rFonts w:ascii="Verdana" w:hAnsi="Verdana"/>
                <w:b/>
                <w:bCs/>
                <w:sz w:val="20"/>
                <w:szCs w:val="20"/>
              </w:rPr>
              <w:t>Expected Evidence of Implementation:</w:t>
            </w:r>
          </w:p>
          <w:p w14:paraId="611ADF3D" w14:textId="7CE035E8" w:rsidR="00FA2A0C" w:rsidRPr="00ED52EC" w:rsidRDefault="00D63C53" w:rsidP="00ED52EC">
            <w:pPr>
              <w:spacing w:before="120" w:after="120" w:line="22" w:lineRule="atLeast"/>
              <w:jc w:val="both"/>
              <w:rPr>
                <w:rFonts w:ascii="Verdana" w:hAnsi="Verdana"/>
                <w:i/>
                <w:sz w:val="20"/>
                <w:szCs w:val="20"/>
              </w:rPr>
            </w:pPr>
            <w:r w:rsidRPr="00ED52EC">
              <w:rPr>
                <w:rFonts w:ascii="Verdana" w:hAnsi="Verdana"/>
                <w:i/>
                <w:sz w:val="20"/>
                <w:szCs w:val="20"/>
              </w:rPr>
              <w:t xml:space="preserve">Board papers </w:t>
            </w:r>
            <w:r w:rsidR="00FD087E" w:rsidRPr="00ED52EC">
              <w:rPr>
                <w:rFonts w:ascii="Verdana" w:hAnsi="Verdana"/>
                <w:i/>
                <w:sz w:val="20"/>
                <w:szCs w:val="20"/>
              </w:rPr>
              <w:t xml:space="preserve">confirming </w:t>
            </w:r>
            <w:r w:rsidR="00394013" w:rsidRPr="00ED52EC">
              <w:rPr>
                <w:rFonts w:ascii="Verdana" w:hAnsi="Verdana"/>
                <w:i/>
                <w:sz w:val="20"/>
                <w:szCs w:val="20"/>
              </w:rPr>
              <w:t>continuation of the action</w:t>
            </w:r>
            <w:r w:rsidRPr="00ED52EC">
              <w:rPr>
                <w:i/>
              </w:rPr>
              <w:t xml:space="preserve"> with t</w:t>
            </w:r>
            <w:r w:rsidRPr="00ED52EC">
              <w:rPr>
                <w:rFonts w:ascii="Verdana" w:hAnsi="Verdana"/>
                <w:i/>
                <w:sz w:val="20"/>
                <w:szCs w:val="20"/>
              </w:rPr>
              <w:t>imeline/</w:t>
            </w:r>
            <w:r w:rsidR="00DA613E" w:rsidRPr="00ED52EC">
              <w:rPr>
                <w:rFonts w:ascii="Verdana" w:hAnsi="Verdana"/>
                <w:i/>
                <w:sz w:val="20"/>
                <w:szCs w:val="20"/>
              </w:rPr>
              <w:t>status</w:t>
            </w:r>
            <w:r w:rsidRPr="00ED52EC">
              <w:rPr>
                <w:rFonts w:ascii="Verdana" w:hAnsi="Verdana"/>
                <w:i/>
                <w:sz w:val="20"/>
                <w:szCs w:val="20"/>
              </w:rPr>
              <w:t xml:space="preserve"> </w:t>
            </w:r>
            <w:r w:rsidR="00394013" w:rsidRPr="00ED52EC">
              <w:rPr>
                <w:rFonts w:ascii="Verdana" w:hAnsi="Verdana"/>
                <w:i/>
                <w:sz w:val="20"/>
                <w:szCs w:val="20"/>
              </w:rPr>
              <w:t>until completion</w:t>
            </w:r>
            <w:r w:rsidR="00DA613E" w:rsidRPr="00ED52EC">
              <w:rPr>
                <w:rFonts w:ascii="Verdana" w:hAnsi="Verdana"/>
                <w:i/>
                <w:sz w:val="20"/>
                <w:szCs w:val="20"/>
              </w:rPr>
              <w:t>.</w:t>
            </w:r>
          </w:p>
          <w:p w14:paraId="557F5F2B" w14:textId="77777777" w:rsidR="00DA613E" w:rsidRPr="00ED52EC" w:rsidRDefault="00832F82" w:rsidP="00ED52EC">
            <w:pPr>
              <w:spacing w:before="120" w:after="120" w:line="22" w:lineRule="atLeast"/>
              <w:jc w:val="both"/>
              <w:rPr>
                <w:rFonts w:ascii="Verdana" w:hAnsi="Verdana"/>
                <w:i/>
                <w:sz w:val="20"/>
                <w:szCs w:val="20"/>
              </w:rPr>
            </w:pPr>
            <w:r w:rsidRPr="00ED52EC">
              <w:rPr>
                <w:rFonts w:ascii="Verdana" w:hAnsi="Verdana"/>
                <w:i/>
                <w:sz w:val="20"/>
                <w:szCs w:val="20"/>
              </w:rPr>
              <w:t>UEC Programme Board minutes referencing BCI assessments</w:t>
            </w:r>
          </w:p>
          <w:p w14:paraId="34933D2D" w14:textId="584269C5" w:rsidR="00FD087E" w:rsidRPr="00822DC5" w:rsidRDefault="00FD087E" w:rsidP="00ED52EC">
            <w:pPr>
              <w:spacing w:before="120" w:after="120" w:line="22" w:lineRule="atLeast"/>
              <w:jc w:val="both"/>
              <w:rPr>
                <w:rFonts w:ascii="Verdana" w:hAnsi="Verdana"/>
                <w:sz w:val="20"/>
                <w:szCs w:val="20"/>
              </w:rPr>
            </w:pPr>
            <w:r w:rsidRPr="00ED52EC">
              <w:rPr>
                <w:rFonts w:ascii="Verdana" w:hAnsi="Verdana"/>
                <w:i/>
                <w:sz w:val="20"/>
                <w:szCs w:val="20"/>
              </w:rPr>
              <w:t>Action logs showing implementation of lessons learned</w:t>
            </w:r>
          </w:p>
        </w:tc>
      </w:tr>
      <w:tr w:rsidR="002B1E70" w:rsidRPr="00822DC5" w14:paraId="027A841C" w14:textId="77777777" w:rsidTr="006E3B53">
        <w:trPr>
          <w:trHeight w:val="636"/>
        </w:trPr>
        <w:tc>
          <w:tcPr>
            <w:tcW w:w="566" w:type="dxa"/>
            <w:vMerge/>
            <w:tcBorders>
              <w:left w:val="nil"/>
            </w:tcBorders>
            <w:shd w:val="clear" w:color="auto" w:fill="FFFFFF" w:themeFill="background1"/>
          </w:tcPr>
          <w:p w14:paraId="55F09C6E" w14:textId="77777777" w:rsidR="00FA2A0C" w:rsidRPr="00822DC5" w:rsidRDefault="00FA2A0C" w:rsidP="00FA2A0C">
            <w:pPr>
              <w:spacing w:before="120" w:after="120" w:line="22" w:lineRule="atLeast"/>
              <w:jc w:val="center"/>
              <w:rPr>
                <w:rFonts w:ascii="Verdana" w:hAnsi="Verdana"/>
                <w:sz w:val="20"/>
                <w:szCs w:val="20"/>
              </w:rPr>
            </w:pPr>
          </w:p>
        </w:tc>
        <w:tc>
          <w:tcPr>
            <w:tcW w:w="6630" w:type="dxa"/>
            <w:vMerge/>
            <w:shd w:val="clear" w:color="auto" w:fill="FFFFFF" w:themeFill="background1"/>
          </w:tcPr>
          <w:p w14:paraId="0AAE1582" w14:textId="77777777" w:rsidR="00FA2A0C" w:rsidRPr="00822DC5" w:rsidRDefault="00FA2A0C" w:rsidP="00FA2A0C">
            <w:pPr>
              <w:spacing w:before="120" w:after="120" w:line="22" w:lineRule="atLeast"/>
              <w:rPr>
                <w:rFonts w:ascii="Verdana" w:hAnsi="Verdana" w:cs="Arial"/>
                <w:color w:val="002060"/>
                <w:sz w:val="20"/>
                <w:szCs w:val="20"/>
              </w:rPr>
            </w:pPr>
          </w:p>
        </w:tc>
        <w:tc>
          <w:tcPr>
            <w:tcW w:w="2260" w:type="dxa"/>
            <w:tcBorders>
              <w:bottom w:val="nil"/>
            </w:tcBorders>
            <w:shd w:val="clear" w:color="auto" w:fill="FFFF00"/>
            <w:vAlign w:val="center"/>
          </w:tcPr>
          <w:p w14:paraId="537BE522" w14:textId="55C78D57" w:rsidR="00FA2A0C" w:rsidRPr="00B005BA" w:rsidRDefault="00A51914" w:rsidP="00FA2A0C">
            <w:pPr>
              <w:spacing w:line="22" w:lineRule="atLeast"/>
              <w:jc w:val="center"/>
              <w:rPr>
                <w:rFonts w:ascii="Verdana" w:hAnsi="Verdana"/>
                <w:b/>
                <w:bCs/>
                <w:sz w:val="20"/>
                <w:szCs w:val="20"/>
              </w:rPr>
            </w:pPr>
            <w:r>
              <w:rPr>
                <w:rFonts w:ascii="Verdana" w:hAnsi="Verdana"/>
                <w:b/>
                <w:bCs/>
                <w:sz w:val="20"/>
                <w:szCs w:val="20"/>
              </w:rPr>
              <w:t xml:space="preserve"> </w:t>
            </w:r>
            <w:sdt>
              <w:sdtPr>
                <w:rPr>
                  <w:rFonts w:ascii="Verdana" w:hAnsi="Verdana"/>
                  <w:b/>
                  <w:bCs/>
                  <w:sz w:val="20"/>
                  <w:szCs w:val="20"/>
                </w:rPr>
                <w:alias w:val="Priority"/>
                <w:tag w:val="Priority"/>
                <w:id w:val="1156345225"/>
                <w:placeholder>
                  <w:docPart w:val="127CD407C7D74155BAF7BD99763BC21E"/>
                </w:placeholder>
                <w:dropDownList>
                  <w:listItem w:value="Choose an item."/>
                  <w:listItem w:displayText="High Priority" w:value="High Priority"/>
                  <w:listItem w:displayText="Medium Priority" w:value="Medium Priority"/>
                </w:dropDownList>
              </w:sdtPr>
              <w:sdtEndPr/>
              <w:sdtContent>
                <w:r w:rsidR="00B005BA" w:rsidRPr="00EF0682">
                  <w:rPr>
                    <w:rFonts w:ascii="Verdana" w:hAnsi="Verdana"/>
                    <w:b/>
                    <w:bCs/>
                    <w:sz w:val="20"/>
                    <w:szCs w:val="20"/>
                  </w:rPr>
                  <w:t>Medium Priority</w:t>
                </w:r>
              </w:sdtContent>
            </w:sdt>
          </w:p>
        </w:tc>
        <w:tc>
          <w:tcPr>
            <w:tcW w:w="6710" w:type="dxa"/>
            <w:vMerge w:val="restart"/>
            <w:tcBorders>
              <w:right w:val="nil"/>
            </w:tcBorders>
            <w:shd w:val="clear" w:color="auto" w:fill="FFFFFF" w:themeFill="background1"/>
            <w:vAlign w:val="center"/>
          </w:tcPr>
          <w:p w14:paraId="25BDE189" w14:textId="572BC831" w:rsidR="00FA2A0C" w:rsidRPr="00822DC5" w:rsidRDefault="00FA2A0C" w:rsidP="00FA2A0C">
            <w:pPr>
              <w:spacing w:before="120" w:after="120"/>
              <w:rPr>
                <w:rFonts w:ascii="Verdana" w:hAnsi="Verdana"/>
                <w:b/>
                <w:bCs/>
                <w:sz w:val="20"/>
                <w:szCs w:val="20"/>
              </w:rPr>
            </w:pPr>
            <w:r w:rsidRPr="00822DC5">
              <w:rPr>
                <w:rFonts w:ascii="Verdana" w:hAnsi="Verdana"/>
                <w:b/>
                <w:bCs/>
                <w:sz w:val="20"/>
                <w:szCs w:val="20"/>
              </w:rPr>
              <w:t xml:space="preserve">Officer: </w:t>
            </w:r>
            <w:r w:rsidR="0049167B">
              <w:rPr>
                <w:rFonts w:ascii="Verdana" w:hAnsi="Verdana"/>
                <w:b/>
                <w:bCs/>
                <w:sz w:val="20"/>
                <w:szCs w:val="20"/>
              </w:rPr>
              <w:t>Associate Director Unscheduled Care</w:t>
            </w:r>
          </w:p>
          <w:p w14:paraId="7858D1EE" w14:textId="3E805FD5" w:rsidR="00FA2A0C" w:rsidRPr="00822DC5" w:rsidRDefault="00800E34" w:rsidP="00FA2A0C">
            <w:pPr>
              <w:spacing w:before="120" w:after="120" w:line="22" w:lineRule="atLeast"/>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r w:rsidR="00855BE1">
              <w:rPr>
                <w:rFonts w:ascii="Verdana" w:hAnsi="Verdana"/>
                <w:b/>
                <w:bCs/>
                <w:sz w:val="20"/>
                <w:szCs w:val="20"/>
              </w:rPr>
              <w:t xml:space="preserve"> June 2026</w:t>
            </w:r>
          </w:p>
        </w:tc>
      </w:tr>
      <w:tr w:rsidR="002B1E70" w:rsidRPr="00822DC5" w14:paraId="6B37A9FA" w14:textId="77777777" w:rsidTr="00F140F0">
        <w:trPr>
          <w:trHeight w:hRule="exact" w:val="567"/>
        </w:trPr>
        <w:tc>
          <w:tcPr>
            <w:tcW w:w="566" w:type="dxa"/>
            <w:vMerge/>
            <w:tcBorders>
              <w:left w:val="nil"/>
              <w:bottom w:val="dotted" w:sz="4" w:space="0" w:color="002060"/>
            </w:tcBorders>
            <w:shd w:val="clear" w:color="auto" w:fill="FFFFFF" w:themeFill="background1"/>
          </w:tcPr>
          <w:p w14:paraId="312AE856" w14:textId="77777777" w:rsidR="007C3A55" w:rsidRPr="00822DC5" w:rsidRDefault="007C3A55" w:rsidP="007C3A55">
            <w:pPr>
              <w:spacing w:before="120" w:after="120" w:line="22" w:lineRule="atLeast"/>
              <w:jc w:val="center"/>
              <w:rPr>
                <w:rFonts w:ascii="Verdana" w:hAnsi="Verdana"/>
                <w:sz w:val="20"/>
                <w:szCs w:val="20"/>
              </w:rPr>
            </w:pPr>
          </w:p>
        </w:tc>
        <w:tc>
          <w:tcPr>
            <w:tcW w:w="6630" w:type="dxa"/>
            <w:shd w:val="clear" w:color="auto" w:fill="FFFFFF" w:themeFill="background1"/>
            <w:vAlign w:val="center"/>
          </w:tcPr>
          <w:p w14:paraId="561FEDA1" w14:textId="026C7D47" w:rsidR="007C3A55" w:rsidRPr="00822DC5" w:rsidRDefault="007C3A55" w:rsidP="007C3A55">
            <w:pPr>
              <w:spacing w:line="22" w:lineRule="atLeast"/>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670871520"/>
                <w:placeholder>
                  <w:docPart w:val="10885EA0F55F4A178662479A31AEF777"/>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471311">
                  <w:rPr>
                    <w:rStyle w:val="Themes"/>
                    <w:szCs w:val="20"/>
                  </w:rPr>
                  <w:t>Performance Monitoring</w:t>
                </w:r>
              </w:sdtContent>
            </w:sdt>
          </w:p>
        </w:tc>
        <w:sdt>
          <w:sdtPr>
            <w:rPr>
              <w:rFonts w:ascii="Verdana" w:hAnsi="Verdana"/>
              <w:sz w:val="20"/>
              <w:szCs w:val="20"/>
            </w:rPr>
            <w:alias w:val="Design/Operation"/>
            <w:tag w:val="Design/Operation"/>
            <w:id w:val="-1840373492"/>
            <w:placeholder>
              <w:docPart w:val="31CBBDDC6E0B477F8A78CC99C7963453"/>
            </w:placeholder>
            <w:dropDownList>
              <w:listItem w:value="Choose an item."/>
              <w:listItem w:displayText="Control Design " w:value="Control Design "/>
              <w:listItem w:displayText="Control Operation " w:value="Control Operation "/>
            </w:dropDownList>
          </w:sdtPr>
          <w:sdtEndPr/>
          <w:sdtContent>
            <w:tc>
              <w:tcPr>
                <w:tcW w:w="2260" w:type="dxa"/>
                <w:tcBorders>
                  <w:top w:val="nil"/>
                </w:tcBorders>
                <w:shd w:val="clear" w:color="auto" w:fill="FFFFFF" w:themeFill="background1"/>
                <w:vAlign w:val="center"/>
              </w:tcPr>
              <w:p w14:paraId="21EC27C9" w14:textId="356234A5" w:rsidR="007C3A55" w:rsidRPr="00822DC5" w:rsidRDefault="002C6360" w:rsidP="007C3A55">
                <w:pPr>
                  <w:spacing w:line="22" w:lineRule="atLeast"/>
                  <w:jc w:val="center"/>
                  <w:rPr>
                    <w:rFonts w:ascii="Verdana" w:hAnsi="Verdana"/>
                    <w:sz w:val="20"/>
                    <w:szCs w:val="20"/>
                  </w:rPr>
                </w:pPr>
                <w:r>
                  <w:rPr>
                    <w:rFonts w:ascii="Verdana" w:hAnsi="Verdana"/>
                    <w:sz w:val="20"/>
                    <w:szCs w:val="20"/>
                  </w:rPr>
                  <w:t xml:space="preserve">Control Operation </w:t>
                </w:r>
              </w:p>
            </w:tc>
          </w:sdtContent>
        </w:sdt>
        <w:tc>
          <w:tcPr>
            <w:tcW w:w="6710" w:type="dxa"/>
            <w:vMerge/>
            <w:tcBorders>
              <w:right w:val="nil"/>
            </w:tcBorders>
            <w:shd w:val="clear" w:color="auto" w:fill="FFFFFF" w:themeFill="background1"/>
          </w:tcPr>
          <w:p w14:paraId="7BBF0BE1" w14:textId="77777777" w:rsidR="007C3A55" w:rsidRPr="00822DC5" w:rsidRDefault="007C3A55" w:rsidP="007C3A55">
            <w:pPr>
              <w:spacing w:before="120" w:after="120" w:line="22" w:lineRule="atLeast"/>
              <w:rPr>
                <w:rFonts w:ascii="Verdana" w:hAnsi="Verdana"/>
                <w:sz w:val="20"/>
                <w:szCs w:val="20"/>
              </w:rPr>
            </w:pPr>
          </w:p>
        </w:tc>
      </w:tr>
      <w:tr w:rsidR="002B1E70" w:rsidRPr="00822DC5" w14:paraId="657D170E" w14:textId="77777777" w:rsidTr="0090332C">
        <w:trPr>
          <w:trHeight w:val="3825"/>
        </w:trPr>
        <w:tc>
          <w:tcPr>
            <w:tcW w:w="566" w:type="dxa"/>
            <w:vMerge w:val="restart"/>
            <w:tcBorders>
              <w:top w:val="dotted" w:sz="4" w:space="0" w:color="002060"/>
              <w:left w:val="nil"/>
            </w:tcBorders>
            <w:shd w:val="clear" w:color="auto" w:fill="FFFFFF" w:themeFill="background1"/>
          </w:tcPr>
          <w:p w14:paraId="5180C3BF" w14:textId="22B0D94D" w:rsidR="008954C0" w:rsidRPr="00822DC5" w:rsidRDefault="008954C0" w:rsidP="008954C0">
            <w:pPr>
              <w:spacing w:before="120" w:after="120" w:line="22" w:lineRule="atLeast"/>
              <w:jc w:val="center"/>
              <w:rPr>
                <w:rFonts w:ascii="Verdana" w:hAnsi="Verdana"/>
                <w:sz w:val="20"/>
                <w:szCs w:val="20"/>
              </w:rPr>
            </w:pPr>
            <w:r>
              <w:rPr>
                <w:rFonts w:ascii="Verdana" w:hAnsi="Verdana"/>
                <w:sz w:val="20"/>
                <w:szCs w:val="20"/>
              </w:rPr>
              <w:lastRenderedPageBreak/>
              <w:t>6</w:t>
            </w:r>
          </w:p>
        </w:tc>
        <w:tc>
          <w:tcPr>
            <w:tcW w:w="6630" w:type="dxa"/>
            <w:vMerge w:val="restart"/>
            <w:tcBorders>
              <w:top w:val="dotted" w:sz="4" w:space="0" w:color="002060"/>
            </w:tcBorders>
            <w:shd w:val="clear" w:color="auto" w:fill="FFFFFF" w:themeFill="background1"/>
          </w:tcPr>
          <w:p w14:paraId="7CD688B2" w14:textId="4C53DFB7" w:rsidR="008954C0" w:rsidRPr="009B36B3" w:rsidRDefault="006F6D9A" w:rsidP="008954C0">
            <w:pPr>
              <w:spacing w:before="120" w:after="120" w:line="22" w:lineRule="atLeast"/>
              <w:jc w:val="both"/>
              <w:rPr>
                <w:rFonts w:ascii="Verdana" w:hAnsi="Verdana"/>
                <w:b/>
                <w:bCs/>
                <w:sz w:val="20"/>
                <w:szCs w:val="20"/>
              </w:rPr>
            </w:pPr>
            <w:r>
              <w:rPr>
                <w:rFonts w:ascii="Verdana" w:hAnsi="Verdana"/>
                <w:b/>
                <w:bCs/>
                <w:sz w:val="20"/>
                <w:szCs w:val="20"/>
              </w:rPr>
              <w:t xml:space="preserve">Repetition and Gaps </w:t>
            </w:r>
            <w:r w:rsidR="00323735">
              <w:rPr>
                <w:rFonts w:ascii="Verdana" w:hAnsi="Verdana"/>
                <w:b/>
                <w:bCs/>
                <w:sz w:val="20"/>
                <w:szCs w:val="20"/>
              </w:rPr>
              <w:t xml:space="preserve">in </w:t>
            </w:r>
            <w:r w:rsidR="008954C0" w:rsidRPr="009B36B3">
              <w:rPr>
                <w:rFonts w:ascii="Verdana" w:hAnsi="Verdana"/>
                <w:b/>
                <w:bCs/>
                <w:sz w:val="20"/>
                <w:szCs w:val="20"/>
              </w:rPr>
              <w:t xml:space="preserve">Planned Care </w:t>
            </w:r>
            <w:r w:rsidR="00323735">
              <w:rPr>
                <w:rFonts w:ascii="Verdana" w:hAnsi="Verdana"/>
                <w:b/>
                <w:bCs/>
                <w:sz w:val="20"/>
                <w:szCs w:val="20"/>
              </w:rPr>
              <w:t>D</w:t>
            </w:r>
            <w:r w:rsidR="00323735" w:rsidRPr="009B36B3">
              <w:rPr>
                <w:rFonts w:ascii="Verdana" w:hAnsi="Verdana"/>
                <w:b/>
                <w:bCs/>
                <w:sz w:val="20"/>
                <w:szCs w:val="20"/>
              </w:rPr>
              <w:t>e</w:t>
            </w:r>
            <w:r w:rsidR="008954C0" w:rsidRPr="009B36B3">
              <w:rPr>
                <w:rFonts w:ascii="Verdana" w:hAnsi="Verdana"/>
                <w:b/>
                <w:bCs/>
                <w:sz w:val="20"/>
                <w:szCs w:val="20"/>
              </w:rPr>
              <w:t>-escalation</w:t>
            </w:r>
            <w:r w:rsidR="00323735">
              <w:rPr>
                <w:rFonts w:ascii="Verdana" w:hAnsi="Verdana"/>
                <w:b/>
                <w:bCs/>
                <w:sz w:val="20"/>
                <w:szCs w:val="20"/>
              </w:rPr>
              <w:t xml:space="preserve"> Reporting</w:t>
            </w:r>
          </w:p>
          <w:p w14:paraId="4D4720A1" w14:textId="401A3DED" w:rsidR="008954C0" w:rsidRDefault="008954C0" w:rsidP="008954C0">
            <w:pPr>
              <w:spacing w:before="120" w:after="120" w:line="22" w:lineRule="atLeast"/>
              <w:jc w:val="both"/>
              <w:rPr>
                <w:rFonts w:ascii="Verdana" w:hAnsi="Verdana"/>
                <w:sz w:val="20"/>
                <w:szCs w:val="20"/>
              </w:rPr>
            </w:pPr>
            <w:r w:rsidRPr="004F00C5">
              <w:rPr>
                <w:rFonts w:ascii="Verdana" w:hAnsi="Verdana"/>
                <w:sz w:val="20"/>
                <w:szCs w:val="20"/>
              </w:rPr>
              <w:t>Review of the July 2024 Targeted Intervention and May 2025 Escalation and Oversight reports identified</w:t>
            </w:r>
            <w:r>
              <w:rPr>
                <w:rFonts w:ascii="Verdana" w:hAnsi="Verdana"/>
                <w:sz w:val="20"/>
                <w:szCs w:val="20"/>
              </w:rPr>
              <w:t xml:space="preserve"> these contained the same actions listed under the heading of planned care, indicating</w:t>
            </w:r>
            <w:r w:rsidRPr="004F00C5">
              <w:rPr>
                <w:rFonts w:ascii="Verdana" w:hAnsi="Verdana"/>
                <w:sz w:val="20"/>
                <w:szCs w:val="20"/>
              </w:rPr>
              <w:t xml:space="preserve"> limited progression in the scope and specificity of reported actions. </w:t>
            </w:r>
          </w:p>
          <w:p w14:paraId="398CFF98" w14:textId="269E449D" w:rsidR="00726B11" w:rsidRDefault="008954C0" w:rsidP="00ED52EC">
            <w:pPr>
              <w:spacing w:before="120" w:after="120" w:line="22" w:lineRule="atLeast"/>
              <w:jc w:val="both"/>
              <w:rPr>
                <w:rFonts w:ascii="Verdana" w:hAnsi="Verdana"/>
                <w:sz w:val="20"/>
                <w:szCs w:val="20"/>
              </w:rPr>
            </w:pPr>
            <w:r w:rsidRPr="004F00C5">
              <w:rPr>
                <w:rFonts w:ascii="Verdana" w:hAnsi="Verdana"/>
                <w:sz w:val="20"/>
                <w:szCs w:val="20"/>
              </w:rPr>
              <w:t xml:space="preserve">The May 2025 report reiterated actions from the earlier report without substantive updates or revised </w:t>
            </w:r>
            <w:proofErr w:type="gramStart"/>
            <w:r w:rsidR="00881B4A" w:rsidRPr="004F00C5">
              <w:rPr>
                <w:rFonts w:ascii="Verdana" w:hAnsi="Verdana"/>
                <w:sz w:val="20"/>
                <w:szCs w:val="20"/>
              </w:rPr>
              <w:t>status</w:t>
            </w:r>
            <w:r w:rsidR="00DE2EA9">
              <w:rPr>
                <w:rFonts w:ascii="Verdana" w:hAnsi="Verdana"/>
                <w:sz w:val="20"/>
                <w:szCs w:val="20"/>
              </w:rPr>
              <w:t>,</w:t>
            </w:r>
            <w:r w:rsidR="00881B4A" w:rsidRPr="004F00C5">
              <w:rPr>
                <w:rFonts w:ascii="Verdana" w:hAnsi="Verdana"/>
                <w:sz w:val="20"/>
                <w:szCs w:val="20"/>
              </w:rPr>
              <w:t xml:space="preserve"> and</w:t>
            </w:r>
            <w:proofErr w:type="gramEnd"/>
            <w:r w:rsidRPr="004F00C5">
              <w:rPr>
                <w:rFonts w:ascii="Verdana" w:hAnsi="Verdana"/>
                <w:sz w:val="20"/>
                <w:szCs w:val="20"/>
              </w:rPr>
              <w:t xml:space="preserve"> continued to reference COO oversight meetings that had been stood down </w:t>
            </w:r>
            <w:r w:rsidR="00092D8C">
              <w:rPr>
                <w:rFonts w:ascii="Verdana" w:hAnsi="Verdana"/>
                <w:sz w:val="20"/>
                <w:szCs w:val="20"/>
              </w:rPr>
              <w:t xml:space="preserve">in </w:t>
            </w:r>
            <w:r w:rsidRPr="004F00C5">
              <w:rPr>
                <w:rFonts w:ascii="Verdana" w:hAnsi="Verdana"/>
                <w:sz w:val="20"/>
                <w:szCs w:val="20"/>
              </w:rPr>
              <w:t>December 2024</w:t>
            </w:r>
            <w:r w:rsidR="00092D8C">
              <w:rPr>
                <w:rFonts w:ascii="Verdana" w:hAnsi="Verdana"/>
                <w:sz w:val="20"/>
                <w:szCs w:val="20"/>
              </w:rPr>
              <w:t xml:space="preserve"> ahead of de-escalation</w:t>
            </w:r>
            <w:r w:rsidRPr="004F00C5">
              <w:rPr>
                <w:rFonts w:ascii="Verdana" w:hAnsi="Verdana"/>
                <w:sz w:val="20"/>
                <w:szCs w:val="20"/>
              </w:rPr>
              <w:t>.</w:t>
            </w:r>
            <w:r w:rsidR="00741842">
              <w:rPr>
                <w:rFonts w:ascii="Verdana" w:hAnsi="Verdana"/>
                <w:sz w:val="20"/>
                <w:szCs w:val="20"/>
              </w:rPr>
              <w:t xml:space="preserve"> </w:t>
            </w:r>
          </w:p>
          <w:p w14:paraId="174D0AB4" w14:textId="7CC72F76" w:rsidR="008954C0" w:rsidRPr="004004A8" w:rsidRDefault="00E9149A" w:rsidP="00ED52EC">
            <w:pPr>
              <w:spacing w:before="120" w:after="120" w:line="22" w:lineRule="atLeast"/>
              <w:jc w:val="both"/>
              <w:rPr>
                <w:rFonts w:ascii="Verdana" w:hAnsi="Verdana" w:cs="Arial"/>
                <w:sz w:val="20"/>
                <w:szCs w:val="20"/>
              </w:rPr>
            </w:pPr>
            <w:r>
              <w:rPr>
                <w:rFonts w:ascii="Verdana" w:hAnsi="Verdana"/>
                <w:sz w:val="20"/>
                <w:szCs w:val="20"/>
              </w:rPr>
              <w:t>The COO regularly p</w:t>
            </w:r>
            <w:r w:rsidR="00DB4C09">
              <w:rPr>
                <w:rFonts w:ascii="Verdana" w:hAnsi="Verdana"/>
                <w:sz w:val="20"/>
                <w:szCs w:val="20"/>
              </w:rPr>
              <w:t>resent</w:t>
            </w:r>
            <w:r>
              <w:rPr>
                <w:rFonts w:ascii="Verdana" w:hAnsi="Verdana"/>
                <w:sz w:val="20"/>
                <w:szCs w:val="20"/>
              </w:rPr>
              <w:t>s t</w:t>
            </w:r>
            <w:r w:rsidR="00DB4C09">
              <w:rPr>
                <w:rFonts w:ascii="Verdana" w:hAnsi="Verdana"/>
                <w:sz w:val="20"/>
                <w:szCs w:val="20"/>
              </w:rPr>
              <w:t xml:space="preserve">he </w:t>
            </w:r>
            <w:r w:rsidR="00D71270">
              <w:rPr>
                <w:rFonts w:ascii="Verdana" w:hAnsi="Verdana"/>
                <w:sz w:val="20"/>
                <w:szCs w:val="20"/>
              </w:rPr>
              <w:t>Escalation and Oversight report to PFC</w:t>
            </w:r>
            <w:r>
              <w:rPr>
                <w:rFonts w:ascii="Verdana" w:hAnsi="Verdana"/>
                <w:sz w:val="20"/>
                <w:szCs w:val="20"/>
              </w:rPr>
              <w:t xml:space="preserve"> and provides a summary of actions underway to support performance within planned care</w:t>
            </w:r>
            <w:r w:rsidR="00FB01B4">
              <w:rPr>
                <w:rFonts w:ascii="Verdana" w:hAnsi="Verdana"/>
                <w:sz w:val="20"/>
                <w:szCs w:val="20"/>
              </w:rPr>
              <w:t>.</w:t>
            </w:r>
            <w:r>
              <w:rPr>
                <w:rFonts w:ascii="Verdana" w:hAnsi="Verdana"/>
                <w:sz w:val="20"/>
                <w:szCs w:val="20"/>
              </w:rPr>
              <w:t xml:space="preserve"> </w:t>
            </w:r>
            <w:r w:rsidR="00FB01B4">
              <w:rPr>
                <w:rFonts w:ascii="Verdana" w:hAnsi="Verdana"/>
                <w:sz w:val="20"/>
                <w:szCs w:val="20"/>
              </w:rPr>
              <w:t>M</w:t>
            </w:r>
            <w:r>
              <w:rPr>
                <w:rFonts w:ascii="Verdana" w:hAnsi="Verdana"/>
                <w:sz w:val="20"/>
                <w:szCs w:val="20"/>
              </w:rPr>
              <w:t xml:space="preserve">ore recently these have included the </w:t>
            </w:r>
            <w:r w:rsidR="00B53C4C">
              <w:rPr>
                <w:rFonts w:ascii="Verdana" w:hAnsi="Verdana"/>
                <w:sz w:val="20"/>
                <w:szCs w:val="20"/>
              </w:rPr>
              <w:t>deployment of a mobile endoscopy unit</w:t>
            </w:r>
            <w:r w:rsidR="00726B11">
              <w:rPr>
                <w:rFonts w:ascii="Verdana" w:hAnsi="Verdana"/>
                <w:sz w:val="20"/>
                <w:szCs w:val="20"/>
              </w:rPr>
              <w:t xml:space="preserve"> to address </w:t>
            </w:r>
            <w:proofErr w:type="gramStart"/>
            <w:r w:rsidR="00726B11">
              <w:rPr>
                <w:rFonts w:ascii="Verdana" w:hAnsi="Verdana"/>
                <w:sz w:val="20"/>
                <w:szCs w:val="20"/>
              </w:rPr>
              <w:t>particular challenges</w:t>
            </w:r>
            <w:proofErr w:type="gramEnd"/>
            <w:r w:rsidR="00726B11">
              <w:rPr>
                <w:rFonts w:ascii="Verdana" w:hAnsi="Verdana"/>
                <w:sz w:val="20"/>
                <w:szCs w:val="20"/>
              </w:rPr>
              <w:t xml:space="preserve"> within that area</w:t>
            </w:r>
            <w:r w:rsidR="00DA6E0E">
              <w:rPr>
                <w:rFonts w:ascii="Verdana" w:hAnsi="Verdana"/>
                <w:sz w:val="20"/>
                <w:szCs w:val="20"/>
              </w:rPr>
              <w:t>,</w:t>
            </w:r>
            <w:r w:rsidR="0090332C">
              <w:rPr>
                <w:rFonts w:ascii="Verdana" w:hAnsi="Verdana"/>
                <w:sz w:val="20"/>
                <w:szCs w:val="20"/>
              </w:rPr>
              <w:t xml:space="preserve"> but this is not </w:t>
            </w:r>
            <w:r w:rsidR="00DA6E0E">
              <w:rPr>
                <w:rFonts w:ascii="Verdana" w:hAnsi="Verdana"/>
                <w:sz w:val="20"/>
                <w:szCs w:val="20"/>
              </w:rPr>
              <w:t xml:space="preserve">captured </w:t>
            </w:r>
            <w:r w:rsidR="0090332C">
              <w:rPr>
                <w:rFonts w:ascii="Verdana" w:hAnsi="Verdana"/>
                <w:sz w:val="20"/>
                <w:szCs w:val="20"/>
              </w:rPr>
              <w:t xml:space="preserve">within the listed actions. </w:t>
            </w:r>
            <w:proofErr w:type="gramStart"/>
            <w:r w:rsidR="0090332C">
              <w:rPr>
                <w:rFonts w:ascii="Verdana" w:hAnsi="Verdana"/>
                <w:sz w:val="20"/>
                <w:szCs w:val="20"/>
              </w:rPr>
              <w:t>Similarly</w:t>
            </w:r>
            <w:proofErr w:type="gramEnd"/>
            <w:r w:rsidR="0090332C">
              <w:rPr>
                <w:rFonts w:ascii="Verdana" w:hAnsi="Verdana"/>
                <w:sz w:val="20"/>
                <w:szCs w:val="20"/>
              </w:rPr>
              <w:t xml:space="preserve"> the de-escalation criteria </w:t>
            </w:r>
            <w:proofErr w:type="gramStart"/>
            <w:r w:rsidR="0090332C">
              <w:rPr>
                <w:rFonts w:ascii="Verdana" w:hAnsi="Verdana"/>
                <w:sz w:val="20"/>
                <w:szCs w:val="20"/>
              </w:rPr>
              <w:t>includes</w:t>
            </w:r>
            <w:proofErr w:type="gramEnd"/>
            <w:r w:rsidR="0090332C">
              <w:rPr>
                <w:rFonts w:ascii="Verdana" w:hAnsi="Verdana"/>
                <w:sz w:val="20"/>
                <w:szCs w:val="20"/>
              </w:rPr>
              <w:t xml:space="preserve"> the need for the health board </w:t>
            </w:r>
            <w:r w:rsidR="00946C34">
              <w:rPr>
                <w:rFonts w:ascii="Verdana" w:hAnsi="Verdana"/>
                <w:sz w:val="20"/>
                <w:szCs w:val="20"/>
              </w:rPr>
              <w:t>to progress Outpatient transformation, which has not featured within the list of ongoing actions.</w:t>
            </w:r>
          </w:p>
        </w:tc>
        <w:tc>
          <w:tcPr>
            <w:tcW w:w="2260" w:type="dxa"/>
            <w:vMerge w:val="restart"/>
            <w:tcBorders>
              <w:top w:val="dotted" w:sz="4" w:space="0" w:color="002060"/>
            </w:tcBorders>
            <w:shd w:val="clear" w:color="auto" w:fill="FFFFFF" w:themeFill="background1"/>
          </w:tcPr>
          <w:p w14:paraId="01A04F3F" w14:textId="662CA42A" w:rsidR="008954C0" w:rsidRPr="00822DC5" w:rsidRDefault="008954C0" w:rsidP="008954C0">
            <w:pPr>
              <w:spacing w:before="120" w:after="120" w:line="22" w:lineRule="atLeast"/>
              <w:rPr>
                <w:rFonts w:ascii="Verdana" w:hAnsi="Verdana"/>
                <w:sz w:val="20"/>
                <w:szCs w:val="20"/>
              </w:rPr>
            </w:pPr>
            <w:r w:rsidRPr="00A641C3">
              <w:rPr>
                <w:rFonts w:ascii="Verdana" w:hAnsi="Verdana"/>
                <w:sz w:val="20"/>
                <w:szCs w:val="20"/>
              </w:rPr>
              <w:t>Insufficient and outdated action reporting may compromise assurance over planned care progress, weaken accountability, and reduce the effectiveness of oversight mechanisms.</w:t>
            </w:r>
          </w:p>
        </w:tc>
        <w:tc>
          <w:tcPr>
            <w:tcW w:w="6710" w:type="dxa"/>
            <w:tcBorders>
              <w:top w:val="dotted" w:sz="4" w:space="0" w:color="002060"/>
              <w:right w:val="nil"/>
            </w:tcBorders>
            <w:shd w:val="clear" w:color="auto" w:fill="FFFFFF" w:themeFill="background1"/>
          </w:tcPr>
          <w:p w14:paraId="6A9F5953" w14:textId="77777777" w:rsidR="008954C0" w:rsidRPr="00822DC5" w:rsidRDefault="008954C0" w:rsidP="008954C0">
            <w:pPr>
              <w:spacing w:before="120" w:after="120"/>
              <w:rPr>
                <w:rFonts w:ascii="Verdana" w:hAnsi="Verdana"/>
                <w:b/>
                <w:bCs/>
                <w:sz w:val="20"/>
                <w:szCs w:val="20"/>
              </w:rPr>
            </w:pPr>
            <w:r w:rsidRPr="00822DC5">
              <w:rPr>
                <w:rFonts w:ascii="Verdana" w:hAnsi="Verdana"/>
                <w:b/>
                <w:bCs/>
                <w:sz w:val="20"/>
                <w:szCs w:val="20"/>
              </w:rPr>
              <w:t>Agreed Action:</w:t>
            </w:r>
          </w:p>
          <w:p w14:paraId="432C3406" w14:textId="77777777" w:rsidR="008954C0" w:rsidRPr="00ED52EC" w:rsidRDefault="00376799" w:rsidP="00ED52EC">
            <w:pPr>
              <w:numPr>
                <w:ilvl w:val="0"/>
                <w:numId w:val="6"/>
              </w:numPr>
              <w:spacing w:before="120" w:after="120"/>
              <w:jc w:val="both"/>
              <w:rPr>
                <w:rFonts w:ascii="Verdana" w:hAnsi="Verdana"/>
                <w:i/>
                <w:sz w:val="20"/>
                <w:szCs w:val="20"/>
              </w:rPr>
            </w:pPr>
            <w:r w:rsidRPr="00376799">
              <w:rPr>
                <w:rFonts w:ascii="Verdana" w:hAnsi="Verdana"/>
                <w:sz w:val="20"/>
                <w:szCs w:val="20"/>
              </w:rPr>
              <w:t xml:space="preserve">Ensure </w:t>
            </w:r>
            <w:r w:rsidRPr="00ED52EC">
              <w:rPr>
                <w:rFonts w:ascii="Verdana" w:hAnsi="Verdana"/>
                <w:i/>
                <w:sz w:val="20"/>
                <w:szCs w:val="20"/>
              </w:rPr>
              <w:t>that each escalation and oversight report includes updated, specific actions reflecting current initiatives</w:t>
            </w:r>
            <w:r w:rsidR="000C0278" w:rsidRPr="00ED52EC">
              <w:rPr>
                <w:rFonts w:ascii="Verdana" w:hAnsi="Verdana"/>
                <w:i/>
                <w:sz w:val="20"/>
                <w:szCs w:val="20"/>
              </w:rPr>
              <w:t>.</w:t>
            </w:r>
          </w:p>
          <w:p w14:paraId="4D110671" w14:textId="77777777" w:rsidR="000C0278" w:rsidRPr="00ED52EC" w:rsidRDefault="000C0278" w:rsidP="00ED52EC">
            <w:pPr>
              <w:numPr>
                <w:ilvl w:val="0"/>
                <w:numId w:val="6"/>
              </w:numPr>
              <w:spacing w:before="120" w:after="120"/>
              <w:jc w:val="both"/>
              <w:rPr>
                <w:rFonts w:ascii="Verdana" w:hAnsi="Verdana"/>
                <w:i/>
                <w:sz w:val="20"/>
                <w:szCs w:val="20"/>
              </w:rPr>
            </w:pPr>
            <w:r w:rsidRPr="00ED52EC">
              <w:rPr>
                <w:rFonts w:ascii="Verdana" w:hAnsi="Verdana"/>
                <w:i/>
                <w:sz w:val="20"/>
                <w:szCs w:val="20"/>
              </w:rPr>
              <w:t>Update reporting templates and narrative to reflect current governance structures.</w:t>
            </w:r>
          </w:p>
          <w:p w14:paraId="59351BEC" w14:textId="6862AC84" w:rsidR="002A6B42" w:rsidRPr="00822DC5" w:rsidRDefault="002A6B42" w:rsidP="00ED52EC">
            <w:pPr>
              <w:numPr>
                <w:ilvl w:val="0"/>
                <w:numId w:val="6"/>
              </w:numPr>
              <w:spacing w:before="120" w:after="120"/>
              <w:jc w:val="both"/>
              <w:rPr>
                <w:rFonts w:ascii="Verdana" w:hAnsi="Verdana"/>
                <w:sz w:val="20"/>
                <w:szCs w:val="20"/>
              </w:rPr>
            </w:pPr>
            <w:r w:rsidRPr="00ED52EC">
              <w:rPr>
                <w:rFonts w:ascii="Verdana" w:hAnsi="Verdana"/>
                <w:i/>
                <w:sz w:val="20"/>
                <w:szCs w:val="20"/>
              </w:rPr>
              <w:t>Cross-reference reported actions with de-escalation criteria to ensure all required areas, such as outpatient transformation, are actively addressed and visible in reporting.</w:t>
            </w:r>
          </w:p>
        </w:tc>
      </w:tr>
      <w:tr w:rsidR="002B1E70" w:rsidRPr="00822DC5" w14:paraId="1831AF8D" w14:textId="77777777" w:rsidTr="001D72D2">
        <w:tc>
          <w:tcPr>
            <w:tcW w:w="566" w:type="dxa"/>
            <w:vMerge/>
            <w:tcBorders>
              <w:left w:val="nil"/>
            </w:tcBorders>
            <w:shd w:val="clear" w:color="auto" w:fill="FFFFFF" w:themeFill="background1"/>
          </w:tcPr>
          <w:p w14:paraId="0AEA6AA0" w14:textId="77777777" w:rsidR="00B005BA" w:rsidRPr="00822DC5" w:rsidRDefault="00B005BA" w:rsidP="00B005BA">
            <w:pPr>
              <w:spacing w:before="120" w:after="120" w:line="22" w:lineRule="atLeast"/>
              <w:rPr>
                <w:rFonts w:ascii="Verdana" w:hAnsi="Verdana"/>
                <w:sz w:val="20"/>
                <w:szCs w:val="20"/>
              </w:rPr>
            </w:pPr>
          </w:p>
        </w:tc>
        <w:tc>
          <w:tcPr>
            <w:tcW w:w="6630" w:type="dxa"/>
            <w:vMerge/>
            <w:shd w:val="clear" w:color="auto" w:fill="FFFFFF" w:themeFill="background1"/>
          </w:tcPr>
          <w:p w14:paraId="5E093D3C" w14:textId="77777777" w:rsidR="00B005BA" w:rsidRPr="00822DC5" w:rsidRDefault="00B005BA" w:rsidP="00B005BA">
            <w:pPr>
              <w:spacing w:before="120" w:after="120" w:line="22" w:lineRule="atLeast"/>
              <w:rPr>
                <w:rFonts w:ascii="Verdana" w:hAnsi="Verdana"/>
                <w:sz w:val="20"/>
                <w:szCs w:val="20"/>
              </w:rPr>
            </w:pPr>
          </w:p>
        </w:tc>
        <w:tc>
          <w:tcPr>
            <w:tcW w:w="2260" w:type="dxa"/>
            <w:vMerge/>
            <w:tcBorders>
              <w:bottom w:val="dotted" w:sz="4" w:space="0" w:color="002060"/>
            </w:tcBorders>
            <w:shd w:val="clear" w:color="auto" w:fill="FFFFFF" w:themeFill="background1"/>
          </w:tcPr>
          <w:p w14:paraId="237F2115" w14:textId="77777777" w:rsidR="00B005BA" w:rsidRPr="00822DC5" w:rsidRDefault="00B005BA" w:rsidP="00B005BA">
            <w:pPr>
              <w:spacing w:before="120" w:after="120" w:line="22" w:lineRule="atLeast"/>
              <w:rPr>
                <w:rFonts w:ascii="Verdana" w:hAnsi="Verdana"/>
                <w:sz w:val="20"/>
                <w:szCs w:val="20"/>
              </w:rPr>
            </w:pPr>
          </w:p>
        </w:tc>
        <w:tc>
          <w:tcPr>
            <w:tcW w:w="6710" w:type="dxa"/>
            <w:tcBorders>
              <w:right w:val="nil"/>
            </w:tcBorders>
            <w:shd w:val="clear" w:color="auto" w:fill="FFFFFF" w:themeFill="background1"/>
          </w:tcPr>
          <w:p w14:paraId="7A883FB9" w14:textId="77777777" w:rsidR="00B005BA" w:rsidRPr="00822DC5" w:rsidRDefault="00B005BA" w:rsidP="00B005BA">
            <w:pPr>
              <w:spacing w:before="120" w:after="120"/>
              <w:rPr>
                <w:rFonts w:ascii="Verdana" w:hAnsi="Verdana"/>
                <w:b/>
                <w:bCs/>
                <w:sz w:val="20"/>
                <w:szCs w:val="20"/>
              </w:rPr>
            </w:pPr>
            <w:r w:rsidRPr="00822DC5">
              <w:rPr>
                <w:rFonts w:ascii="Verdana" w:hAnsi="Verdana"/>
                <w:b/>
                <w:bCs/>
                <w:sz w:val="20"/>
                <w:szCs w:val="20"/>
              </w:rPr>
              <w:t>Expected Evidence of Implementation:</w:t>
            </w:r>
          </w:p>
          <w:p w14:paraId="5F056E11" w14:textId="199D431D" w:rsidR="00B005BA" w:rsidRPr="00ED52EC" w:rsidRDefault="002A6B42" w:rsidP="00ED52EC">
            <w:pPr>
              <w:spacing w:before="120" w:after="120" w:line="22" w:lineRule="atLeast"/>
              <w:jc w:val="both"/>
              <w:rPr>
                <w:rFonts w:ascii="Verdana" w:hAnsi="Verdana"/>
                <w:i/>
                <w:sz w:val="20"/>
                <w:szCs w:val="20"/>
              </w:rPr>
            </w:pPr>
            <w:r w:rsidRPr="00ED52EC">
              <w:rPr>
                <w:rFonts w:ascii="Verdana" w:hAnsi="Verdana"/>
                <w:i/>
                <w:sz w:val="20"/>
                <w:szCs w:val="20"/>
              </w:rPr>
              <w:t xml:space="preserve">Revised planned care </w:t>
            </w:r>
            <w:r w:rsidR="000A3D16" w:rsidRPr="00ED52EC">
              <w:rPr>
                <w:rFonts w:ascii="Verdana" w:hAnsi="Verdana"/>
                <w:i/>
                <w:sz w:val="20"/>
                <w:szCs w:val="20"/>
              </w:rPr>
              <w:t>action list included within de-escalation plan</w:t>
            </w:r>
            <w:r w:rsidR="00CA49FB" w:rsidRPr="00ED52EC">
              <w:rPr>
                <w:rFonts w:ascii="Verdana" w:hAnsi="Verdana"/>
                <w:i/>
                <w:sz w:val="20"/>
                <w:szCs w:val="20"/>
              </w:rPr>
              <w:t>, inclusive of outpatient transformation</w:t>
            </w:r>
            <w:r w:rsidR="000A3D16" w:rsidRPr="00ED52EC">
              <w:rPr>
                <w:rFonts w:ascii="Verdana" w:hAnsi="Verdana"/>
                <w:i/>
                <w:sz w:val="20"/>
                <w:szCs w:val="20"/>
              </w:rPr>
              <w:t xml:space="preserve">. </w:t>
            </w:r>
          </w:p>
          <w:p w14:paraId="46C9D87A" w14:textId="77777777" w:rsidR="000A3D16" w:rsidRPr="00ED52EC" w:rsidRDefault="00792310" w:rsidP="00ED52EC">
            <w:pPr>
              <w:spacing w:before="120" w:after="120" w:line="22" w:lineRule="atLeast"/>
              <w:jc w:val="both"/>
              <w:rPr>
                <w:rFonts w:ascii="Verdana" w:hAnsi="Verdana"/>
                <w:i/>
                <w:sz w:val="20"/>
                <w:szCs w:val="20"/>
              </w:rPr>
            </w:pPr>
            <w:r w:rsidRPr="00ED52EC">
              <w:rPr>
                <w:rFonts w:ascii="Verdana" w:hAnsi="Verdana"/>
                <w:i/>
                <w:sz w:val="20"/>
                <w:szCs w:val="20"/>
              </w:rPr>
              <w:t>Action status tracker embedded in reports</w:t>
            </w:r>
          </w:p>
          <w:p w14:paraId="2587DE48" w14:textId="77777777" w:rsidR="00792310" w:rsidRPr="00ED52EC" w:rsidRDefault="00792310" w:rsidP="00ED52EC">
            <w:pPr>
              <w:spacing w:before="120" w:after="120" w:line="22" w:lineRule="atLeast"/>
              <w:jc w:val="both"/>
              <w:rPr>
                <w:rFonts w:ascii="Verdana" w:hAnsi="Verdana"/>
                <w:i/>
                <w:sz w:val="20"/>
                <w:szCs w:val="20"/>
              </w:rPr>
            </w:pPr>
            <w:r w:rsidRPr="00ED52EC">
              <w:rPr>
                <w:rFonts w:ascii="Verdana" w:hAnsi="Verdana"/>
                <w:i/>
                <w:sz w:val="20"/>
                <w:szCs w:val="20"/>
              </w:rPr>
              <w:t xml:space="preserve">Mapping document showing alignment </w:t>
            </w:r>
            <w:r w:rsidR="00CA49FB" w:rsidRPr="00ED52EC">
              <w:rPr>
                <w:rFonts w:ascii="Verdana" w:hAnsi="Verdana"/>
                <w:i/>
                <w:sz w:val="20"/>
                <w:szCs w:val="20"/>
              </w:rPr>
              <w:t>of actions</w:t>
            </w:r>
            <w:r w:rsidRPr="00ED52EC">
              <w:rPr>
                <w:rFonts w:ascii="Verdana" w:hAnsi="Verdana"/>
                <w:i/>
                <w:sz w:val="20"/>
                <w:szCs w:val="20"/>
              </w:rPr>
              <w:t xml:space="preserve"> with de-escalation criteria</w:t>
            </w:r>
          </w:p>
          <w:p w14:paraId="7E943E94" w14:textId="566A9477" w:rsidR="00CA49FB" w:rsidRPr="00822DC5" w:rsidRDefault="00CA49FB" w:rsidP="00B005BA">
            <w:pPr>
              <w:spacing w:before="120" w:after="120" w:line="22" w:lineRule="atLeast"/>
              <w:rPr>
                <w:rFonts w:ascii="Verdana" w:hAnsi="Verdana"/>
                <w:sz w:val="20"/>
                <w:szCs w:val="20"/>
              </w:rPr>
            </w:pPr>
          </w:p>
        </w:tc>
      </w:tr>
      <w:tr w:rsidR="002B1E70" w:rsidRPr="00822DC5" w14:paraId="2CF6D25A" w14:textId="77777777" w:rsidTr="00AA735D">
        <w:trPr>
          <w:trHeight w:hRule="exact" w:val="794"/>
        </w:trPr>
        <w:tc>
          <w:tcPr>
            <w:tcW w:w="566" w:type="dxa"/>
            <w:vMerge/>
            <w:tcBorders>
              <w:left w:val="nil"/>
              <w:bottom w:val="dotted" w:sz="4" w:space="0" w:color="002060"/>
            </w:tcBorders>
            <w:shd w:val="clear" w:color="auto" w:fill="FFFFFF" w:themeFill="background1"/>
          </w:tcPr>
          <w:p w14:paraId="45286A65" w14:textId="77777777" w:rsidR="00B005BA" w:rsidRPr="00822DC5" w:rsidRDefault="00B005BA" w:rsidP="00B005BA">
            <w:pPr>
              <w:spacing w:before="120" w:after="120" w:line="22" w:lineRule="atLeast"/>
              <w:rPr>
                <w:rFonts w:ascii="Verdana" w:hAnsi="Verdana"/>
                <w:sz w:val="20"/>
                <w:szCs w:val="20"/>
              </w:rPr>
            </w:pPr>
          </w:p>
        </w:tc>
        <w:tc>
          <w:tcPr>
            <w:tcW w:w="6630" w:type="dxa"/>
            <w:vMerge/>
            <w:tcBorders>
              <w:bottom w:val="dotted" w:sz="4" w:space="0" w:color="002060"/>
            </w:tcBorders>
            <w:shd w:val="clear" w:color="auto" w:fill="FFFFFF" w:themeFill="background1"/>
          </w:tcPr>
          <w:p w14:paraId="3A868B0B" w14:textId="77777777" w:rsidR="00B005BA" w:rsidRPr="00822DC5" w:rsidRDefault="00B005BA" w:rsidP="00B005BA">
            <w:pPr>
              <w:spacing w:before="120" w:after="120" w:line="22" w:lineRule="atLeast"/>
              <w:rPr>
                <w:rFonts w:ascii="Verdana" w:hAnsi="Verdana"/>
                <w:sz w:val="20"/>
                <w:szCs w:val="20"/>
              </w:rPr>
            </w:pPr>
          </w:p>
        </w:tc>
        <w:sdt>
          <w:sdtPr>
            <w:rPr>
              <w:rFonts w:ascii="Verdana" w:hAnsi="Verdana"/>
              <w:b/>
              <w:bCs/>
              <w:sz w:val="20"/>
              <w:szCs w:val="20"/>
            </w:rPr>
            <w:alias w:val="Priority"/>
            <w:tag w:val="Priority"/>
            <w:id w:val="-1097016886"/>
            <w:placeholder>
              <w:docPart w:val="C42BF7DCC1E644FB9571D039E755F636"/>
            </w:placeholder>
            <w:dropDownList>
              <w:listItem w:value="Choose an item."/>
              <w:listItem w:displayText="High Priority" w:value="High Priority"/>
              <w:listItem w:displayText="Medium Priority" w:value="Medium Priority"/>
            </w:dropDownList>
          </w:sdtPr>
          <w:sdtEndPr/>
          <w:sdtContent>
            <w:tc>
              <w:tcPr>
                <w:tcW w:w="2260" w:type="dxa"/>
                <w:tcBorders>
                  <w:bottom w:val="nil"/>
                </w:tcBorders>
                <w:shd w:val="clear" w:color="auto" w:fill="FFFF00"/>
                <w:vAlign w:val="center"/>
              </w:tcPr>
              <w:p w14:paraId="5691037B" w14:textId="5492E583" w:rsidR="00B005BA" w:rsidRPr="00822DC5" w:rsidRDefault="009619E6" w:rsidP="00B005BA">
                <w:pPr>
                  <w:spacing w:before="120" w:after="120" w:line="22" w:lineRule="atLeast"/>
                  <w:jc w:val="center"/>
                  <w:rPr>
                    <w:rFonts w:ascii="Verdana" w:hAnsi="Verdana"/>
                    <w:b/>
                    <w:bCs/>
                    <w:sz w:val="20"/>
                    <w:szCs w:val="20"/>
                  </w:rPr>
                </w:pPr>
                <w:r w:rsidRPr="009619E6">
                  <w:rPr>
                    <w:rFonts w:ascii="Verdana" w:hAnsi="Verdana"/>
                    <w:b/>
                    <w:bCs/>
                    <w:sz w:val="20"/>
                    <w:szCs w:val="20"/>
                  </w:rPr>
                  <w:t>Medium Priority</w:t>
                </w:r>
              </w:p>
            </w:tc>
          </w:sdtContent>
        </w:sdt>
        <w:tc>
          <w:tcPr>
            <w:tcW w:w="6710" w:type="dxa"/>
            <w:vMerge w:val="restart"/>
            <w:tcBorders>
              <w:bottom w:val="dotted" w:sz="4" w:space="0" w:color="002060"/>
              <w:right w:val="nil"/>
            </w:tcBorders>
            <w:shd w:val="clear" w:color="auto" w:fill="FFFFFF" w:themeFill="background1"/>
            <w:vAlign w:val="center"/>
          </w:tcPr>
          <w:p w14:paraId="22A90402" w14:textId="446EA78E" w:rsidR="00B005BA" w:rsidRPr="00822DC5" w:rsidRDefault="00B005BA" w:rsidP="00B005BA">
            <w:pPr>
              <w:spacing w:before="120" w:after="120"/>
              <w:rPr>
                <w:rFonts w:ascii="Verdana" w:hAnsi="Verdana"/>
                <w:b/>
                <w:bCs/>
                <w:sz w:val="20"/>
                <w:szCs w:val="20"/>
              </w:rPr>
            </w:pPr>
            <w:r w:rsidRPr="00822DC5">
              <w:rPr>
                <w:rFonts w:ascii="Verdana" w:hAnsi="Verdana"/>
                <w:b/>
                <w:bCs/>
                <w:sz w:val="20"/>
                <w:szCs w:val="20"/>
              </w:rPr>
              <w:t xml:space="preserve">Officer: </w:t>
            </w:r>
            <w:r w:rsidR="00855BE1">
              <w:rPr>
                <w:rFonts w:ascii="Verdana" w:hAnsi="Verdana"/>
                <w:b/>
                <w:bCs/>
                <w:sz w:val="20"/>
                <w:szCs w:val="20"/>
              </w:rPr>
              <w:t>Director of Performance &amp; Business Intelligence</w:t>
            </w:r>
          </w:p>
          <w:p w14:paraId="5E88461E" w14:textId="794469A4" w:rsidR="00B005BA" w:rsidRPr="00822DC5" w:rsidRDefault="00B005BA" w:rsidP="00B005BA">
            <w:pPr>
              <w:spacing w:before="120" w:after="120" w:line="22" w:lineRule="atLeast"/>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r w:rsidR="00BD1214">
              <w:rPr>
                <w:rFonts w:ascii="Verdana" w:hAnsi="Verdana"/>
                <w:b/>
                <w:bCs/>
                <w:sz w:val="20"/>
                <w:szCs w:val="20"/>
              </w:rPr>
              <w:t xml:space="preserve"> July 2026</w:t>
            </w:r>
          </w:p>
        </w:tc>
      </w:tr>
      <w:tr w:rsidR="002B1E70" w:rsidRPr="00822DC5" w14:paraId="1F25407A" w14:textId="77777777" w:rsidTr="00946C34">
        <w:trPr>
          <w:trHeight w:hRule="exact" w:val="567"/>
        </w:trPr>
        <w:tc>
          <w:tcPr>
            <w:tcW w:w="566" w:type="dxa"/>
            <w:vMerge/>
            <w:tcBorders>
              <w:top w:val="dotted" w:sz="4" w:space="0" w:color="002060"/>
              <w:left w:val="nil"/>
              <w:bottom w:val="dotted" w:sz="4" w:space="0" w:color="002060"/>
            </w:tcBorders>
            <w:shd w:val="clear" w:color="auto" w:fill="FFFFFF" w:themeFill="background1"/>
          </w:tcPr>
          <w:p w14:paraId="13F09E4A" w14:textId="77777777" w:rsidR="00B005BA" w:rsidRPr="00822DC5" w:rsidRDefault="00B005BA" w:rsidP="00B005BA">
            <w:pPr>
              <w:spacing w:before="120" w:after="120" w:line="22" w:lineRule="atLeast"/>
              <w:ind w:right="28"/>
              <w:jc w:val="center"/>
              <w:rPr>
                <w:rFonts w:ascii="Verdana" w:hAnsi="Verdana"/>
                <w:sz w:val="20"/>
                <w:szCs w:val="20"/>
              </w:rPr>
            </w:pPr>
          </w:p>
        </w:tc>
        <w:tc>
          <w:tcPr>
            <w:tcW w:w="6630" w:type="dxa"/>
            <w:tcBorders>
              <w:top w:val="dotted" w:sz="4" w:space="0" w:color="002060"/>
              <w:bottom w:val="dotted" w:sz="4" w:space="0" w:color="002060"/>
            </w:tcBorders>
            <w:shd w:val="clear" w:color="auto" w:fill="FFFFFF" w:themeFill="background1"/>
            <w:vAlign w:val="center"/>
          </w:tcPr>
          <w:p w14:paraId="10F53D53" w14:textId="56267AEF" w:rsidR="00B005BA" w:rsidRPr="00822DC5" w:rsidRDefault="00B005BA" w:rsidP="00B005BA">
            <w:pPr>
              <w:spacing w:before="120" w:after="120" w:line="22" w:lineRule="atLeast"/>
              <w:rPr>
                <w:rFonts w:ascii="Verdana" w:hAnsi="Verdana"/>
                <w:color w:val="FF0000"/>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459176912"/>
                <w:placeholder>
                  <w:docPart w:val="8C235789E5614764AD55DA1DE4791404"/>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4770A5">
                  <w:rPr>
                    <w:rStyle w:val="Themes"/>
                    <w:szCs w:val="20"/>
                  </w:rPr>
                  <w:t>Performance Monitoring</w:t>
                </w:r>
              </w:sdtContent>
            </w:sdt>
          </w:p>
        </w:tc>
        <w:sdt>
          <w:sdtPr>
            <w:rPr>
              <w:rFonts w:ascii="Verdana" w:hAnsi="Verdana"/>
              <w:sz w:val="20"/>
              <w:szCs w:val="20"/>
            </w:rPr>
            <w:alias w:val="Design/Operation"/>
            <w:tag w:val="Design/Operation"/>
            <w:id w:val="-115838861"/>
            <w:placeholder>
              <w:docPart w:val="F6D5C48F9F554A86982257DF253DFB13"/>
            </w:placeholder>
            <w:dropDownList>
              <w:listItem w:value="Choose an item."/>
              <w:listItem w:displayText="Control Design " w:value="Control Design "/>
              <w:listItem w:displayText="Control Operation " w:value="Control Operation "/>
            </w:dropDownList>
          </w:sdtPr>
          <w:sdtEndPr/>
          <w:sdtContent>
            <w:tc>
              <w:tcPr>
                <w:tcW w:w="2260" w:type="dxa"/>
                <w:tcBorders>
                  <w:top w:val="nil"/>
                  <w:bottom w:val="dotted" w:sz="4" w:space="0" w:color="002060"/>
                </w:tcBorders>
                <w:shd w:val="clear" w:color="auto" w:fill="FFFFFF" w:themeFill="background1"/>
                <w:vAlign w:val="center"/>
              </w:tcPr>
              <w:p w14:paraId="2B3E54B9" w14:textId="3DD0EF47" w:rsidR="00B005BA" w:rsidRPr="00822DC5" w:rsidRDefault="00B005BA" w:rsidP="00B005BA">
                <w:pPr>
                  <w:spacing w:before="120" w:after="120" w:line="22" w:lineRule="atLeast"/>
                  <w:jc w:val="center"/>
                  <w:rPr>
                    <w:rFonts w:ascii="Verdana" w:hAnsi="Verdana"/>
                    <w:sz w:val="20"/>
                    <w:szCs w:val="20"/>
                  </w:rPr>
                </w:pPr>
                <w:r>
                  <w:rPr>
                    <w:rFonts w:ascii="Verdana" w:hAnsi="Verdana"/>
                    <w:sz w:val="20"/>
                    <w:szCs w:val="20"/>
                  </w:rPr>
                  <w:t xml:space="preserve">Control Design </w:t>
                </w:r>
              </w:p>
            </w:tc>
          </w:sdtContent>
        </w:sdt>
        <w:tc>
          <w:tcPr>
            <w:tcW w:w="6710" w:type="dxa"/>
            <w:vMerge/>
            <w:tcBorders>
              <w:top w:val="dotted" w:sz="4" w:space="0" w:color="002060"/>
              <w:bottom w:val="dotted" w:sz="4" w:space="0" w:color="002060"/>
              <w:right w:val="nil"/>
            </w:tcBorders>
            <w:shd w:val="clear" w:color="auto" w:fill="FFFFFF" w:themeFill="background1"/>
          </w:tcPr>
          <w:p w14:paraId="11450032" w14:textId="77777777" w:rsidR="00B005BA" w:rsidRPr="00822DC5" w:rsidRDefault="00B005BA" w:rsidP="00B005BA">
            <w:pPr>
              <w:spacing w:before="120" w:after="120" w:line="22" w:lineRule="atLeast"/>
              <w:rPr>
                <w:rFonts w:ascii="Verdana" w:hAnsi="Verdana"/>
                <w:sz w:val="20"/>
                <w:szCs w:val="20"/>
              </w:rPr>
            </w:pPr>
          </w:p>
        </w:tc>
      </w:tr>
      <w:tr w:rsidR="002B1E70" w:rsidRPr="00822DC5" w14:paraId="30E3A7C0" w14:textId="77777777">
        <w:trPr>
          <w:trHeight w:val="2551"/>
        </w:trPr>
        <w:tc>
          <w:tcPr>
            <w:tcW w:w="566" w:type="dxa"/>
            <w:vMerge w:val="restart"/>
            <w:tcBorders>
              <w:top w:val="nil"/>
              <w:left w:val="nil"/>
            </w:tcBorders>
            <w:shd w:val="clear" w:color="auto" w:fill="FFFFFF" w:themeFill="background1"/>
          </w:tcPr>
          <w:p w14:paraId="4A16E69E" w14:textId="1E1F022D" w:rsidR="008954C0" w:rsidRPr="00822DC5" w:rsidRDefault="008954C0" w:rsidP="008954C0">
            <w:pPr>
              <w:spacing w:before="120" w:after="120" w:line="22" w:lineRule="atLeast"/>
              <w:jc w:val="center"/>
              <w:rPr>
                <w:rFonts w:ascii="Verdana" w:hAnsi="Verdana"/>
                <w:sz w:val="20"/>
                <w:szCs w:val="20"/>
              </w:rPr>
            </w:pPr>
            <w:r>
              <w:rPr>
                <w:rFonts w:ascii="Verdana" w:hAnsi="Verdana"/>
                <w:sz w:val="20"/>
                <w:szCs w:val="20"/>
              </w:rPr>
              <w:t>7</w:t>
            </w:r>
          </w:p>
        </w:tc>
        <w:tc>
          <w:tcPr>
            <w:tcW w:w="6630" w:type="dxa"/>
            <w:vMerge w:val="restart"/>
            <w:tcBorders>
              <w:top w:val="nil"/>
            </w:tcBorders>
            <w:shd w:val="clear" w:color="auto" w:fill="FFFFFF" w:themeFill="background1"/>
          </w:tcPr>
          <w:p w14:paraId="70AD2F72" w14:textId="48EDF62B" w:rsidR="008954C0" w:rsidRPr="00072B9A" w:rsidRDefault="0071452B" w:rsidP="008954C0">
            <w:pPr>
              <w:spacing w:before="120" w:after="120" w:line="22" w:lineRule="atLeast"/>
              <w:rPr>
                <w:rFonts w:ascii="Verdana" w:hAnsi="Verdana" w:cs="Arial"/>
                <w:b/>
                <w:bCs/>
                <w:sz w:val="20"/>
                <w:szCs w:val="20"/>
              </w:rPr>
            </w:pPr>
            <w:r>
              <w:rPr>
                <w:rFonts w:ascii="Verdana" w:hAnsi="Verdana" w:cs="Arial"/>
                <w:b/>
                <w:bCs/>
                <w:sz w:val="20"/>
                <w:szCs w:val="20"/>
              </w:rPr>
              <w:t xml:space="preserve">Cancer </w:t>
            </w:r>
            <w:r w:rsidR="00071D16">
              <w:rPr>
                <w:rFonts w:ascii="Verdana" w:hAnsi="Verdana" w:cs="Arial"/>
                <w:b/>
                <w:bCs/>
                <w:sz w:val="20"/>
                <w:szCs w:val="20"/>
              </w:rPr>
              <w:t>Escalation – Performance Reports &amp; Tumour site Action Plans</w:t>
            </w:r>
          </w:p>
          <w:p w14:paraId="063960FB" w14:textId="7A963485" w:rsidR="00E3029D" w:rsidRPr="00E3029D" w:rsidRDefault="002A39EF" w:rsidP="00E3029D">
            <w:pPr>
              <w:spacing w:before="120" w:after="120" w:line="22" w:lineRule="atLeast"/>
              <w:jc w:val="both"/>
              <w:rPr>
                <w:rFonts w:ascii="Verdana" w:hAnsi="Verdana" w:cs="Arial"/>
                <w:sz w:val="20"/>
                <w:szCs w:val="20"/>
              </w:rPr>
            </w:pPr>
            <w:r>
              <w:rPr>
                <w:rFonts w:ascii="Verdana" w:hAnsi="Verdana" w:cs="Arial"/>
                <w:sz w:val="20"/>
                <w:szCs w:val="20"/>
              </w:rPr>
              <w:t xml:space="preserve">The </w:t>
            </w:r>
            <w:r w:rsidR="00FB3D22">
              <w:rPr>
                <w:rFonts w:ascii="Verdana" w:hAnsi="Verdana" w:cs="Arial"/>
                <w:sz w:val="20"/>
                <w:szCs w:val="20"/>
              </w:rPr>
              <w:t>Escalation and Oversight reports have regularly referenced w</w:t>
            </w:r>
            <w:r w:rsidR="00E3029D" w:rsidRPr="00E3029D">
              <w:rPr>
                <w:rFonts w:ascii="Verdana" w:hAnsi="Verdana" w:cs="Arial"/>
                <w:sz w:val="20"/>
                <w:szCs w:val="20"/>
              </w:rPr>
              <w:t xml:space="preserve">eekly performance review meetings held with tumour site leads, </w:t>
            </w:r>
            <w:r w:rsidR="00FB3D22">
              <w:rPr>
                <w:rFonts w:ascii="Verdana" w:hAnsi="Verdana" w:cs="Arial"/>
                <w:sz w:val="20"/>
                <w:szCs w:val="20"/>
              </w:rPr>
              <w:t xml:space="preserve">and </w:t>
            </w:r>
            <w:r w:rsidR="00DD658C">
              <w:rPr>
                <w:rFonts w:ascii="Verdana" w:hAnsi="Verdana" w:cs="Arial"/>
                <w:sz w:val="20"/>
                <w:szCs w:val="20"/>
              </w:rPr>
              <w:t>targeted</w:t>
            </w:r>
            <w:r w:rsidR="00F1744E">
              <w:rPr>
                <w:rFonts w:ascii="Verdana" w:hAnsi="Verdana" w:cs="Arial"/>
                <w:sz w:val="20"/>
                <w:szCs w:val="20"/>
              </w:rPr>
              <w:t xml:space="preserve"> actions to </w:t>
            </w:r>
            <w:r w:rsidR="00DD658C">
              <w:rPr>
                <w:rFonts w:ascii="Verdana" w:hAnsi="Verdana" w:cs="Arial"/>
                <w:sz w:val="20"/>
                <w:szCs w:val="20"/>
              </w:rPr>
              <w:t>improve cancer pathway</w:t>
            </w:r>
            <w:r w:rsidR="00F1744E">
              <w:rPr>
                <w:rFonts w:ascii="Verdana" w:hAnsi="Verdana" w:cs="Arial"/>
                <w:sz w:val="20"/>
                <w:szCs w:val="20"/>
              </w:rPr>
              <w:t xml:space="preserve"> performance</w:t>
            </w:r>
            <w:r w:rsidR="002056F2">
              <w:rPr>
                <w:rFonts w:ascii="Verdana" w:hAnsi="Verdana" w:cs="Arial"/>
                <w:sz w:val="20"/>
                <w:szCs w:val="20"/>
              </w:rPr>
              <w:t xml:space="preserve">. </w:t>
            </w:r>
            <w:r w:rsidR="00DD658C">
              <w:rPr>
                <w:rFonts w:ascii="Verdana" w:hAnsi="Verdana" w:cs="Arial"/>
                <w:sz w:val="20"/>
                <w:szCs w:val="20"/>
              </w:rPr>
              <w:t>However, o</w:t>
            </w:r>
            <w:r w:rsidR="002056F2">
              <w:rPr>
                <w:rFonts w:ascii="Verdana" w:hAnsi="Verdana" w:cs="Arial"/>
                <w:sz w:val="20"/>
                <w:szCs w:val="20"/>
              </w:rPr>
              <w:t>ur review noted i</w:t>
            </w:r>
            <w:r w:rsidR="00E3029D" w:rsidRPr="00E3029D">
              <w:rPr>
                <w:rFonts w:ascii="Verdana" w:hAnsi="Verdana" w:cs="Arial"/>
                <w:sz w:val="20"/>
                <w:szCs w:val="20"/>
              </w:rPr>
              <w:t>nconsistencies in the documentation and maintenance of both performance reports and tumour site action plans.</w:t>
            </w:r>
          </w:p>
          <w:p w14:paraId="537BB217" w14:textId="659FD2E5" w:rsidR="00E3029D" w:rsidRPr="00973493" w:rsidRDefault="00E3029D" w:rsidP="00973493">
            <w:pPr>
              <w:spacing w:before="120" w:after="120" w:line="22" w:lineRule="atLeast"/>
              <w:jc w:val="both"/>
              <w:rPr>
                <w:rFonts w:ascii="Verdana" w:hAnsi="Verdana" w:cs="Arial"/>
                <w:sz w:val="20"/>
                <w:szCs w:val="20"/>
              </w:rPr>
            </w:pPr>
            <w:r w:rsidRPr="00D51377">
              <w:rPr>
                <w:rFonts w:ascii="Verdana" w:hAnsi="Verdana" w:cs="Arial"/>
                <w:sz w:val="20"/>
                <w:szCs w:val="20"/>
                <w:u w:val="single"/>
              </w:rPr>
              <w:lastRenderedPageBreak/>
              <w:t>Performance Reports:</w:t>
            </w:r>
            <w:r w:rsidR="00F06CC6" w:rsidRPr="00973493">
              <w:rPr>
                <w:rFonts w:ascii="Verdana" w:hAnsi="Verdana" w:cs="Arial"/>
                <w:sz w:val="20"/>
                <w:szCs w:val="20"/>
              </w:rPr>
              <w:t xml:space="preserve"> </w:t>
            </w:r>
            <w:r w:rsidRPr="00973493">
              <w:rPr>
                <w:rFonts w:ascii="Verdana" w:hAnsi="Verdana" w:cs="Arial"/>
                <w:sz w:val="20"/>
                <w:szCs w:val="20"/>
              </w:rPr>
              <w:t>Reports for Lung (Thoracic Medicine and Thoracic Surgery), Lower Gastrointestinal (Lower GI), Oral and Maxillofacial Surgery (OMFS), and Urology tumour sites were reviewed. While these reports provided detailed information on current patient breaches, the following issues were noted:</w:t>
            </w:r>
          </w:p>
          <w:p w14:paraId="0F455C4E" w14:textId="2F00D798" w:rsidR="00E3029D" w:rsidRPr="00F06CC6" w:rsidRDefault="00E3029D" w:rsidP="00F06CC6">
            <w:pPr>
              <w:pStyle w:val="ListParagraph"/>
              <w:numPr>
                <w:ilvl w:val="0"/>
                <w:numId w:val="13"/>
              </w:numPr>
              <w:spacing w:before="120" w:after="120" w:line="22" w:lineRule="atLeast"/>
              <w:jc w:val="both"/>
              <w:rPr>
                <w:rFonts w:ascii="Verdana" w:hAnsi="Verdana" w:cs="Arial"/>
                <w:sz w:val="20"/>
                <w:szCs w:val="20"/>
              </w:rPr>
            </w:pPr>
            <w:r w:rsidRPr="00F06CC6">
              <w:rPr>
                <w:rFonts w:ascii="Verdana" w:hAnsi="Verdana" w:cs="Arial"/>
                <w:sz w:val="20"/>
                <w:szCs w:val="20"/>
              </w:rPr>
              <w:t>Escalation/Issue Entries:</w:t>
            </w:r>
            <w:r w:rsidR="00F06CC6" w:rsidRPr="00F06CC6">
              <w:rPr>
                <w:rFonts w:ascii="Verdana" w:hAnsi="Verdana" w:cs="Arial"/>
                <w:sz w:val="20"/>
                <w:szCs w:val="20"/>
              </w:rPr>
              <w:t xml:space="preserve"> </w:t>
            </w:r>
            <w:r w:rsidRPr="00F06CC6">
              <w:rPr>
                <w:rFonts w:ascii="Verdana" w:hAnsi="Verdana" w:cs="Arial"/>
                <w:sz w:val="20"/>
                <w:szCs w:val="20"/>
              </w:rPr>
              <w:t>Lower GI, OMFS, and Thoracic Medicine included escalation or issue entries, but none were dated, limiting traceability.</w:t>
            </w:r>
          </w:p>
          <w:p w14:paraId="72F2DB7F" w14:textId="77777777" w:rsidR="00E3029D" w:rsidRPr="00973493" w:rsidRDefault="00E3029D" w:rsidP="00973493">
            <w:pPr>
              <w:pStyle w:val="ListParagraph"/>
              <w:numPr>
                <w:ilvl w:val="0"/>
                <w:numId w:val="13"/>
              </w:numPr>
              <w:spacing w:before="120" w:after="120" w:line="22" w:lineRule="atLeast"/>
              <w:jc w:val="both"/>
              <w:rPr>
                <w:rFonts w:ascii="Verdana" w:hAnsi="Verdana" w:cs="Arial"/>
                <w:sz w:val="20"/>
                <w:szCs w:val="20"/>
              </w:rPr>
            </w:pPr>
            <w:r w:rsidRPr="00973493">
              <w:rPr>
                <w:rFonts w:ascii="Verdana" w:hAnsi="Verdana" w:cs="Arial"/>
                <w:sz w:val="20"/>
                <w:szCs w:val="20"/>
              </w:rPr>
              <w:t>Urology included entries referencing 2024, with no evidence of more recent updates.</w:t>
            </w:r>
          </w:p>
          <w:p w14:paraId="73591A63" w14:textId="00081AA0" w:rsidR="00E3029D" w:rsidRPr="00973493" w:rsidRDefault="00E3029D">
            <w:pPr>
              <w:pStyle w:val="ListParagraph"/>
              <w:numPr>
                <w:ilvl w:val="0"/>
                <w:numId w:val="13"/>
              </w:numPr>
              <w:spacing w:before="120" w:after="120" w:line="22" w:lineRule="atLeast"/>
              <w:jc w:val="both"/>
              <w:rPr>
                <w:rFonts w:ascii="Verdana" w:hAnsi="Verdana" w:cs="Arial"/>
                <w:sz w:val="20"/>
                <w:szCs w:val="20"/>
              </w:rPr>
            </w:pPr>
            <w:r w:rsidRPr="00973493">
              <w:rPr>
                <w:rFonts w:ascii="Verdana" w:hAnsi="Verdana" w:cs="Arial"/>
                <w:sz w:val="20"/>
                <w:szCs w:val="20"/>
              </w:rPr>
              <w:t>Action Logs:</w:t>
            </w:r>
            <w:r w:rsidR="00973493" w:rsidRPr="00973493">
              <w:rPr>
                <w:rFonts w:ascii="Verdana" w:hAnsi="Verdana" w:cs="Arial"/>
                <w:sz w:val="20"/>
                <w:szCs w:val="20"/>
              </w:rPr>
              <w:t xml:space="preserve"> </w:t>
            </w:r>
            <w:r w:rsidRPr="00973493">
              <w:rPr>
                <w:rFonts w:ascii="Verdana" w:hAnsi="Verdana" w:cs="Arial"/>
                <w:sz w:val="20"/>
                <w:szCs w:val="20"/>
              </w:rPr>
              <w:t>Only Urology included a single, undated action entry</w:t>
            </w:r>
            <w:r w:rsidR="00973493">
              <w:rPr>
                <w:rFonts w:ascii="Verdana" w:hAnsi="Verdana" w:cs="Arial"/>
                <w:sz w:val="20"/>
                <w:szCs w:val="20"/>
              </w:rPr>
              <w:t>, all others</w:t>
            </w:r>
            <w:r w:rsidR="00C67483">
              <w:rPr>
                <w:rFonts w:ascii="Verdana" w:hAnsi="Verdana" w:cs="Arial"/>
                <w:sz w:val="20"/>
                <w:szCs w:val="20"/>
              </w:rPr>
              <w:t xml:space="preserve"> held no ongoing actions.</w:t>
            </w:r>
          </w:p>
          <w:p w14:paraId="263927A7" w14:textId="77777777" w:rsidR="00C67483" w:rsidRDefault="00E3029D" w:rsidP="00E3029D">
            <w:pPr>
              <w:spacing w:before="120" w:after="120" w:line="22" w:lineRule="atLeast"/>
              <w:jc w:val="both"/>
              <w:rPr>
                <w:rFonts w:ascii="Verdana" w:hAnsi="Verdana" w:cs="Arial"/>
                <w:sz w:val="20"/>
                <w:szCs w:val="20"/>
              </w:rPr>
            </w:pPr>
            <w:r w:rsidRPr="00D51377">
              <w:rPr>
                <w:rFonts w:ascii="Verdana" w:hAnsi="Verdana" w:cs="Arial"/>
                <w:sz w:val="20"/>
                <w:szCs w:val="20"/>
                <w:u w:val="single"/>
              </w:rPr>
              <w:t>Tumour Site Action Plans:</w:t>
            </w:r>
            <w:r w:rsidR="00C67483">
              <w:rPr>
                <w:rFonts w:ascii="Verdana" w:hAnsi="Verdana" w:cs="Arial"/>
                <w:sz w:val="20"/>
                <w:szCs w:val="20"/>
              </w:rPr>
              <w:t xml:space="preserve"> </w:t>
            </w:r>
            <w:r w:rsidRPr="00E3029D">
              <w:rPr>
                <w:rFonts w:ascii="Verdana" w:hAnsi="Verdana" w:cs="Arial"/>
                <w:sz w:val="20"/>
                <w:szCs w:val="20"/>
              </w:rPr>
              <w:t>Action plans referenced in the May 2025 Escalation and Oversight report were reviewed for currency and completeness. The following variations were identified:</w:t>
            </w:r>
          </w:p>
          <w:p w14:paraId="66425DAB" w14:textId="29961602" w:rsidR="00E3029D" w:rsidRDefault="00E3029D">
            <w:pPr>
              <w:pStyle w:val="ListParagraph"/>
              <w:numPr>
                <w:ilvl w:val="0"/>
                <w:numId w:val="14"/>
              </w:numPr>
              <w:spacing w:before="120" w:after="120" w:line="22" w:lineRule="atLeast"/>
              <w:jc w:val="both"/>
              <w:rPr>
                <w:rFonts w:ascii="Verdana" w:hAnsi="Verdana" w:cs="Arial"/>
                <w:sz w:val="20"/>
                <w:szCs w:val="20"/>
              </w:rPr>
            </w:pPr>
            <w:r w:rsidRPr="00C67483">
              <w:rPr>
                <w:rFonts w:ascii="Verdana" w:hAnsi="Verdana" w:cs="Arial"/>
                <w:sz w:val="20"/>
                <w:szCs w:val="20"/>
              </w:rPr>
              <w:t>Lung (Thoracic Medicine and Thoracic Surgery</w:t>
            </w:r>
            <w:r w:rsidR="000865EA" w:rsidRPr="00C67483">
              <w:rPr>
                <w:rFonts w:ascii="Verdana" w:hAnsi="Verdana" w:cs="Arial"/>
                <w:sz w:val="20"/>
                <w:szCs w:val="20"/>
              </w:rPr>
              <w:t>): Action</w:t>
            </w:r>
            <w:r w:rsidRPr="00C67483">
              <w:rPr>
                <w:rFonts w:ascii="Verdana" w:hAnsi="Verdana" w:cs="Arial"/>
                <w:sz w:val="20"/>
                <w:szCs w:val="20"/>
              </w:rPr>
              <w:t xml:space="preserve"> plans had not been updated since May 20</w:t>
            </w:r>
            <w:r w:rsidR="00F75D8E">
              <w:rPr>
                <w:rFonts w:ascii="Verdana" w:hAnsi="Verdana" w:cs="Arial"/>
                <w:sz w:val="20"/>
                <w:szCs w:val="20"/>
              </w:rPr>
              <w:t>25.</w:t>
            </w:r>
          </w:p>
          <w:p w14:paraId="6DC5C694" w14:textId="67FA4524" w:rsidR="00F75D8E" w:rsidRDefault="00E3029D">
            <w:pPr>
              <w:pStyle w:val="ListParagraph"/>
              <w:numPr>
                <w:ilvl w:val="0"/>
                <w:numId w:val="14"/>
              </w:numPr>
              <w:spacing w:before="120" w:after="120" w:line="22" w:lineRule="atLeast"/>
              <w:jc w:val="both"/>
              <w:rPr>
                <w:rFonts w:ascii="Verdana" w:hAnsi="Verdana" w:cs="Arial"/>
                <w:sz w:val="20"/>
                <w:szCs w:val="20"/>
              </w:rPr>
            </w:pPr>
            <w:r w:rsidRPr="00F75D8E">
              <w:rPr>
                <w:rFonts w:ascii="Verdana" w:hAnsi="Verdana" w:cs="Arial"/>
                <w:sz w:val="20"/>
                <w:szCs w:val="20"/>
              </w:rPr>
              <w:t>Lower GI:</w:t>
            </w:r>
            <w:r w:rsidR="00F75D8E" w:rsidRPr="00F75D8E">
              <w:rPr>
                <w:rFonts w:ascii="Verdana" w:hAnsi="Verdana" w:cs="Arial"/>
                <w:sz w:val="20"/>
                <w:szCs w:val="20"/>
              </w:rPr>
              <w:t xml:space="preserve"> </w:t>
            </w:r>
            <w:r w:rsidRPr="00F75D8E">
              <w:rPr>
                <w:rFonts w:ascii="Verdana" w:hAnsi="Verdana" w:cs="Arial"/>
                <w:sz w:val="20"/>
                <w:szCs w:val="20"/>
              </w:rPr>
              <w:t xml:space="preserve">Included RAG ratings that </w:t>
            </w:r>
            <w:r w:rsidR="000865EA">
              <w:rPr>
                <w:rFonts w:ascii="Verdana" w:hAnsi="Verdana" w:cs="Arial"/>
                <w:sz w:val="20"/>
                <w:szCs w:val="20"/>
              </w:rPr>
              <w:t xml:space="preserve">had been </w:t>
            </w:r>
            <w:r w:rsidRPr="00F75D8E">
              <w:rPr>
                <w:rFonts w:ascii="Verdana" w:hAnsi="Verdana" w:cs="Arial"/>
                <w:sz w:val="20"/>
                <w:szCs w:val="20"/>
              </w:rPr>
              <w:t>subject to internal challenge in April 2025.</w:t>
            </w:r>
            <w:r w:rsidR="00F75D8E" w:rsidRPr="00F75D8E">
              <w:rPr>
                <w:rFonts w:ascii="Verdana" w:hAnsi="Verdana" w:cs="Arial"/>
                <w:sz w:val="20"/>
                <w:szCs w:val="20"/>
              </w:rPr>
              <w:t xml:space="preserve"> </w:t>
            </w:r>
            <w:r w:rsidR="000865EA">
              <w:rPr>
                <w:rFonts w:ascii="Verdana" w:hAnsi="Verdana" w:cs="Arial"/>
                <w:sz w:val="20"/>
                <w:szCs w:val="20"/>
              </w:rPr>
              <w:t xml:space="preserve">We could see no update to follow </w:t>
            </w:r>
            <w:r w:rsidR="004C20F6">
              <w:rPr>
                <w:rFonts w:ascii="Verdana" w:hAnsi="Verdana" w:cs="Arial"/>
                <w:sz w:val="20"/>
                <w:szCs w:val="20"/>
              </w:rPr>
              <w:t>which addressed these.</w:t>
            </w:r>
          </w:p>
          <w:p w14:paraId="724CCC69" w14:textId="6670A1B8" w:rsidR="00E3029D" w:rsidRPr="00D51377" w:rsidRDefault="00E3029D">
            <w:pPr>
              <w:pStyle w:val="ListParagraph"/>
              <w:numPr>
                <w:ilvl w:val="0"/>
                <w:numId w:val="14"/>
              </w:numPr>
              <w:spacing w:before="120" w:after="120" w:line="22" w:lineRule="atLeast"/>
              <w:jc w:val="both"/>
              <w:rPr>
                <w:rFonts w:ascii="Verdana" w:hAnsi="Verdana" w:cs="Arial"/>
                <w:sz w:val="20"/>
                <w:szCs w:val="20"/>
              </w:rPr>
            </w:pPr>
            <w:r w:rsidRPr="00D51377">
              <w:rPr>
                <w:rFonts w:ascii="Verdana" w:hAnsi="Verdana" w:cs="Arial"/>
                <w:sz w:val="20"/>
                <w:szCs w:val="20"/>
              </w:rPr>
              <w:t>Urology:</w:t>
            </w:r>
            <w:r w:rsidR="00F75D8E" w:rsidRPr="00D51377">
              <w:rPr>
                <w:rFonts w:ascii="Verdana" w:hAnsi="Verdana" w:cs="Arial"/>
                <w:sz w:val="20"/>
                <w:szCs w:val="20"/>
              </w:rPr>
              <w:t xml:space="preserve"> </w:t>
            </w:r>
            <w:r w:rsidRPr="00D51377">
              <w:rPr>
                <w:rFonts w:ascii="Verdana" w:hAnsi="Verdana" w:cs="Arial"/>
                <w:sz w:val="20"/>
                <w:szCs w:val="20"/>
              </w:rPr>
              <w:t>Identified as the pathway with the highest number of breaches.</w:t>
            </w:r>
            <w:r w:rsidR="00D51377" w:rsidRPr="00D51377">
              <w:rPr>
                <w:rFonts w:ascii="Verdana" w:hAnsi="Verdana" w:cs="Arial"/>
                <w:sz w:val="20"/>
                <w:szCs w:val="20"/>
              </w:rPr>
              <w:t xml:space="preserve"> </w:t>
            </w:r>
            <w:r w:rsidRPr="00D51377">
              <w:rPr>
                <w:rFonts w:ascii="Verdana" w:hAnsi="Verdana" w:cs="Arial"/>
                <w:sz w:val="20"/>
                <w:szCs w:val="20"/>
              </w:rPr>
              <w:t>A revised action plan was developed in September 2025, replacing a version that had remained unchanged since early 2024.</w:t>
            </w:r>
          </w:p>
          <w:p w14:paraId="110B1863" w14:textId="60B60FB5" w:rsidR="008954C0" w:rsidRPr="00462FEE" w:rsidRDefault="00E3029D" w:rsidP="00E3029D">
            <w:pPr>
              <w:spacing w:before="120" w:after="120" w:line="22" w:lineRule="atLeast"/>
              <w:jc w:val="both"/>
              <w:rPr>
                <w:rFonts w:ascii="Verdana" w:hAnsi="Verdana"/>
                <w:sz w:val="20"/>
                <w:szCs w:val="20"/>
              </w:rPr>
            </w:pPr>
            <w:r w:rsidRPr="00E3029D">
              <w:rPr>
                <w:rFonts w:ascii="Verdana" w:hAnsi="Verdana" w:cs="Arial"/>
                <w:sz w:val="20"/>
                <w:szCs w:val="20"/>
              </w:rPr>
              <w:t>A newly appointed Assistant Director of Operations for Planned Care is expected to assume responsibility for Cancer Services, with a review of all tumour site action plans scheduled for October 2025.</w:t>
            </w:r>
          </w:p>
        </w:tc>
        <w:tc>
          <w:tcPr>
            <w:tcW w:w="2260" w:type="dxa"/>
            <w:vMerge w:val="restart"/>
            <w:tcBorders>
              <w:top w:val="nil"/>
            </w:tcBorders>
            <w:shd w:val="clear" w:color="auto" w:fill="FFFFFF" w:themeFill="background1"/>
          </w:tcPr>
          <w:p w14:paraId="71B34C3A" w14:textId="2CB5C81A" w:rsidR="008954C0" w:rsidRPr="00822DC5" w:rsidRDefault="008954C0" w:rsidP="008954C0">
            <w:pPr>
              <w:spacing w:before="120" w:after="120" w:line="22" w:lineRule="atLeast"/>
              <w:rPr>
                <w:rFonts w:ascii="Verdana" w:hAnsi="Verdana"/>
                <w:sz w:val="20"/>
                <w:szCs w:val="20"/>
              </w:rPr>
            </w:pPr>
            <w:r w:rsidRPr="008954C0">
              <w:rPr>
                <w:rFonts w:ascii="Verdana" w:hAnsi="Verdana"/>
                <w:sz w:val="20"/>
                <w:szCs w:val="20"/>
              </w:rPr>
              <w:lastRenderedPageBreak/>
              <w:t xml:space="preserve">Inconsistent </w:t>
            </w:r>
            <w:r w:rsidR="00542B18">
              <w:rPr>
                <w:rFonts w:ascii="Verdana" w:hAnsi="Verdana"/>
                <w:sz w:val="20"/>
                <w:szCs w:val="20"/>
              </w:rPr>
              <w:t xml:space="preserve">report content </w:t>
            </w:r>
            <w:r w:rsidRPr="008954C0">
              <w:rPr>
                <w:rFonts w:ascii="Verdana" w:hAnsi="Verdana"/>
                <w:sz w:val="20"/>
                <w:szCs w:val="20"/>
              </w:rPr>
              <w:t xml:space="preserve">and outdated tumour site planning may </w:t>
            </w:r>
            <w:r w:rsidR="002B1E70">
              <w:rPr>
                <w:rFonts w:ascii="Verdana" w:hAnsi="Verdana"/>
                <w:sz w:val="20"/>
                <w:szCs w:val="20"/>
              </w:rPr>
              <w:t>hinder</w:t>
            </w:r>
            <w:r w:rsidR="002B1E70" w:rsidRPr="008954C0">
              <w:rPr>
                <w:rFonts w:ascii="Verdana" w:hAnsi="Verdana"/>
                <w:sz w:val="20"/>
                <w:szCs w:val="20"/>
              </w:rPr>
              <w:t xml:space="preserve"> </w:t>
            </w:r>
            <w:r w:rsidR="00EC7002">
              <w:rPr>
                <w:rFonts w:ascii="Verdana" w:hAnsi="Verdana"/>
                <w:sz w:val="20"/>
                <w:szCs w:val="20"/>
              </w:rPr>
              <w:t xml:space="preserve">effective </w:t>
            </w:r>
            <w:r w:rsidRPr="008954C0">
              <w:rPr>
                <w:rFonts w:ascii="Verdana" w:hAnsi="Verdana"/>
                <w:sz w:val="20"/>
                <w:szCs w:val="20"/>
              </w:rPr>
              <w:t xml:space="preserve">oversight </w:t>
            </w:r>
            <w:r w:rsidR="002B1E70">
              <w:rPr>
                <w:rFonts w:ascii="Verdana" w:hAnsi="Verdana"/>
                <w:sz w:val="20"/>
                <w:szCs w:val="20"/>
              </w:rPr>
              <w:t xml:space="preserve">of cancer pathway performance. This limits the ability to </w:t>
            </w:r>
            <w:proofErr w:type="gramStart"/>
            <w:r w:rsidR="002B1E70">
              <w:rPr>
                <w:rFonts w:ascii="Verdana" w:hAnsi="Verdana"/>
                <w:sz w:val="20"/>
                <w:szCs w:val="20"/>
              </w:rPr>
              <w:t xml:space="preserve">track, </w:t>
            </w:r>
            <w:r w:rsidRPr="008954C0">
              <w:rPr>
                <w:rFonts w:ascii="Verdana" w:hAnsi="Verdana"/>
                <w:sz w:val="20"/>
                <w:szCs w:val="20"/>
              </w:rPr>
              <w:t xml:space="preserve"> progress</w:t>
            </w:r>
            <w:proofErr w:type="gramEnd"/>
            <w:r w:rsidR="002B1E70">
              <w:rPr>
                <w:rFonts w:ascii="Verdana" w:hAnsi="Verdana"/>
                <w:sz w:val="20"/>
                <w:szCs w:val="20"/>
              </w:rPr>
              <w:t xml:space="preserve">, </w:t>
            </w:r>
            <w:r w:rsidR="002B1E70">
              <w:rPr>
                <w:rFonts w:ascii="Verdana" w:hAnsi="Verdana"/>
                <w:sz w:val="20"/>
                <w:szCs w:val="20"/>
              </w:rPr>
              <w:lastRenderedPageBreak/>
              <w:t xml:space="preserve">identify issues and implement timely improvements, potentially delaying </w:t>
            </w:r>
            <w:r w:rsidRPr="008954C0">
              <w:rPr>
                <w:rFonts w:ascii="Verdana" w:hAnsi="Verdana"/>
                <w:sz w:val="20"/>
                <w:szCs w:val="20"/>
              </w:rPr>
              <w:t xml:space="preserve">service </w:t>
            </w:r>
            <w:r w:rsidR="002B1E70">
              <w:rPr>
                <w:rFonts w:ascii="Verdana" w:hAnsi="Verdana"/>
                <w:sz w:val="20"/>
                <w:szCs w:val="20"/>
              </w:rPr>
              <w:t>recovery and impacting patient outcomes</w:t>
            </w:r>
            <w:r w:rsidRPr="008954C0">
              <w:rPr>
                <w:rFonts w:ascii="Verdana" w:hAnsi="Verdana"/>
                <w:sz w:val="20"/>
                <w:szCs w:val="20"/>
              </w:rPr>
              <w:t>.</w:t>
            </w:r>
          </w:p>
        </w:tc>
        <w:tc>
          <w:tcPr>
            <w:tcW w:w="6710" w:type="dxa"/>
            <w:tcBorders>
              <w:top w:val="nil"/>
              <w:right w:val="nil"/>
            </w:tcBorders>
            <w:shd w:val="clear" w:color="auto" w:fill="FFFFFF" w:themeFill="background1"/>
          </w:tcPr>
          <w:p w14:paraId="06804B1B" w14:textId="77777777" w:rsidR="008954C0" w:rsidRPr="00822DC5" w:rsidRDefault="008954C0" w:rsidP="008954C0">
            <w:pPr>
              <w:spacing w:before="120" w:after="120"/>
              <w:rPr>
                <w:rFonts w:ascii="Verdana" w:hAnsi="Verdana"/>
                <w:b/>
                <w:bCs/>
                <w:sz w:val="20"/>
                <w:szCs w:val="20"/>
              </w:rPr>
            </w:pPr>
            <w:r w:rsidRPr="00822DC5">
              <w:rPr>
                <w:rFonts w:ascii="Verdana" w:hAnsi="Verdana"/>
                <w:b/>
                <w:bCs/>
                <w:sz w:val="20"/>
                <w:szCs w:val="20"/>
              </w:rPr>
              <w:lastRenderedPageBreak/>
              <w:t>Agreed Action:</w:t>
            </w:r>
          </w:p>
          <w:p w14:paraId="2ABFA0A1" w14:textId="77777777" w:rsidR="008954C0" w:rsidRPr="00ED52EC" w:rsidRDefault="00581D0B" w:rsidP="00ED52EC">
            <w:pPr>
              <w:numPr>
                <w:ilvl w:val="0"/>
                <w:numId w:val="5"/>
              </w:numPr>
              <w:spacing w:before="120" w:after="120"/>
              <w:jc w:val="both"/>
              <w:rPr>
                <w:rFonts w:ascii="Verdana" w:hAnsi="Verdana"/>
                <w:i/>
                <w:sz w:val="20"/>
                <w:szCs w:val="20"/>
              </w:rPr>
            </w:pPr>
            <w:r w:rsidRPr="00ED52EC">
              <w:rPr>
                <w:rFonts w:ascii="Verdana" w:hAnsi="Verdana"/>
                <w:i/>
                <w:sz w:val="20"/>
                <w:szCs w:val="20"/>
              </w:rPr>
              <w:t>Introduce a consistent reporting template across all tumour sites that includes dated escalation entries, current breach data, and a regularly updated action log.</w:t>
            </w:r>
          </w:p>
          <w:p w14:paraId="02CDEC02" w14:textId="422E020E" w:rsidR="00B9314F" w:rsidRPr="00822DC5" w:rsidRDefault="00B9314F" w:rsidP="00ED52EC">
            <w:pPr>
              <w:numPr>
                <w:ilvl w:val="0"/>
                <w:numId w:val="5"/>
              </w:numPr>
              <w:spacing w:before="120" w:after="120"/>
              <w:jc w:val="both"/>
              <w:rPr>
                <w:rFonts w:ascii="Verdana" w:hAnsi="Verdana"/>
                <w:sz w:val="20"/>
                <w:szCs w:val="20"/>
              </w:rPr>
            </w:pPr>
            <w:r w:rsidRPr="00ED52EC">
              <w:rPr>
                <w:rFonts w:ascii="Verdana" w:hAnsi="Verdana"/>
                <w:i/>
                <w:sz w:val="20"/>
                <w:szCs w:val="20"/>
              </w:rPr>
              <w:t>Establish a formal schedule for reviewing and updating action plans, ensuring they reflect current challenges, progress, and internal feedback (e.g., RAG rating revisions).</w:t>
            </w:r>
          </w:p>
        </w:tc>
      </w:tr>
      <w:tr w:rsidR="002B1E70" w:rsidRPr="00822DC5" w14:paraId="63C00570" w14:textId="77777777">
        <w:tc>
          <w:tcPr>
            <w:tcW w:w="566" w:type="dxa"/>
            <w:vMerge/>
            <w:tcBorders>
              <w:left w:val="nil"/>
            </w:tcBorders>
            <w:shd w:val="clear" w:color="auto" w:fill="FFFFFF" w:themeFill="background1"/>
          </w:tcPr>
          <w:p w14:paraId="28A72BDF" w14:textId="77777777" w:rsidR="008954C0" w:rsidRPr="00822DC5" w:rsidRDefault="008954C0" w:rsidP="008954C0">
            <w:pPr>
              <w:spacing w:before="120" w:after="120" w:line="22" w:lineRule="atLeast"/>
              <w:jc w:val="center"/>
              <w:rPr>
                <w:rFonts w:ascii="Verdana" w:hAnsi="Verdana"/>
                <w:sz w:val="20"/>
                <w:szCs w:val="20"/>
              </w:rPr>
            </w:pPr>
          </w:p>
        </w:tc>
        <w:tc>
          <w:tcPr>
            <w:tcW w:w="6630" w:type="dxa"/>
            <w:vMerge/>
            <w:shd w:val="clear" w:color="auto" w:fill="FFFFFF" w:themeFill="background1"/>
          </w:tcPr>
          <w:p w14:paraId="304AE08E" w14:textId="77777777" w:rsidR="008954C0" w:rsidRPr="00822DC5" w:rsidRDefault="008954C0" w:rsidP="008954C0">
            <w:pPr>
              <w:spacing w:before="120" w:after="120" w:line="22" w:lineRule="atLeast"/>
              <w:rPr>
                <w:rFonts w:ascii="Verdana" w:hAnsi="Verdana"/>
                <w:sz w:val="20"/>
                <w:szCs w:val="20"/>
              </w:rPr>
            </w:pPr>
          </w:p>
        </w:tc>
        <w:tc>
          <w:tcPr>
            <w:tcW w:w="2260" w:type="dxa"/>
            <w:vMerge/>
            <w:tcBorders>
              <w:bottom w:val="dotted" w:sz="4" w:space="0" w:color="002060"/>
            </w:tcBorders>
            <w:shd w:val="clear" w:color="auto" w:fill="FFFFFF" w:themeFill="background1"/>
            <w:vAlign w:val="center"/>
          </w:tcPr>
          <w:p w14:paraId="4395798F" w14:textId="77777777" w:rsidR="008954C0" w:rsidRPr="00822DC5" w:rsidRDefault="008954C0" w:rsidP="008954C0">
            <w:pPr>
              <w:spacing w:before="120" w:after="120" w:line="22" w:lineRule="atLeast"/>
              <w:jc w:val="center"/>
              <w:rPr>
                <w:rFonts w:ascii="Verdana" w:hAnsi="Verdana"/>
                <w:sz w:val="20"/>
                <w:szCs w:val="20"/>
              </w:rPr>
            </w:pPr>
          </w:p>
        </w:tc>
        <w:tc>
          <w:tcPr>
            <w:tcW w:w="6710" w:type="dxa"/>
            <w:tcBorders>
              <w:right w:val="nil"/>
            </w:tcBorders>
            <w:shd w:val="clear" w:color="auto" w:fill="FFFFFF" w:themeFill="background1"/>
          </w:tcPr>
          <w:p w14:paraId="586531D9" w14:textId="77777777" w:rsidR="008954C0" w:rsidRPr="00822DC5" w:rsidRDefault="008954C0" w:rsidP="008954C0">
            <w:pPr>
              <w:spacing w:before="120" w:after="120"/>
              <w:rPr>
                <w:rFonts w:ascii="Verdana" w:hAnsi="Verdana"/>
                <w:b/>
                <w:bCs/>
                <w:sz w:val="20"/>
                <w:szCs w:val="20"/>
              </w:rPr>
            </w:pPr>
            <w:r w:rsidRPr="00822DC5">
              <w:rPr>
                <w:rFonts w:ascii="Verdana" w:hAnsi="Verdana"/>
                <w:b/>
                <w:bCs/>
                <w:sz w:val="20"/>
                <w:szCs w:val="20"/>
              </w:rPr>
              <w:t>Expected Evidence of Implementation:</w:t>
            </w:r>
          </w:p>
          <w:p w14:paraId="0E0487F1" w14:textId="77777777" w:rsidR="00950012" w:rsidRPr="00ED52EC" w:rsidRDefault="00950012" w:rsidP="00ED52EC">
            <w:pPr>
              <w:spacing w:before="120" w:after="120" w:line="22" w:lineRule="atLeast"/>
              <w:jc w:val="both"/>
              <w:rPr>
                <w:rFonts w:ascii="Verdana" w:hAnsi="Verdana"/>
                <w:i/>
                <w:sz w:val="20"/>
                <w:szCs w:val="20"/>
              </w:rPr>
            </w:pPr>
            <w:r w:rsidRPr="00ED52EC">
              <w:rPr>
                <w:rFonts w:ascii="Verdana" w:hAnsi="Verdana"/>
                <w:i/>
                <w:sz w:val="20"/>
                <w:szCs w:val="20"/>
              </w:rPr>
              <w:t>Approved standardised performance report template</w:t>
            </w:r>
          </w:p>
          <w:p w14:paraId="0A2764DE" w14:textId="77777777" w:rsidR="008954C0" w:rsidRPr="00ED52EC" w:rsidRDefault="00950012" w:rsidP="00ED52EC">
            <w:pPr>
              <w:spacing w:before="120" w:after="120" w:line="22" w:lineRule="atLeast"/>
              <w:jc w:val="both"/>
              <w:rPr>
                <w:rFonts w:ascii="Verdana" w:hAnsi="Verdana"/>
                <w:i/>
                <w:sz w:val="20"/>
                <w:szCs w:val="20"/>
              </w:rPr>
            </w:pPr>
            <w:r w:rsidRPr="00ED52EC">
              <w:rPr>
                <w:rFonts w:ascii="Verdana" w:hAnsi="Verdana"/>
                <w:i/>
                <w:sz w:val="20"/>
                <w:szCs w:val="20"/>
              </w:rPr>
              <w:t>Completed reports for each tumour site using the new format</w:t>
            </w:r>
          </w:p>
          <w:p w14:paraId="0CA76C9A" w14:textId="77777777" w:rsidR="00950012" w:rsidRPr="00ED52EC" w:rsidRDefault="00950012" w:rsidP="00ED52EC">
            <w:pPr>
              <w:spacing w:before="120" w:after="120" w:line="22" w:lineRule="atLeast"/>
              <w:jc w:val="both"/>
              <w:rPr>
                <w:rFonts w:ascii="Verdana" w:hAnsi="Verdana"/>
                <w:i/>
                <w:sz w:val="20"/>
                <w:szCs w:val="20"/>
              </w:rPr>
            </w:pPr>
            <w:r w:rsidRPr="00ED52EC">
              <w:rPr>
                <w:rFonts w:ascii="Verdana" w:hAnsi="Verdana"/>
                <w:i/>
                <w:sz w:val="20"/>
                <w:szCs w:val="20"/>
              </w:rPr>
              <w:t>Updated action plans with version history</w:t>
            </w:r>
          </w:p>
          <w:p w14:paraId="3D3635F0" w14:textId="34206CDD" w:rsidR="001D355D" w:rsidRPr="00822DC5" w:rsidRDefault="001D355D" w:rsidP="00ED52EC">
            <w:pPr>
              <w:spacing w:before="120" w:after="120" w:line="22" w:lineRule="atLeast"/>
              <w:jc w:val="both"/>
              <w:rPr>
                <w:rFonts w:ascii="Verdana" w:hAnsi="Verdana"/>
                <w:sz w:val="20"/>
                <w:szCs w:val="20"/>
              </w:rPr>
            </w:pPr>
            <w:r w:rsidRPr="00ED52EC">
              <w:rPr>
                <w:rFonts w:ascii="Verdana" w:hAnsi="Verdana"/>
                <w:i/>
                <w:sz w:val="20"/>
                <w:szCs w:val="20"/>
              </w:rPr>
              <w:t>Updated de-escalation plan and oversight report reflecting reviewed plans</w:t>
            </w:r>
          </w:p>
        </w:tc>
      </w:tr>
      <w:tr w:rsidR="002B1E70" w:rsidRPr="00822DC5" w14:paraId="243F60FB" w14:textId="77777777" w:rsidTr="00AA735D">
        <w:trPr>
          <w:trHeight w:val="1246"/>
        </w:trPr>
        <w:tc>
          <w:tcPr>
            <w:tcW w:w="566" w:type="dxa"/>
            <w:vMerge/>
            <w:tcBorders>
              <w:left w:val="nil"/>
            </w:tcBorders>
            <w:shd w:val="clear" w:color="auto" w:fill="FFFFFF" w:themeFill="background1"/>
          </w:tcPr>
          <w:p w14:paraId="589D7DF1" w14:textId="77777777" w:rsidR="008954C0" w:rsidRPr="00822DC5" w:rsidRDefault="008954C0" w:rsidP="008954C0">
            <w:pPr>
              <w:spacing w:before="120" w:after="120" w:line="22" w:lineRule="atLeast"/>
              <w:jc w:val="center"/>
              <w:rPr>
                <w:rFonts w:ascii="Verdana" w:hAnsi="Verdana"/>
                <w:sz w:val="20"/>
                <w:szCs w:val="20"/>
              </w:rPr>
            </w:pPr>
          </w:p>
        </w:tc>
        <w:tc>
          <w:tcPr>
            <w:tcW w:w="6630" w:type="dxa"/>
            <w:vMerge/>
            <w:shd w:val="clear" w:color="auto" w:fill="FFFFFF" w:themeFill="background1"/>
          </w:tcPr>
          <w:p w14:paraId="2CF561BD" w14:textId="77777777" w:rsidR="008954C0" w:rsidRPr="00822DC5" w:rsidRDefault="008954C0" w:rsidP="008954C0">
            <w:pPr>
              <w:spacing w:before="120" w:after="120" w:line="22" w:lineRule="atLeast"/>
              <w:rPr>
                <w:rFonts w:ascii="Verdana" w:hAnsi="Verdana" w:cs="Arial"/>
                <w:color w:val="002060"/>
                <w:sz w:val="20"/>
                <w:szCs w:val="20"/>
              </w:rPr>
            </w:pPr>
          </w:p>
        </w:tc>
        <w:tc>
          <w:tcPr>
            <w:tcW w:w="2260" w:type="dxa"/>
            <w:tcBorders>
              <w:bottom w:val="nil"/>
            </w:tcBorders>
            <w:shd w:val="clear" w:color="auto" w:fill="EE0000"/>
            <w:vAlign w:val="center"/>
          </w:tcPr>
          <w:p w14:paraId="5CB36BAC" w14:textId="18112E8A" w:rsidR="008954C0" w:rsidRPr="00B005BA" w:rsidRDefault="008954C0" w:rsidP="008954C0">
            <w:pPr>
              <w:spacing w:line="22" w:lineRule="atLeast"/>
              <w:jc w:val="center"/>
              <w:rPr>
                <w:rFonts w:ascii="Verdana" w:hAnsi="Verdana"/>
                <w:b/>
                <w:bCs/>
                <w:sz w:val="20"/>
                <w:szCs w:val="20"/>
              </w:rPr>
            </w:pPr>
            <w:r>
              <w:rPr>
                <w:rFonts w:ascii="Verdana" w:hAnsi="Verdana"/>
                <w:b/>
                <w:bCs/>
                <w:sz w:val="20"/>
                <w:szCs w:val="20"/>
              </w:rPr>
              <w:t xml:space="preserve"> </w:t>
            </w:r>
            <w:sdt>
              <w:sdtPr>
                <w:rPr>
                  <w:rFonts w:ascii="Verdana" w:hAnsi="Verdana"/>
                  <w:b/>
                  <w:bCs/>
                  <w:color w:val="FFFFFF" w:themeColor="background1"/>
                  <w:sz w:val="20"/>
                  <w:szCs w:val="20"/>
                  <w:shd w:val="clear" w:color="auto" w:fill="EE0000"/>
                </w:rPr>
                <w:alias w:val="Priority"/>
                <w:tag w:val="Priority"/>
                <w:id w:val="713245522"/>
                <w:placeholder>
                  <w:docPart w:val="FC80AB8439FF45ECA2A8856F677DB596"/>
                </w:placeholder>
                <w:dropDownList>
                  <w:listItem w:value="Choose an item."/>
                  <w:listItem w:displayText="High Priority" w:value="High Priority"/>
                  <w:listItem w:displayText="Medium Priority" w:value="Medium Priority"/>
                </w:dropDownList>
              </w:sdtPr>
              <w:sdtEndPr/>
              <w:sdtContent>
                <w:r w:rsidR="009619E6" w:rsidRPr="00AA735D">
                  <w:rPr>
                    <w:rFonts w:ascii="Verdana" w:hAnsi="Verdana"/>
                    <w:b/>
                    <w:bCs/>
                    <w:color w:val="FFFFFF" w:themeColor="background1"/>
                    <w:sz w:val="20"/>
                    <w:szCs w:val="20"/>
                    <w:shd w:val="clear" w:color="auto" w:fill="EE0000"/>
                  </w:rPr>
                  <w:t>High Priority</w:t>
                </w:r>
              </w:sdtContent>
            </w:sdt>
          </w:p>
        </w:tc>
        <w:tc>
          <w:tcPr>
            <w:tcW w:w="6710" w:type="dxa"/>
            <w:vMerge w:val="restart"/>
            <w:tcBorders>
              <w:right w:val="nil"/>
            </w:tcBorders>
            <w:shd w:val="clear" w:color="auto" w:fill="FFFFFF" w:themeFill="background1"/>
            <w:vAlign w:val="center"/>
          </w:tcPr>
          <w:p w14:paraId="6A36816B" w14:textId="70FB064F" w:rsidR="008954C0" w:rsidRPr="00822DC5" w:rsidRDefault="008954C0" w:rsidP="008954C0">
            <w:pPr>
              <w:spacing w:before="120" w:after="120"/>
              <w:rPr>
                <w:rFonts w:ascii="Verdana" w:hAnsi="Verdana"/>
                <w:b/>
                <w:bCs/>
                <w:sz w:val="20"/>
                <w:szCs w:val="20"/>
              </w:rPr>
            </w:pPr>
            <w:r w:rsidRPr="00822DC5">
              <w:rPr>
                <w:rFonts w:ascii="Verdana" w:hAnsi="Verdana"/>
                <w:b/>
                <w:bCs/>
                <w:sz w:val="20"/>
                <w:szCs w:val="20"/>
              </w:rPr>
              <w:t xml:space="preserve">Officer: </w:t>
            </w:r>
            <w:r w:rsidR="00855BE1">
              <w:rPr>
                <w:rFonts w:ascii="Verdana" w:hAnsi="Verdana"/>
                <w:b/>
                <w:bCs/>
                <w:sz w:val="20"/>
                <w:szCs w:val="20"/>
              </w:rPr>
              <w:t>Director of Performance &amp; Business Intelligence</w:t>
            </w:r>
          </w:p>
          <w:p w14:paraId="480FE134" w14:textId="7CC9D5B1" w:rsidR="008954C0" w:rsidRPr="00822DC5" w:rsidRDefault="008954C0" w:rsidP="008954C0">
            <w:pPr>
              <w:spacing w:before="120" w:after="120" w:line="22" w:lineRule="atLeast"/>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r w:rsidR="00855BE1">
              <w:rPr>
                <w:rFonts w:ascii="Verdana" w:hAnsi="Verdana"/>
                <w:b/>
                <w:bCs/>
                <w:sz w:val="20"/>
                <w:szCs w:val="20"/>
              </w:rPr>
              <w:t xml:space="preserve"> April 2026</w:t>
            </w:r>
          </w:p>
        </w:tc>
      </w:tr>
      <w:tr w:rsidR="002B1E70" w:rsidRPr="00822DC5" w14:paraId="0BEA2611" w14:textId="77777777">
        <w:trPr>
          <w:trHeight w:hRule="exact" w:val="567"/>
        </w:trPr>
        <w:tc>
          <w:tcPr>
            <w:tcW w:w="566" w:type="dxa"/>
            <w:vMerge/>
            <w:tcBorders>
              <w:left w:val="nil"/>
              <w:bottom w:val="dotted" w:sz="4" w:space="0" w:color="002060"/>
            </w:tcBorders>
            <w:shd w:val="clear" w:color="auto" w:fill="FFFFFF" w:themeFill="background1"/>
          </w:tcPr>
          <w:p w14:paraId="2E7855E6" w14:textId="77777777" w:rsidR="008954C0" w:rsidRPr="00822DC5" w:rsidRDefault="008954C0" w:rsidP="008954C0">
            <w:pPr>
              <w:spacing w:before="120" w:after="120" w:line="22" w:lineRule="atLeast"/>
              <w:jc w:val="center"/>
              <w:rPr>
                <w:rFonts w:ascii="Verdana" w:hAnsi="Verdana"/>
                <w:sz w:val="20"/>
                <w:szCs w:val="20"/>
              </w:rPr>
            </w:pPr>
          </w:p>
        </w:tc>
        <w:tc>
          <w:tcPr>
            <w:tcW w:w="6630" w:type="dxa"/>
            <w:shd w:val="clear" w:color="auto" w:fill="FFFFFF" w:themeFill="background1"/>
            <w:vAlign w:val="center"/>
          </w:tcPr>
          <w:p w14:paraId="598434CA" w14:textId="49BC1BE2" w:rsidR="008954C0" w:rsidRPr="00822DC5" w:rsidRDefault="008954C0" w:rsidP="008954C0">
            <w:pPr>
              <w:spacing w:line="22" w:lineRule="atLeast"/>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393738787"/>
                <w:placeholder>
                  <w:docPart w:val="14672A8D84A64E8089C15B5969C7DE9D"/>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4770A5">
                  <w:rPr>
                    <w:rStyle w:val="Themes"/>
                    <w:szCs w:val="20"/>
                  </w:rPr>
                  <w:t>Performance Monitoring</w:t>
                </w:r>
              </w:sdtContent>
            </w:sdt>
          </w:p>
        </w:tc>
        <w:sdt>
          <w:sdtPr>
            <w:rPr>
              <w:rFonts w:ascii="Verdana" w:hAnsi="Verdana"/>
              <w:sz w:val="20"/>
              <w:szCs w:val="20"/>
            </w:rPr>
            <w:alias w:val="Design/Operation"/>
            <w:tag w:val="Design/Operation"/>
            <w:id w:val="1048952683"/>
            <w:placeholder>
              <w:docPart w:val="3D0AC98762824D68BC439E08FEC19DE0"/>
            </w:placeholder>
            <w:dropDownList>
              <w:listItem w:value="Choose an item."/>
              <w:listItem w:displayText="Control Design " w:value="Control Design "/>
              <w:listItem w:displayText="Control Operation " w:value="Control Operation "/>
            </w:dropDownList>
          </w:sdtPr>
          <w:sdtEndPr/>
          <w:sdtContent>
            <w:tc>
              <w:tcPr>
                <w:tcW w:w="2260" w:type="dxa"/>
                <w:tcBorders>
                  <w:top w:val="nil"/>
                </w:tcBorders>
                <w:shd w:val="clear" w:color="auto" w:fill="FFFFFF" w:themeFill="background1"/>
                <w:vAlign w:val="center"/>
              </w:tcPr>
              <w:p w14:paraId="3FEA1A3A" w14:textId="1D5A7A73" w:rsidR="008954C0" w:rsidRPr="00822DC5" w:rsidRDefault="001236AE" w:rsidP="008954C0">
                <w:pPr>
                  <w:spacing w:line="22" w:lineRule="atLeast"/>
                  <w:jc w:val="center"/>
                  <w:rPr>
                    <w:rFonts w:ascii="Verdana" w:hAnsi="Verdana"/>
                    <w:sz w:val="20"/>
                    <w:szCs w:val="20"/>
                  </w:rPr>
                </w:pPr>
                <w:r>
                  <w:rPr>
                    <w:rFonts w:ascii="Verdana" w:hAnsi="Verdana"/>
                    <w:sz w:val="20"/>
                    <w:szCs w:val="20"/>
                  </w:rPr>
                  <w:t xml:space="preserve">Control Operation </w:t>
                </w:r>
              </w:p>
            </w:tc>
          </w:sdtContent>
        </w:sdt>
        <w:tc>
          <w:tcPr>
            <w:tcW w:w="6710" w:type="dxa"/>
            <w:vMerge/>
            <w:tcBorders>
              <w:right w:val="nil"/>
            </w:tcBorders>
            <w:shd w:val="clear" w:color="auto" w:fill="FFFFFF" w:themeFill="background1"/>
          </w:tcPr>
          <w:p w14:paraId="12FCEBAE" w14:textId="77777777" w:rsidR="008954C0" w:rsidRPr="00822DC5" w:rsidRDefault="008954C0" w:rsidP="008954C0">
            <w:pPr>
              <w:spacing w:before="120" w:after="120" w:line="22" w:lineRule="atLeast"/>
              <w:rPr>
                <w:rFonts w:ascii="Verdana" w:hAnsi="Verdana"/>
                <w:sz w:val="20"/>
                <w:szCs w:val="20"/>
              </w:rPr>
            </w:pPr>
          </w:p>
        </w:tc>
      </w:tr>
      <w:tr w:rsidR="002B1E70" w:rsidRPr="00822DC5" w14:paraId="1514F576" w14:textId="77777777">
        <w:trPr>
          <w:trHeight w:val="2608"/>
        </w:trPr>
        <w:tc>
          <w:tcPr>
            <w:tcW w:w="566" w:type="dxa"/>
            <w:vMerge w:val="restart"/>
            <w:tcBorders>
              <w:top w:val="dotted" w:sz="4" w:space="0" w:color="002060"/>
              <w:left w:val="nil"/>
            </w:tcBorders>
            <w:shd w:val="clear" w:color="auto" w:fill="FFFFFF" w:themeFill="background1"/>
          </w:tcPr>
          <w:p w14:paraId="30C301F7" w14:textId="4B687332" w:rsidR="008954C0" w:rsidRPr="00822DC5" w:rsidRDefault="008954C0" w:rsidP="008954C0">
            <w:pPr>
              <w:spacing w:before="120" w:after="120" w:line="22" w:lineRule="atLeast"/>
              <w:jc w:val="center"/>
              <w:rPr>
                <w:rFonts w:ascii="Verdana" w:hAnsi="Verdana"/>
                <w:sz w:val="20"/>
                <w:szCs w:val="20"/>
              </w:rPr>
            </w:pPr>
            <w:r>
              <w:rPr>
                <w:rFonts w:ascii="Verdana" w:hAnsi="Verdana"/>
                <w:sz w:val="20"/>
                <w:szCs w:val="20"/>
              </w:rPr>
              <w:lastRenderedPageBreak/>
              <w:t>8</w:t>
            </w:r>
          </w:p>
        </w:tc>
        <w:tc>
          <w:tcPr>
            <w:tcW w:w="6630" w:type="dxa"/>
            <w:vMerge w:val="restart"/>
            <w:tcBorders>
              <w:top w:val="dotted" w:sz="4" w:space="0" w:color="002060"/>
            </w:tcBorders>
            <w:shd w:val="clear" w:color="auto" w:fill="FFFFFF" w:themeFill="background1"/>
          </w:tcPr>
          <w:p w14:paraId="20C87182" w14:textId="77777777" w:rsidR="008954C0" w:rsidRPr="008954C0" w:rsidRDefault="008954C0" w:rsidP="008954C0">
            <w:pPr>
              <w:spacing w:before="120" w:after="120" w:line="22" w:lineRule="atLeast"/>
              <w:rPr>
                <w:rFonts w:ascii="Verdana" w:hAnsi="Verdana" w:cs="Arial"/>
                <w:b/>
                <w:bCs/>
                <w:sz w:val="20"/>
                <w:szCs w:val="20"/>
              </w:rPr>
            </w:pPr>
            <w:r w:rsidRPr="008954C0">
              <w:rPr>
                <w:rFonts w:ascii="Verdana" w:hAnsi="Verdana" w:cs="Arial"/>
                <w:b/>
                <w:bCs/>
                <w:sz w:val="20"/>
                <w:szCs w:val="20"/>
              </w:rPr>
              <w:t>Suspension of Key HCAI Oversight Forums</w:t>
            </w:r>
          </w:p>
          <w:p w14:paraId="5FBF090D" w14:textId="61EFFA9F" w:rsidR="008954C0" w:rsidRPr="004004A8" w:rsidRDefault="008954C0" w:rsidP="00ED52EC">
            <w:pPr>
              <w:spacing w:before="120" w:after="120" w:line="22" w:lineRule="atLeast"/>
              <w:jc w:val="both"/>
              <w:rPr>
                <w:rFonts w:ascii="Verdana" w:hAnsi="Verdana" w:cs="Arial"/>
                <w:sz w:val="20"/>
                <w:szCs w:val="20"/>
              </w:rPr>
            </w:pPr>
            <w:r w:rsidRPr="008954C0">
              <w:rPr>
                <w:rFonts w:ascii="Verdana" w:hAnsi="Verdana" w:cs="Arial"/>
                <w:sz w:val="20"/>
                <w:szCs w:val="20"/>
              </w:rPr>
              <w:t>Review of documentation confirmed the operation of the Gold Clostridioides difficile (C. diff) High Incidence Management Group (HIMG) between September 2024 and June 2025, supported by regular Silver (Service Group) reporting. However, the Gold HIMG is currently paused following the departure of its Chair, the Deputy Executive Medical Director, in May 2025. Similarly, the Executive HCAI Scrutiny Meeting, established in May 2024 to provide strategic oversight, is also on hiatus following the same leadership change</w:t>
            </w:r>
            <w:r w:rsidR="00CF3776">
              <w:rPr>
                <w:rFonts w:ascii="Verdana" w:hAnsi="Verdana" w:cs="Arial"/>
                <w:sz w:val="20"/>
                <w:szCs w:val="20"/>
              </w:rPr>
              <w:t>.</w:t>
            </w:r>
          </w:p>
        </w:tc>
        <w:tc>
          <w:tcPr>
            <w:tcW w:w="2260" w:type="dxa"/>
            <w:vMerge w:val="restart"/>
            <w:tcBorders>
              <w:top w:val="dotted" w:sz="4" w:space="0" w:color="002060"/>
            </w:tcBorders>
            <w:shd w:val="clear" w:color="auto" w:fill="FFFFFF" w:themeFill="background1"/>
          </w:tcPr>
          <w:p w14:paraId="3ECB183B" w14:textId="3E545927" w:rsidR="008954C0" w:rsidRPr="00822DC5" w:rsidRDefault="008954C0" w:rsidP="008954C0">
            <w:pPr>
              <w:spacing w:before="120" w:after="120" w:line="22" w:lineRule="atLeast"/>
              <w:rPr>
                <w:rFonts w:ascii="Verdana" w:hAnsi="Verdana"/>
                <w:sz w:val="20"/>
                <w:szCs w:val="20"/>
              </w:rPr>
            </w:pPr>
            <w:r w:rsidRPr="00C96655">
              <w:rPr>
                <w:rFonts w:ascii="Verdana" w:hAnsi="Verdana"/>
                <w:sz w:val="20"/>
                <w:szCs w:val="20"/>
              </w:rPr>
              <w:t xml:space="preserve">The suspension of key HCAI oversight forums may weaken </w:t>
            </w:r>
            <w:r w:rsidR="00C07637">
              <w:rPr>
                <w:rFonts w:ascii="Verdana" w:hAnsi="Verdana"/>
                <w:sz w:val="20"/>
                <w:szCs w:val="20"/>
              </w:rPr>
              <w:t>strategic</w:t>
            </w:r>
            <w:r w:rsidR="00C07637" w:rsidRPr="00C96655">
              <w:rPr>
                <w:rFonts w:ascii="Verdana" w:hAnsi="Verdana"/>
                <w:sz w:val="20"/>
                <w:szCs w:val="20"/>
              </w:rPr>
              <w:t xml:space="preserve"> </w:t>
            </w:r>
            <w:r w:rsidRPr="00C96655">
              <w:rPr>
                <w:rFonts w:ascii="Verdana" w:hAnsi="Verdana"/>
                <w:sz w:val="20"/>
                <w:szCs w:val="20"/>
              </w:rPr>
              <w:t>focus</w:t>
            </w:r>
            <w:r w:rsidR="00C07637">
              <w:rPr>
                <w:rFonts w:ascii="Verdana" w:hAnsi="Verdana"/>
                <w:sz w:val="20"/>
                <w:szCs w:val="20"/>
              </w:rPr>
              <w:t xml:space="preserve"> on </w:t>
            </w:r>
            <w:r w:rsidR="00C07637" w:rsidRPr="00C96655">
              <w:rPr>
                <w:rFonts w:ascii="Verdana" w:hAnsi="Verdana"/>
                <w:sz w:val="20"/>
                <w:szCs w:val="20"/>
              </w:rPr>
              <w:t>infection prevention and control</w:t>
            </w:r>
            <w:r w:rsidRPr="00C96655">
              <w:rPr>
                <w:rFonts w:ascii="Verdana" w:hAnsi="Verdana"/>
                <w:sz w:val="20"/>
                <w:szCs w:val="20"/>
              </w:rPr>
              <w:t xml:space="preserve">, delay escalation of emerging risks, and reduce assurance over </w:t>
            </w:r>
            <w:r w:rsidR="00394E2A">
              <w:rPr>
                <w:rFonts w:ascii="Verdana" w:hAnsi="Verdana"/>
                <w:sz w:val="20"/>
                <w:szCs w:val="20"/>
              </w:rPr>
              <w:t>organisational response</w:t>
            </w:r>
            <w:r w:rsidRPr="00C96655">
              <w:rPr>
                <w:rFonts w:ascii="Verdana" w:hAnsi="Verdana"/>
                <w:sz w:val="20"/>
                <w:szCs w:val="20"/>
              </w:rPr>
              <w:t>.</w:t>
            </w:r>
            <w:r w:rsidR="00394E2A">
              <w:rPr>
                <w:rFonts w:ascii="Verdana" w:hAnsi="Verdana"/>
                <w:sz w:val="20"/>
                <w:szCs w:val="20"/>
              </w:rPr>
              <w:t xml:space="preserve"> </w:t>
            </w:r>
            <w:r w:rsidR="00394E2A" w:rsidRPr="00394E2A">
              <w:rPr>
                <w:rFonts w:ascii="Verdana" w:hAnsi="Verdana"/>
                <w:sz w:val="20"/>
                <w:szCs w:val="20"/>
              </w:rPr>
              <w:t>This could impact the Health Board’s ability to maintain safe care environments and respond effectively to high-incidence infections.</w:t>
            </w:r>
          </w:p>
        </w:tc>
        <w:tc>
          <w:tcPr>
            <w:tcW w:w="6710" w:type="dxa"/>
            <w:tcBorders>
              <w:top w:val="dotted" w:sz="4" w:space="0" w:color="002060"/>
              <w:right w:val="nil"/>
            </w:tcBorders>
            <w:shd w:val="clear" w:color="auto" w:fill="FFFFFF" w:themeFill="background1"/>
          </w:tcPr>
          <w:p w14:paraId="7738DFC7" w14:textId="77777777" w:rsidR="008954C0" w:rsidRPr="00822DC5" w:rsidRDefault="008954C0" w:rsidP="008954C0">
            <w:pPr>
              <w:spacing w:before="120" w:after="120"/>
              <w:rPr>
                <w:rFonts w:ascii="Verdana" w:hAnsi="Verdana"/>
                <w:b/>
                <w:bCs/>
                <w:sz w:val="20"/>
                <w:szCs w:val="20"/>
              </w:rPr>
            </w:pPr>
            <w:r w:rsidRPr="00822DC5">
              <w:rPr>
                <w:rFonts w:ascii="Verdana" w:hAnsi="Verdana"/>
                <w:b/>
                <w:bCs/>
                <w:sz w:val="20"/>
                <w:szCs w:val="20"/>
              </w:rPr>
              <w:t>Agreed Action:</w:t>
            </w:r>
          </w:p>
          <w:p w14:paraId="09BC08DD" w14:textId="77777777" w:rsidR="008954C0" w:rsidRPr="00ED52EC" w:rsidRDefault="001349D1" w:rsidP="00ED52EC">
            <w:pPr>
              <w:spacing w:before="120" w:after="120"/>
              <w:jc w:val="both"/>
              <w:rPr>
                <w:rFonts w:ascii="Verdana" w:hAnsi="Verdana"/>
                <w:i/>
                <w:sz w:val="20"/>
                <w:szCs w:val="20"/>
              </w:rPr>
            </w:pPr>
            <w:r w:rsidRPr="00ED52EC">
              <w:rPr>
                <w:rFonts w:ascii="Verdana" w:hAnsi="Verdana"/>
                <w:i/>
                <w:sz w:val="20"/>
                <w:szCs w:val="20"/>
              </w:rPr>
              <w:t>Identify and appoint a suitable senior clinical leader to chair the Gold HIMG, ensuring continuity in oversight and strategic response to high incidence C. diff cases.</w:t>
            </w:r>
          </w:p>
          <w:p w14:paraId="50277734" w14:textId="2F16E3CF" w:rsidR="00C90FCD" w:rsidRPr="00822DC5" w:rsidRDefault="00C90FCD" w:rsidP="00ED52EC">
            <w:pPr>
              <w:spacing w:before="120" w:after="120"/>
              <w:jc w:val="both"/>
              <w:rPr>
                <w:rFonts w:ascii="Verdana" w:hAnsi="Verdana"/>
                <w:sz w:val="20"/>
                <w:szCs w:val="20"/>
              </w:rPr>
            </w:pPr>
            <w:r w:rsidRPr="00ED52EC">
              <w:rPr>
                <w:rFonts w:ascii="Verdana" w:hAnsi="Verdana"/>
                <w:i/>
                <w:sz w:val="20"/>
                <w:szCs w:val="20"/>
              </w:rPr>
              <w:t>Re-establish the Executive HCAI Scrutiny Meeting</w:t>
            </w:r>
            <w:r w:rsidR="00505A7A" w:rsidRPr="00ED52EC">
              <w:rPr>
                <w:rFonts w:ascii="Verdana" w:hAnsi="Verdana"/>
                <w:i/>
                <w:sz w:val="20"/>
                <w:szCs w:val="20"/>
              </w:rPr>
              <w:t>.</w:t>
            </w:r>
          </w:p>
        </w:tc>
      </w:tr>
      <w:tr w:rsidR="002B1E70" w:rsidRPr="00822DC5" w14:paraId="5E505E2B" w14:textId="77777777">
        <w:tc>
          <w:tcPr>
            <w:tcW w:w="566" w:type="dxa"/>
            <w:vMerge/>
            <w:tcBorders>
              <w:left w:val="nil"/>
            </w:tcBorders>
            <w:shd w:val="clear" w:color="auto" w:fill="FFFFFF" w:themeFill="background1"/>
          </w:tcPr>
          <w:p w14:paraId="60197519" w14:textId="77777777" w:rsidR="008954C0" w:rsidRPr="00822DC5" w:rsidRDefault="008954C0" w:rsidP="008954C0">
            <w:pPr>
              <w:spacing w:before="120" w:after="120" w:line="22" w:lineRule="atLeast"/>
              <w:rPr>
                <w:rFonts w:ascii="Verdana" w:hAnsi="Verdana"/>
                <w:sz w:val="20"/>
                <w:szCs w:val="20"/>
              </w:rPr>
            </w:pPr>
          </w:p>
        </w:tc>
        <w:tc>
          <w:tcPr>
            <w:tcW w:w="6630" w:type="dxa"/>
            <w:vMerge/>
            <w:shd w:val="clear" w:color="auto" w:fill="FFFFFF" w:themeFill="background1"/>
          </w:tcPr>
          <w:p w14:paraId="4BAE39FD" w14:textId="77777777" w:rsidR="008954C0" w:rsidRPr="00822DC5" w:rsidRDefault="008954C0" w:rsidP="008954C0">
            <w:pPr>
              <w:spacing w:before="120" w:after="120" w:line="22" w:lineRule="atLeast"/>
              <w:rPr>
                <w:rFonts w:ascii="Verdana" w:hAnsi="Verdana"/>
                <w:sz w:val="20"/>
                <w:szCs w:val="20"/>
              </w:rPr>
            </w:pPr>
          </w:p>
        </w:tc>
        <w:tc>
          <w:tcPr>
            <w:tcW w:w="2260" w:type="dxa"/>
            <w:vMerge/>
            <w:tcBorders>
              <w:bottom w:val="dotted" w:sz="4" w:space="0" w:color="002060"/>
            </w:tcBorders>
            <w:shd w:val="clear" w:color="auto" w:fill="FFFFFF" w:themeFill="background1"/>
          </w:tcPr>
          <w:p w14:paraId="75F38D0D" w14:textId="77777777" w:rsidR="008954C0" w:rsidRPr="00822DC5" w:rsidRDefault="008954C0" w:rsidP="008954C0">
            <w:pPr>
              <w:spacing w:before="120" w:after="120" w:line="22" w:lineRule="atLeast"/>
              <w:rPr>
                <w:rFonts w:ascii="Verdana" w:hAnsi="Verdana"/>
                <w:sz w:val="20"/>
                <w:szCs w:val="20"/>
              </w:rPr>
            </w:pPr>
          </w:p>
        </w:tc>
        <w:tc>
          <w:tcPr>
            <w:tcW w:w="6710" w:type="dxa"/>
            <w:tcBorders>
              <w:right w:val="nil"/>
            </w:tcBorders>
            <w:shd w:val="clear" w:color="auto" w:fill="FFFFFF" w:themeFill="background1"/>
          </w:tcPr>
          <w:p w14:paraId="1B772C61" w14:textId="77777777" w:rsidR="008954C0" w:rsidRPr="00822DC5" w:rsidRDefault="008954C0" w:rsidP="008954C0">
            <w:pPr>
              <w:spacing w:before="120" w:after="120"/>
              <w:rPr>
                <w:rFonts w:ascii="Verdana" w:hAnsi="Verdana"/>
                <w:b/>
                <w:bCs/>
                <w:sz w:val="20"/>
                <w:szCs w:val="20"/>
              </w:rPr>
            </w:pPr>
            <w:r w:rsidRPr="00822DC5">
              <w:rPr>
                <w:rFonts w:ascii="Verdana" w:hAnsi="Verdana"/>
                <w:b/>
                <w:bCs/>
                <w:sz w:val="20"/>
                <w:szCs w:val="20"/>
              </w:rPr>
              <w:t>Expected Evidence of Implementation:</w:t>
            </w:r>
          </w:p>
          <w:p w14:paraId="0916E984" w14:textId="77777777" w:rsidR="00217162" w:rsidRPr="00ED52EC" w:rsidRDefault="00217162" w:rsidP="00ED52EC">
            <w:pPr>
              <w:spacing w:before="120" w:after="120" w:line="22" w:lineRule="atLeast"/>
              <w:jc w:val="both"/>
              <w:rPr>
                <w:rFonts w:ascii="Verdana" w:hAnsi="Verdana"/>
                <w:i/>
                <w:sz w:val="20"/>
                <w:szCs w:val="20"/>
              </w:rPr>
            </w:pPr>
            <w:r w:rsidRPr="00ED52EC">
              <w:rPr>
                <w:rFonts w:ascii="Verdana" w:hAnsi="Verdana"/>
                <w:i/>
                <w:sz w:val="20"/>
                <w:szCs w:val="20"/>
              </w:rPr>
              <w:t>Meeting schedule</w:t>
            </w:r>
            <w:r w:rsidRPr="00217162">
              <w:rPr>
                <w:rFonts w:ascii="Verdana" w:hAnsi="Verdana"/>
                <w:sz w:val="20"/>
                <w:szCs w:val="20"/>
              </w:rPr>
              <w:t xml:space="preserve"> </w:t>
            </w:r>
            <w:r w:rsidRPr="00ED52EC">
              <w:rPr>
                <w:rFonts w:ascii="Verdana" w:hAnsi="Verdana"/>
                <w:i/>
                <w:sz w:val="20"/>
                <w:szCs w:val="20"/>
              </w:rPr>
              <w:t>and agenda for reinstated Gold HIMG</w:t>
            </w:r>
          </w:p>
          <w:p w14:paraId="300FA98D" w14:textId="7E5053AE" w:rsidR="00217162" w:rsidRPr="00ED52EC" w:rsidRDefault="00217162" w:rsidP="00ED52EC">
            <w:pPr>
              <w:spacing w:before="120" w:after="120" w:line="22" w:lineRule="atLeast"/>
              <w:jc w:val="both"/>
              <w:rPr>
                <w:rFonts w:ascii="Verdana" w:hAnsi="Verdana"/>
                <w:i/>
                <w:sz w:val="20"/>
                <w:szCs w:val="20"/>
              </w:rPr>
            </w:pPr>
            <w:r w:rsidRPr="00ED52EC">
              <w:rPr>
                <w:rFonts w:ascii="Verdana" w:hAnsi="Verdana"/>
                <w:i/>
                <w:sz w:val="20"/>
                <w:szCs w:val="20"/>
              </w:rPr>
              <w:t xml:space="preserve">Executive endorsement or governance approval of Executive HCAI Scrutiny </w:t>
            </w:r>
            <w:r w:rsidR="00505A7A" w:rsidRPr="00ED52EC">
              <w:rPr>
                <w:rFonts w:ascii="Verdana" w:hAnsi="Verdana"/>
                <w:i/>
                <w:sz w:val="20"/>
                <w:szCs w:val="20"/>
              </w:rPr>
              <w:t>M</w:t>
            </w:r>
            <w:r w:rsidRPr="00ED52EC">
              <w:rPr>
                <w:rFonts w:ascii="Verdana" w:hAnsi="Verdana"/>
                <w:i/>
                <w:sz w:val="20"/>
                <w:szCs w:val="20"/>
              </w:rPr>
              <w:t>eeting</w:t>
            </w:r>
            <w:r w:rsidR="00505A7A" w:rsidRPr="00ED52EC">
              <w:rPr>
                <w:rFonts w:ascii="Verdana" w:hAnsi="Verdana"/>
                <w:i/>
                <w:sz w:val="20"/>
                <w:szCs w:val="20"/>
              </w:rPr>
              <w:t>.</w:t>
            </w:r>
          </w:p>
          <w:p w14:paraId="45EE3412" w14:textId="4325AA7D" w:rsidR="00A868C7" w:rsidRPr="00822DC5" w:rsidRDefault="00217162" w:rsidP="00ED52EC">
            <w:pPr>
              <w:spacing w:before="120" w:after="120" w:line="22" w:lineRule="atLeast"/>
              <w:jc w:val="both"/>
              <w:rPr>
                <w:rFonts w:ascii="Verdana" w:hAnsi="Verdana"/>
                <w:sz w:val="20"/>
                <w:szCs w:val="20"/>
              </w:rPr>
            </w:pPr>
            <w:r w:rsidRPr="00ED52EC">
              <w:rPr>
                <w:rFonts w:ascii="Verdana" w:hAnsi="Verdana"/>
                <w:i/>
                <w:sz w:val="20"/>
                <w:szCs w:val="20"/>
              </w:rPr>
              <w:t>Attendance records and minutes from resumed meetings</w:t>
            </w:r>
          </w:p>
        </w:tc>
      </w:tr>
      <w:tr w:rsidR="002B1E70" w:rsidRPr="00822DC5" w14:paraId="16AF6C30" w14:textId="77777777">
        <w:trPr>
          <w:trHeight w:hRule="exact" w:val="794"/>
        </w:trPr>
        <w:tc>
          <w:tcPr>
            <w:tcW w:w="566" w:type="dxa"/>
            <w:vMerge/>
            <w:tcBorders>
              <w:left w:val="nil"/>
              <w:bottom w:val="dotted" w:sz="4" w:space="0" w:color="002060"/>
            </w:tcBorders>
            <w:shd w:val="clear" w:color="auto" w:fill="FFFFFF" w:themeFill="background1"/>
          </w:tcPr>
          <w:p w14:paraId="4C398A56" w14:textId="77777777" w:rsidR="008954C0" w:rsidRPr="00822DC5" w:rsidRDefault="008954C0" w:rsidP="008954C0">
            <w:pPr>
              <w:spacing w:before="120" w:after="120" w:line="22" w:lineRule="atLeast"/>
              <w:rPr>
                <w:rFonts w:ascii="Verdana" w:hAnsi="Verdana"/>
                <w:sz w:val="20"/>
                <w:szCs w:val="20"/>
              </w:rPr>
            </w:pPr>
          </w:p>
        </w:tc>
        <w:tc>
          <w:tcPr>
            <w:tcW w:w="6630" w:type="dxa"/>
            <w:vMerge/>
            <w:tcBorders>
              <w:bottom w:val="dotted" w:sz="4" w:space="0" w:color="002060"/>
            </w:tcBorders>
            <w:shd w:val="clear" w:color="auto" w:fill="FFFFFF" w:themeFill="background1"/>
          </w:tcPr>
          <w:p w14:paraId="567CE29A" w14:textId="77777777" w:rsidR="008954C0" w:rsidRPr="00822DC5" w:rsidRDefault="008954C0" w:rsidP="008954C0">
            <w:pPr>
              <w:spacing w:before="120" w:after="120" w:line="22" w:lineRule="atLeast"/>
              <w:rPr>
                <w:rFonts w:ascii="Verdana" w:hAnsi="Verdana"/>
                <w:sz w:val="20"/>
                <w:szCs w:val="20"/>
              </w:rPr>
            </w:pPr>
          </w:p>
        </w:tc>
        <w:sdt>
          <w:sdtPr>
            <w:rPr>
              <w:rFonts w:ascii="Verdana" w:hAnsi="Verdana"/>
              <w:b/>
              <w:bCs/>
              <w:color w:val="FFFFFF" w:themeColor="background1"/>
              <w:sz w:val="20"/>
              <w:szCs w:val="20"/>
            </w:rPr>
            <w:alias w:val="Priority"/>
            <w:tag w:val="Priority"/>
            <w:id w:val="-787891904"/>
            <w:placeholder>
              <w:docPart w:val="81B3A63B987E40B5BDF4DE7B7A64DFF0"/>
            </w:placeholder>
            <w:dropDownList>
              <w:listItem w:value="Choose an item."/>
              <w:listItem w:displayText="High Priority" w:value="High Priority"/>
              <w:listItem w:displayText="Medium Priority" w:value="Medium Priority"/>
            </w:dropDownList>
          </w:sdtPr>
          <w:sdtEndPr/>
          <w:sdtContent>
            <w:tc>
              <w:tcPr>
                <w:tcW w:w="2260" w:type="dxa"/>
                <w:tcBorders>
                  <w:bottom w:val="nil"/>
                </w:tcBorders>
                <w:shd w:val="clear" w:color="auto" w:fill="EE0000"/>
                <w:vAlign w:val="center"/>
              </w:tcPr>
              <w:p w14:paraId="100E143A" w14:textId="77777777" w:rsidR="008954C0" w:rsidRPr="00822DC5" w:rsidRDefault="008954C0" w:rsidP="008954C0">
                <w:pPr>
                  <w:spacing w:before="120" w:after="120" w:line="22" w:lineRule="atLeast"/>
                  <w:jc w:val="center"/>
                  <w:rPr>
                    <w:rFonts w:ascii="Verdana" w:hAnsi="Verdana"/>
                    <w:b/>
                    <w:bCs/>
                    <w:sz w:val="20"/>
                    <w:szCs w:val="20"/>
                  </w:rPr>
                </w:pPr>
                <w:r w:rsidRPr="00B005BA">
                  <w:rPr>
                    <w:rFonts w:ascii="Verdana" w:hAnsi="Verdana"/>
                    <w:b/>
                    <w:bCs/>
                    <w:color w:val="FFFFFF" w:themeColor="background1"/>
                    <w:sz w:val="20"/>
                    <w:szCs w:val="20"/>
                  </w:rPr>
                  <w:t>High Priority</w:t>
                </w:r>
              </w:p>
            </w:tc>
          </w:sdtContent>
        </w:sdt>
        <w:tc>
          <w:tcPr>
            <w:tcW w:w="6710" w:type="dxa"/>
            <w:vMerge w:val="restart"/>
            <w:tcBorders>
              <w:bottom w:val="dotted" w:sz="4" w:space="0" w:color="002060"/>
              <w:right w:val="nil"/>
            </w:tcBorders>
            <w:shd w:val="clear" w:color="auto" w:fill="FFFFFF" w:themeFill="background1"/>
            <w:vAlign w:val="center"/>
          </w:tcPr>
          <w:p w14:paraId="072AA63A" w14:textId="567680DC" w:rsidR="008954C0" w:rsidRPr="00822DC5" w:rsidRDefault="008954C0" w:rsidP="008954C0">
            <w:pPr>
              <w:spacing w:before="120" w:after="120"/>
              <w:rPr>
                <w:rFonts w:ascii="Verdana" w:hAnsi="Verdana"/>
                <w:b/>
                <w:bCs/>
                <w:sz w:val="20"/>
                <w:szCs w:val="20"/>
              </w:rPr>
            </w:pPr>
            <w:r w:rsidRPr="00822DC5">
              <w:rPr>
                <w:rFonts w:ascii="Verdana" w:hAnsi="Verdana"/>
                <w:b/>
                <w:bCs/>
                <w:sz w:val="20"/>
                <w:szCs w:val="20"/>
              </w:rPr>
              <w:t xml:space="preserve">Officer: </w:t>
            </w:r>
            <w:r w:rsidR="00855BE1">
              <w:rPr>
                <w:rFonts w:ascii="Verdana" w:hAnsi="Verdana"/>
                <w:b/>
                <w:bCs/>
                <w:sz w:val="20"/>
                <w:szCs w:val="20"/>
              </w:rPr>
              <w:t>Head of Health Board Performance</w:t>
            </w:r>
          </w:p>
          <w:p w14:paraId="0A37B88B" w14:textId="0E2C137A" w:rsidR="008954C0" w:rsidRPr="00822DC5" w:rsidRDefault="008954C0" w:rsidP="008954C0">
            <w:pPr>
              <w:spacing w:before="120" w:after="120" w:line="22" w:lineRule="atLeast"/>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r w:rsidR="00855BE1">
              <w:rPr>
                <w:rFonts w:ascii="Verdana" w:hAnsi="Verdana"/>
                <w:b/>
                <w:bCs/>
                <w:sz w:val="20"/>
                <w:szCs w:val="20"/>
              </w:rPr>
              <w:t xml:space="preserve"> March 2026</w:t>
            </w:r>
          </w:p>
        </w:tc>
      </w:tr>
      <w:tr w:rsidR="002B1E70" w:rsidRPr="00822DC5" w14:paraId="358D4446" w14:textId="77777777">
        <w:trPr>
          <w:trHeight w:hRule="exact" w:val="567"/>
        </w:trPr>
        <w:tc>
          <w:tcPr>
            <w:tcW w:w="566" w:type="dxa"/>
            <w:vMerge/>
            <w:tcBorders>
              <w:top w:val="dotted" w:sz="4" w:space="0" w:color="002060"/>
              <w:left w:val="nil"/>
              <w:bottom w:val="dotted" w:sz="4" w:space="0" w:color="002060"/>
            </w:tcBorders>
            <w:shd w:val="clear" w:color="auto" w:fill="FFFFFF" w:themeFill="background1"/>
          </w:tcPr>
          <w:p w14:paraId="62D6300C" w14:textId="77777777" w:rsidR="008954C0" w:rsidRPr="00822DC5" w:rsidRDefault="008954C0" w:rsidP="008954C0">
            <w:pPr>
              <w:spacing w:before="120" w:after="120" w:line="22" w:lineRule="atLeast"/>
              <w:ind w:right="28"/>
              <w:jc w:val="center"/>
              <w:rPr>
                <w:rFonts w:ascii="Verdana" w:hAnsi="Verdana"/>
                <w:sz w:val="20"/>
                <w:szCs w:val="20"/>
              </w:rPr>
            </w:pPr>
          </w:p>
        </w:tc>
        <w:tc>
          <w:tcPr>
            <w:tcW w:w="6630" w:type="dxa"/>
            <w:tcBorders>
              <w:top w:val="dotted" w:sz="4" w:space="0" w:color="002060"/>
              <w:bottom w:val="dotted" w:sz="4" w:space="0" w:color="002060"/>
            </w:tcBorders>
            <w:shd w:val="clear" w:color="auto" w:fill="FFFFFF" w:themeFill="background1"/>
            <w:vAlign w:val="center"/>
          </w:tcPr>
          <w:p w14:paraId="4DFE288E" w14:textId="06DC2ADB" w:rsidR="008954C0" w:rsidRPr="00822DC5" w:rsidRDefault="008954C0" w:rsidP="008954C0">
            <w:pPr>
              <w:spacing w:before="120" w:after="120" w:line="22" w:lineRule="atLeast"/>
              <w:rPr>
                <w:rFonts w:ascii="Verdana" w:hAnsi="Verdana"/>
                <w:color w:val="FF0000"/>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969412033"/>
                <w:placeholder>
                  <w:docPart w:val="B2D1F41074FA494584F514165EAD8275"/>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C21706">
                  <w:rPr>
                    <w:rStyle w:val="Themes"/>
                    <w:szCs w:val="20"/>
                  </w:rPr>
                  <w:t xml:space="preserve">Governance </w:t>
                </w:r>
              </w:sdtContent>
            </w:sdt>
          </w:p>
        </w:tc>
        <w:sdt>
          <w:sdtPr>
            <w:rPr>
              <w:rFonts w:ascii="Verdana" w:hAnsi="Verdana"/>
              <w:sz w:val="20"/>
              <w:szCs w:val="20"/>
            </w:rPr>
            <w:alias w:val="Design/Operation"/>
            <w:tag w:val="Design/Operation"/>
            <w:id w:val="-158472202"/>
            <w:placeholder>
              <w:docPart w:val="0E424C18B63744D6A427410ED7FF81CC"/>
            </w:placeholder>
            <w:dropDownList>
              <w:listItem w:value="Choose an item."/>
              <w:listItem w:displayText="Control Design " w:value="Control Design "/>
              <w:listItem w:displayText="Control Operation " w:value="Control Operation "/>
            </w:dropDownList>
          </w:sdtPr>
          <w:sdtEndPr/>
          <w:sdtContent>
            <w:tc>
              <w:tcPr>
                <w:tcW w:w="2260" w:type="dxa"/>
                <w:tcBorders>
                  <w:top w:val="nil"/>
                  <w:bottom w:val="dotted" w:sz="4" w:space="0" w:color="002060"/>
                </w:tcBorders>
                <w:shd w:val="clear" w:color="auto" w:fill="FFFFFF" w:themeFill="background1"/>
                <w:vAlign w:val="center"/>
              </w:tcPr>
              <w:p w14:paraId="2A66B484" w14:textId="494C1594" w:rsidR="008954C0" w:rsidRPr="00822DC5" w:rsidRDefault="001236AE" w:rsidP="008954C0">
                <w:pPr>
                  <w:spacing w:before="120" w:after="120" w:line="22" w:lineRule="atLeast"/>
                  <w:jc w:val="center"/>
                  <w:rPr>
                    <w:rFonts w:ascii="Verdana" w:hAnsi="Verdana"/>
                    <w:sz w:val="20"/>
                    <w:szCs w:val="20"/>
                  </w:rPr>
                </w:pPr>
                <w:r>
                  <w:rPr>
                    <w:rFonts w:ascii="Verdana" w:hAnsi="Verdana"/>
                    <w:sz w:val="20"/>
                    <w:szCs w:val="20"/>
                  </w:rPr>
                  <w:t xml:space="preserve">Control Operation </w:t>
                </w:r>
              </w:p>
            </w:tc>
          </w:sdtContent>
        </w:sdt>
        <w:tc>
          <w:tcPr>
            <w:tcW w:w="6710" w:type="dxa"/>
            <w:vMerge/>
            <w:tcBorders>
              <w:top w:val="dotted" w:sz="4" w:space="0" w:color="002060"/>
              <w:bottom w:val="dotted" w:sz="4" w:space="0" w:color="002060"/>
              <w:right w:val="nil"/>
            </w:tcBorders>
            <w:shd w:val="clear" w:color="auto" w:fill="FFFFFF" w:themeFill="background1"/>
          </w:tcPr>
          <w:p w14:paraId="4127F921" w14:textId="77777777" w:rsidR="008954C0" w:rsidRPr="00822DC5" w:rsidRDefault="008954C0" w:rsidP="008954C0">
            <w:pPr>
              <w:spacing w:before="120" w:after="120" w:line="22" w:lineRule="atLeast"/>
              <w:rPr>
                <w:rFonts w:ascii="Verdana" w:hAnsi="Verdana"/>
                <w:sz w:val="20"/>
                <w:szCs w:val="20"/>
              </w:rPr>
            </w:pPr>
          </w:p>
        </w:tc>
      </w:tr>
    </w:tbl>
    <w:p w14:paraId="3C6E281B" w14:textId="77777777" w:rsidR="003D7270" w:rsidRPr="00822DC5" w:rsidRDefault="003D7270" w:rsidP="003D7270">
      <w:pPr>
        <w:rPr>
          <w:sz w:val="20"/>
          <w:szCs w:val="20"/>
        </w:rPr>
      </w:pPr>
    </w:p>
    <w:p w14:paraId="65AF6616" w14:textId="440E821F" w:rsidR="00FC7127" w:rsidRPr="00822DC5" w:rsidRDefault="00FC7127">
      <w:pPr>
        <w:rPr>
          <w:sz w:val="20"/>
          <w:szCs w:val="20"/>
        </w:rPr>
      </w:pPr>
    </w:p>
    <w:p w14:paraId="1E23FF46" w14:textId="7C47FB26" w:rsidR="00FC7127" w:rsidRDefault="00FC7127"/>
    <w:p w14:paraId="098A4071" w14:textId="77777777" w:rsidR="00322C23" w:rsidRDefault="00322C23" w:rsidP="00322C23">
      <w:pPr>
        <w:tabs>
          <w:tab w:val="left" w:pos="2625"/>
        </w:tabs>
        <w:rPr>
          <w:rFonts w:ascii="Verdana" w:hAnsi="Verdana"/>
          <w:sz w:val="20"/>
          <w:szCs w:val="20"/>
        </w:rPr>
      </w:pPr>
    </w:p>
    <w:p w14:paraId="5106A0B8" w14:textId="77777777" w:rsidR="003019F0" w:rsidRDefault="003019F0" w:rsidP="00322C23">
      <w:pPr>
        <w:tabs>
          <w:tab w:val="left" w:pos="2625"/>
        </w:tabs>
        <w:rPr>
          <w:rFonts w:ascii="Verdana" w:hAnsi="Verdana"/>
          <w:sz w:val="20"/>
          <w:szCs w:val="20"/>
        </w:rPr>
      </w:pPr>
    </w:p>
    <w:p w14:paraId="79070621" w14:textId="77777777" w:rsidR="004963E2" w:rsidRDefault="004963E2" w:rsidP="00322C23">
      <w:pPr>
        <w:tabs>
          <w:tab w:val="left" w:pos="2625"/>
        </w:tabs>
        <w:rPr>
          <w:rFonts w:ascii="Verdana" w:hAnsi="Verdana"/>
          <w:sz w:val="20"/>
          <w:szCs w:val="20"/>
        </w:rPr>
      </w:pPr>
    </w:p>
    <w:p w14:paraId="4976F522" w14:textId="4D45A51D" w:rsidR="004963E2" w:rsidRDefault="00A459DF">
      <w:pPr>
        <w:rPr>
          <w:rFonts w:ascii="Verdana" w:hAnsi="Verdana"/>
          <w:sz w:val="20"/>
          <w:szCs w:val="20"/>
        </w:rPr>
      </w:pPr>
      <w:r>
        <w:rPr>
          <w:rFonts w:ascii="Verdana" w:hAnsi="Verdana"/>
          <w:sz w:val="20"/>
          <w:szCs w:val="20"/>
        </w:rPr>
        <w:br w:type="page"/>
      </w:r>
    </w:p>
    <w:p w14:paraId="5800E78A" w14:textId="77777777" w:rsidR="003019F0" w:rsidRPr="00322C23" w:rsidRDefault="003019F0" w:rsidP="003019F0">
      <w:pPr>
        <w:tabs>
          <w:tab w:val="left" w:pos="2625"/>
        </w:tabs>
        <w:rPr>
          <w:rFonts w:ascii="Verdana" w:hAnsi="Verdana"/>
          <w:sz w:val="20"/>
          <w:szCs w:val="20"/>
        </w:rPr>
        <w:sectPr w:rsidR="003019F0" w:rsidRPr="00322C23" w:rsidSect="003019F0">
          <w:headerReference w:type="even" r:id="rId18"/>
          <w:headerReference w:type="default" r:id="rId19"/>
          <w:footerReference w:type="even" r:id="rId20"/>
          <w:footerReference w:type="default" r:id="rId21"/>
          <w:headerReference w:type="first" r:id="rId22"/>
          <w:footerReference w:type="first" r:id="rId23"/>
          <w:pgSz w:w="16838" w:h="11906" w:orient="landscape"/>
          <w:pgMar w:top="142" w:right="820" w:bottom="426" w:left="720" w:header="3" w:footer="0" w:gutter="0"/>
          <w:pgNumType w:start="1"/>
          <w:cols w:space="284"/>
          <w:docGrid w:linePitch="360"/>
        </w:sectPr>
      </w:pPr>
    </w:p>
    <w:p w14:paraId="4B0A00DE" w14:textId="77777777" w:rsidR="00110FDB" w:rsidRPr="0023158F" w:rsidRDefault="00110FDB" w:rsidP="0023158F">
      <w:pPr>
        <w:pStyle w:val="Heading1"/>
        <w:spacing w:before="0" w:after="120"/>
        <w:rPr>
          <w:rFonts w:ascii="Verdana" w:hAnsi="Verdana" w:cs="Arial"/>
          <w:color w:val="002060"/>
          <w:sz w:val="36"/>
          <w:szCs w:val="36"/>
        </w:rPr>
      </w:pPr>
      <w:bookmarkStart w:id="5" w:name="_Toc211856089"/>
      <w:bookmarkStart w:id="6" w:name="_Toc169186155"/>
      <w:bookmarkStart w:id="7" w:name="_Hlk160443037"/>
      <w:bookmarkStart w:id="8" w:name="_Hlk169182375"/>
      <w:bookmarkStart w:id="9" w:name="AppA"/>
      <w:r w:rsidRPr="0023158F">
        <w:rPr>
          <w:rFonts w:ascii="Verdana" w:hAnsi="Verdana" w:cs="Arial"/>
          <w:color w:val="002060"/>
          <w:sz w:val="36"/>
          <w:szCs w:val="36"/>
        </w:rPr>
        <w:lastRenderedPageBreak/>
        <w:t>Appendix A: Sampled Action within the Escalation and Oversight Report (May 2025)</w:t>
      </w:r>
      <w:bookmarkEnd w:id="5"/>
    </w:p>
    <w:tbl>
      <w:tblPr>
        <w:tblW w:w="15446" w:type="dxa"/>
        <w:tblLook w:val="04A0" w:firstRow="1" w:lastRow="0" w:firstColumn="1" w:lastColumn="0" w:noHBand="0" w:noVBand="1"/>
      </w:tblPr>
      <w:tblGrid>
        <w:gridCol w:w="1214"/>
        <w:gridCol w:w="1248"/>
        <w:gridCol w:w="10456"/>
        <w:gridCol w:w="2528"/>
      </w:tblGrid>
      <w:tr w:rsidR="00110FDB" w:rsidRPr="00FC2A2E" w14:paraId="17835461" w14:textId="77777777">
        <w:trPr>
          <w:trHeight w:val="820"/>
        </w:trPr>
        <w:tc>
          <w:tcPr>
            <w:tcW w:w="1214" w:type="dxa"/>
            <w:tcBorders>
              <w:top w:val="single" w:sz="4" w:space="0" w:color="auto"/>
              <w:left w:val="single" w:sz="4" w:space="0" w:color="auto"/>
              <w:bottom w:val="single" w:sz="4" w:space="0" w:color="auto"/>
              <w:right w:val="single" w:sz="4" w:space="0" w:color="auto"/>
            </w:tcBorders>
            <w:shd w:val="clear" w:color="000000" w:fill="0070C0"/>
            <w:vAlign w:val="bottom"/>
            <w:hideMark/>
          </w:tcPr>
          <w:p w14:paraId="59D01066" w14:textId="77777777" w:rsidR="00110FDB" w:rsidRPr="00FC2A2E" w:rsidRDefault="00110FDB">
            <w:pPr>
              <w:spacing w:after="0" w:line="240" w:lineRule="auto"/>
              <w:rPr>
                <w:rFonts w:ascii="Aptos" w:eastAsia="Times New Roman" w:hAnsi="Aptos" w:cs="Calibri"/>
                <w:b/>
                <w:bCs/>
                <w:color w:val="FFFFFF"/>
                <w:lang w:eastAsia="en-GB"/>
              </w:rPr>
            </w:pPr>
            <w:r w:rsidRPr="00FC2A2E">
              <w:rPr>
                <w:rFonts w:ascii="Aptos" w:eastAsia="Times New Roman" w:hAnsi="Aptos" w:cs="Calibri"/>
                <w:b/>
                <w:bCs/>
                <w:color w:val="FFFFFF"/>
                <w:lang w:eastAsia="en-GB"/>
              </w:rPr>
              <w:t>Escalated Area</w:t>
            </w:r>
          </w:p>
        </w:tc>
        <w:tc>
          <w:tcPr>
            <w:tcW w:w="1248" w:type="dxa"/>
            <w:tcBorders>
              <w:top w:val="single" w:sz="4" w:space="0" w:color="auto"/>
              <w:left w:val="nil"/>
              <w:bottom w:val="single" w:sz="4" w:space="0" w:color="auto"/>
              <w:right w:val="single" w:sz="4" w:space="0" w:color="auto"/>
            </w:tcBorders>
            <w:shd w:val="clear" w:color="000000" w:fill="0070C0"/>
            <w:vAlign w:val="bottom"/>
            <w:hideMark/>
          </w:tcPr>
          <w:p w14:paraId="1E120B66" w14:textId="77777777" w:rsidR="00110FDB" w:rsidRPr="00FC2A2E" w:rsidRDefault="00110FDB">
            <w:pPr>
              <w:spacing w:after="0" w:line="240" w:lineRule="auto"/>
              <w:rPr>
                <w:rFonts w:ascii="Aptos" w:eastAsia="Times New Roman" w:hAnsi="Aptos" w:cs="Calibri"/>
                <w:b/>
                <w:bCs/>
                <w:color w:val="FFFFFF"/>
                <w:lang w:eastAsia="en-GB"/>
              </w:rPr>
            </w:pPr>
            <w:r w:rsidRPr="00FC2A2E">
              <w:rPr>
                <w:rFonts w:ascii="Aptos" w:eastAsia="Times New Roman" w:hAnsi="Aptos" w:cs="Calibri"/>
                <w:b/>
                <w:bCs/>
                <w:color w:val="FFFFFF"/>
                <w:lang w:eastAsia="en-GB"/>
              </w:rPr>
              <w:t>Audit Reference</w:t>
            </w:r>
          </w:p>
        </w:tc>
        <w:tc>
          <w:tcPr>
            <w:tcW w:w="10456" w:type="dxa"/>
            <w:tcBorders>
              <w:top w:val="single" w:sz="4" w:space="0" w:color="auto"/>
              <w:left w:val="nil"/>
              <w:bottom w:val="single" w:sz="4" w:space="0" w:color="auto"/>
              <w:right w:val="single" w:sz="4" w:space="0" w:color="auto"/>
            </w:tcBorders>
            <w:shd w:val="clear" w:color="000000" w:fill="0070C0"/>
            <w:vAlign w:val="bottom"/>
            <w:hideMark/>
          </w:tcPr>
          <w:p w14:paraId="354C0293" w14:textId="77777777" w:rsidR="00110FDB" w:rsidRPr="00FC2A2E" w:rsidRDefault="00110FDB">
            <w:pPr>
              <w:spacing w:after="0" w:line="240" w:lineRule="auto"/>
              <w:rPr>
                <w:rFonts w:ascii="Aptos" w:eastAsia="Times New Roman" w:hAnsi="Aptos" w:cs="Calibri"/>
                <w:b/>
                <w:bCs/>
                <w:color w:val="FFFFFF"/>
                <w:lang w:eastAsia="en-GB"/>
              </w:rPr>
            </w:pPr>
            <w:r>
              <w:rPr>
                <w:rFonts w:ascii="Aptos" w:eastAsia="Times New Roman" w:hAnsi="Aptos" w:cs="Calibri"/>
                <w:b/>
                <w:bCs/>
                <w:color w:val="FFFFFF"/>
                <w:lang w:eastAsia="en-GB"/>
              </w:rPr>
              <w:t>Action detail</w:t>
            </w:r>
            <w:r w:rsidRPr="00FC2A2E">
              <w:rPr>
                <w:rFonts w:ascii="Aptos" w:eastAsia="Times New Roman" w:hAnsi="Aptos" w:cs="Calibri"/>
                <w:b/>
                <w:bCs/>
                <w:color w:val="FFFFFF"/>
                <w:lang w:eastAsia="en-GB"/>
              </w:rPr>
              <w:t xml:space="preserve"> within the Escalation and Oversight Report (May 2025)</w:t>
            </w:r>
          </w:p>
        </w:tc>
        <w:tc>
          <w:tcPr>
            <w:tcW w:w="2528" w:type="dxa"/>
            <w:tcBorders>
              <w:top w:val="single" w:sz="4" w:space="0" w:color="auto"/>
              <w:left w:val="nil"/>
              <w:bottom w:val="single" w:sz="4" w:space="0" w:color="auto"/>
              <w:right w:val="single" w:sz="4" w:space="0" w:color="auto"/>
            </w:tcBorders>
            <w:shd w:val="clear" w:color="000000" w:fill="0070C0"/>
            <w:vAlign w:val="bottom"/>
            <w:hideMark/>
          </w:tcPr>
          <w:p w14:paraId="400B95EC" w14:textId="77777777" w:rsidR="00110FDB" w:rsidRPr="00FC2A2E" w:rsidRDefault="00110FDB">
            <w:pPr>
              <w:spacing w:after="0" w:line="240" w:lineRule="auto"/>
              <w:rPr>
                <w:rFonts w:ascii="Aptos" w:eastAsia="Times New Roman" w:hAnsi="Aptos" w:cs="Calibri"/>
                <w:b/>
                <w:bCs/>
                <w:color w:val="FFFFFF"/>
                <w:lang w:eastAsia="en-GB"/>
              </w:rPr>
            </w:pPr>
            <w:r w:rsidRPr="00FC2A2E">
              <w:rPr>
                <w:rFonts w:ascii="Aptos" w:eastAsia="Times New Roman" w:hAnsi="Aptos" w:cs="Calibri"/>
                <w:b/>
                <w:bCs/>
                <w:color w:val="FFFFFF"/>
                <w:lang w:eastAsia="en-GB"/>
              </w:rPr>
              <w:t>Conclusion</w:t>
            </w:r>
          </w:p>
        </w:tc>
      </w:tr>
      <w:tr w:rsidR="00110FDB" w:rsidRPr="00FC2A2E" w14:paraId="478C4655" w14:textId="77777777">
        <w:trPr>
          <w:trHeight w:val="580"/>
        </w:trPr>
        <w:tc>
          <w:tcPr>
            <w:tcW w:w="1214" w:type="dxa"/>
            <w:vMerge w:val="restart"/>
            <w:tcBorders>
              <w:top w:val="nil"/>
              <w:left w:val="single" w:sz="4" w:space="0" w:color="auto"/>
              <w:bottom w:val="single" w:sz="4" w:space="0" w:color="000000"/>
              <w:right w:val="single" w:sz="4" w:space="0" w:color="auto"/>
            </w:tcBorders>
            <w:noWrap/>
            <w:vAlign w:val="center"/>
            <w:hideMark/>
          </w:tcPr>
          <w:p w14:paraId="2448D852"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UEC</w:t>
            </w:r>
          </w:p>
        </w:tc>
        <w:tc>
          <w:tcPr>
            <w:tcW w:w="1248" w:type="dxa"/>
            <w:tcBorders>
              <w:top w:val="nil"/>
              <w:left w:val="nil"/>
              <w:bottom w:val="single" w:sz="4" w:space="0" w:color="auto"/>
              <w:right w:val="single" w:sz="4" w:space="0" w:color="auto"/>
            </w:tcBorders>
            <w:noWrap/>
            <w:vAlign w:val="center"/>
            <w:hideMark/>
          </w:tcPr>
          <w:p w14:paraId="199F756B"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1</w:t>
            </w:r>
          </w:p>
        </w:tc>
        <w:tc>
          <w:tcPr>
            <w:tcW w:w="10456" w:type="dxa"/>
            <w:tcBorders>
              <w:top w:val="nil"/>
              <w:left w:val="nil"/>
              <w:bottom w:val="single" w:sz="4" w:space="0" w:color="auto"/>
              <w:right w:val="single" w:sz="4" w:space="0" w:color="auto"/>
            </w:tcBorders>
            <w:vAlign w:val="center"/>
            <w:hideMark/>
          </w:tcPr>
          <w:p w14:paraId="1568431F"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 xml:space="preserve">Review of community capacity and operating models – workstream established, led by Director of Nursing, PCT, reporting into community and older </w:t>
            </w:r>
            <w:proofErr w:type="gramStart"/>
            <w:r w:rsidRPr="00FC2A2E">
              <w:rPr>
                <w:rFonts w:ascii="Aptos" w:eastAsia="Times New Roman" w:hAnsi="Aptos" w:cs="Calibri"/>
                <w:color w:val="000000"/>
                <w:lang w:eastAsia="en-GB"/>
              </w:rPr>
              <w:t>persons</w:t>
            </w:r>
            <w:proofErr w:type="gramEnd"/>
            <w:r w:rsidRPr="00FC2A2E">
              <w:rPr>
                <w:rFonts w:ascii="Aptos" w:eastAsia="Times New Roman" w:hAnsi="Aptos" w:cs="Calibri"/>
                <w:color w:val="000000"/>
                <w:lang w:eastAsia="en-GB"/>
              </w:rPr>
              <w:t xml:space="preserve"> board.</w:t>
            </w:r>
          </w:p>
        </w:tc>
        <w:tc>
          <w:tcPr>
            <w:tcW w:w="2528" w:type="dxa"/>
            <w:tcBorders>
              <w:top w:val="nil"/>
              <w:left w:val="nil"/>
              <w:bottom w:val="single" w:sz="4" w:space="0" w:color="auto"/>
              <w:right w:val="single" w:sz="4" w:space="0" w:color="auto"/>
            </w:tcBorders>
            <w:shd w:val="clear" w:color="auto" w:fill="EE0000"/>
            <w:vAlign w:val="center"/>
            <w:hideMark/>
          </w:tcPr>
          <w:p w14:paraId="5BE3A70B" w14:textId="77777777" w:rsidR="00110FDB" w:rsidRPr="00317290" w:rsidRDefault="00110FDB">
            <w:pPr>
              <w:spacing w:after="0" w:line="240" w:lineRule="auto"/>
              <w:rPr>
                <w:rFonts w:ascii="Aptos" w:eastAsia="Times New Roman" w:hAnsi="Aptos" w:cs="Calibri"/>
                <w:color w:val="FFFFFF" w:themeColor="background1"/>
                <w:lang w:eastAsia="en-GB"/>
              </w:rPr>
            </w:pPr>
            <w:r>
              <w:rPr>
                <w:rFonts w:ascii="Aptos" w:eastAsia="Times New Roman" w:hAnsi="Aptos" w:cs="Calibri"/>
                <w:b/>
                <w:bCs/>
                <w:color w:val="FFFFFF" w:themeColor="background1"/>
                <w:lang w:eastAsia="en-GB"/>
              </w:rPr>
              <w:t xml:space="preserve">See </w:t>
            </w:r>
            <w:r w:rsidRPr="00317290">
              <w:rPr>
                <w:rFonts w:ascii="Aptos" w:eastAsia="Times New Roman" w:hAnsi="Aptos" w:cs="Calibri"/>
                <w:b/>
                <w:bCs/>
                <w:color w:val="FFFFFF" w:themeColor="background1"/>
                <w:lang w:eastAsia="en-GB"/>
              </w:rPr>
              <w:t>Key Finding 5</w:t>
            </w:r>
          </w:p>
        </w:tc>
      </w:tr>
      <w:tr w:rsidR="00110FDB" w:rsidRPr="00FC2A2E" w14:paraId="47A2AFC9" w14:textId="77777777">
        <w:trPr>
          <w:trHeight w:val="580"/>
        </w:trPr>
        <w:tc>
          <w:tcPr>
            <w:tcW w:w="1214" w:type="dxa"/>
            <w:vMerge/>
            <w:tcBorders>
              <w:top w:val="nil"/>
              <w:left w:val="single" w:sz="4" w:space="0" w:color="auto"/>
              <w:bottom w:val="single" w:sz="4" w:space="0" w:color="000000"/>
              <w:right w:val="single" w:sz="4" w:space="0" w:color="auto"/>
            </w:tcBorders>
            <w:vAlign w:val="center"/>
            <w:hideMark/>
          </w:tcPr>
          <w:p w14:paraId="6B7315F3"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noWrap/>
            <w:vAlign w:val="center"/>
            <w:hideMark/>
          </w:tcPr>
          <w:p w14:paraId="391DFAC5"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2</w:t>
            </w:r>
          </w:p>
        </w:tc>
        <w:tc>
          <w:tcPr>
            <w:tcW w:w="10456" w:type="dxa"/>
            <w:tcBorders>
              <w:top w:val="nil"/>
              <w:left w:val="nil"/>
              <w:bottom w:val="single" w:sz="4" w:space="0" w:color="auto"/>
              <w:right w:val="single" w:sz="4" w:space="0" w:color="auto"/>
            </w:tcBorders>
            <w:vAlign w:val="center"/>
            <w:hideMark/>
          </w:tcPr>
          <w:p w14:paraId="4E2A3C32"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Falls Pathway – Plan to commence February 2025 – enhanced opportunity via the Care Co-ordination Hub PDSA above linked to Hub</w:t>
            </w:r>
          </w:p>
        </w:tc>
        <w:tc>
          <w:tcPr>
            <w:tcW w:w="2528" w:type="dxa"/>
            <w:tcBorders>
              <w:top w:val="nil"/>
              <w:left w:val="nil"/>
              <w:bottom w:val="single" w:sz="4" w:space="0" w:color="auto"/>
              <w:right w:val="single" w:sz="4" w:space="0" w:color="auto"/>
            </w:tcBorders>
            <w:shd w:val="clear" w:color="000000" w:fill="92D050"/>
            <w:vAlign w:val="center"/>
            <w:hideMark/>
          </w:tcPr>
          <w:p w14:paraId="455421D5"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Satisfactory</w:t>
            </w:r>
          </w:p>
        </w:tc>
      </w:tr>
      <w:tr w:rsidR="00110FDB" w:rsidRPr="00FC2A2E" w14:paraId="5D7697F0" w14:textId="77777777">
        <w:trPr>
          <w:trHeight w:val="580"/>
        </w:trPr>
        <w:tc>
          <w:tcPr>
            <w:tcW w:w="1214" w:type="dxa"/>
            <w:vMerge/>
            <w:tcBorders>
              <w:top w:val="nil"/>
              <w:left w:val="single" w:sz="4" w:space="0" w:color="auto"/>
              <w:bottom w:val="single" w:sz="4" w:space="0" w:color="000000"/>
              <w:right w:val="single" w:sz="4" w:space="0" w:color="auto"/>
            </w:tcBorders>
            <w:vAlign w:val="center"/>
            <w:hideMark/>
          </w:tcPr>
          <w:p w14:paraId="473E8FD4"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noWrap/>
            <w:vAlign w:val="center"/>
            <w:hideMark/>
          </w:tcPr>
          <w:p w14:paraId="4620A1BD"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3</w:t>
            </w:r>
          </w:p>
        </w:tc>
        <w:tc>
          <w:tcPr>
            <w:tcW w:w="10456" w:type="dxa"/>
            <w:tcBorders>
              <w:top w:val="nil"/>
              <w:left w:val="nil"/>
              <w:bottom w:val="single" w:sz="4" w:space="0" w:color="auto"/>
              <w:right w:val="single" w:sz="4" w:space="0" w:color="auto"/>
            </w:tcBorders>
            <w:vAlign w:val="center"/>
            <w:hideMark/>
          </w:tcPr>
          <w:p w14:paraId="6CE9B4D0"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UEC Care co-ordination Hub – Funding application submitted to Six Goals to extend the role and function of the UEC care coordination hub over the seven-day period.</w:t>
            </w:r>
          </w:p>
        </w:tc>
        <w:tc>
          <w:tcPr>
            <w:tcW w:w="2528" w:type="dxa"/>
            <w:tcBorders>
              <w:top w:val="nil"/>
              <w:left w:val="nil"/>
              <w:bottom w:val="single" w:sz="4" w:space="0" w:color="auto"/>
              <w:right w:val="single" w:sz="4" w:space="0" w:color="auto"/>
            </w:tcBorders>
            <w:shd w:val="clear" w:color="000000" w:fill="92D050"/>
            <w:vAlign w:val="center"/>
            <w:hideMark/>
          </w:tcPr>
          <w:p w14:paraId="5CCA71A4"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Satisfactory</w:t>
            </w:r>
          </w:p>
        </w:tc>
      </w:tr>
      <w:tr w:rsidR="00110FDB" w:rsidRPr="00FC2A2E" w14:paraId="330ED734" w14:textId="77777777">
        <w:trPr>
          <w:trHeight w:val="580"/>
        </w:trPr>
        <w:tc>
          <w:tcPr>
            <w:tcW w:w="1214" w:type="dxa"/>
            <w:vMerge/>
            <w:tcBorders>
              <w:top w:val="nil"/>
              <w:left w:val="single" w:sz="4" w:space="0" w:color="auto"/>
              <w:bottom w:val="single" w:sz="4" w:space="0" w:color="000000"/>
              <w:right w:val="single" w:sz="4" w:space="0" w:color="auto"/>
            </w:tcBorders>
            <w:vAlign w:val="center"/>
            <w:hideMark/>
          </w:tcPr>
          <w:p w14:paraId="29AFB997"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noWrap/>
            <w:vAlign w:val="center"/>
            <w:hideMark/>
          </w:tcPr>
          <w:p w14:paraId="556FA2CE"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4</w:t>
            </w:r>
          </w:p>
        </w:tc>
        <w:tc>
          <w:tcPr>
            <w:tcW w:w="10456" w:type="dxa"/>
            <w:tcBorders>
              <w:top w:val="nil"/>
              <w:left w:val="nil"/>
              <w:bottom w:val="single" w:sz="4" w:space="0" w:color="auto"/>
              <w:right w:val="single" w:sz="4" w:space="0" w:color="auto"/>
            </w:tcBorders>
            <w:vAlign w:val="center"/>
            <w:hideMark/>
          </w:tcPr>
          <w:p w14:paraId="36C5A795"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 xml:space="preserve">Anglesey Ward – Opening on 2nd June 2025 for a period of six weeks as a key enabler to run six PDSA tests of change across the UEC pathway.   </w:t>
            </w:r>
          </w:p>
        </w:tc>
        <w:tc>
          <w:tcPr>
            <w:tcW w:w="2528" w:type="dxa"/>
            <w:tcBorders>
              <w:top w:val="nil"/>
              <w:left w:val="nil"/>
              <w:bottom w:val="single" w:sz="4" w:space="0" w:color="auto"/>
              <w:right w:val="single" w:sz="4" w:space="0" w:color="auto"/>
            </w:tcBorders>
            <w:shd w:val="clear" w:color="000000" w:fill="92D050"/>
            <w:vAlign w:val="center"/>
            <w:hideMark/>
          </w:tcPr>
          <w:p w14:paraId="57BAC470"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Satisfactory</w:t>
            </w:r>
          </w:p>
        </w:tc>
      </w:tr>
      <w:tr w:rsidR="00110FDB" w:rsidRPr="00FC2A2E" w14:paraId="2A00EE04" w14:textId="77777777">
        <w:trPr>
          <w:trHeight w:val="580"/>
        </w:trPr>
        <w:tc>
          <w:tcPr>
            <w:tcW w:w="1214" w:type="dxa"/>
            <w:vMerge w:val="restart"/>
            <w:tcBorders>
              <w:top w:val="nil"/>
              <w:left w:val="single" w:sz="4" w:space="0" w:color="auto"/>
              <w:bottom w:val="single" w:sz="4" w:space="0" w:color="000000"/>
              <w:right w:val="single" w:sz="4" w:space="0" w:color="auto"/>
            </w:tcBorders>
            <w:vAlign w:val="center"/>
            <w:hideMark/>
          </w:tcPr>
          <w:p w14:paraId="5B62A98D"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Planned Care</w:t>
            </w:r>
          </w:p>
        </w:tc>
        <w:tc>
          <w:tcPr>
            <w:tcW w:w="1248" w:type="dxa"/>
            <w:tcBorders>
              <w:top w:val="nil"/>
              <w:left w:val="nil"/>
              <w:bottom w:val="single" w:sz="4" w:space="0" w:color="auto"/>
              <w:right w:val="single" w:sz="4" w:space="0" w:color="auto"/>
            </w:tcBorders>
            <w:noWrap/>
            <w:vAlign w:val="center"/>
            <w:hideMark/>
          </w:tcPr>
          <w:p w14:paraId="730F60E2"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5</w:t>
            </w:r>
          </w:p>
        </w:tc>
        <w:tc>
          <w:tcPr>
            <w:tcW w:w="10456" w:type="dxa"/>
            <w:tcBorders>
              <w:top w:val="nil"/>
              <w:left w:val="nil"/>
              <w:bottom w:val="single" w:sz="4" w:space="0" w:color="auto"/>
              <w:right w:val="single" w:sz="4" w:space="0" w:color="auto"/>
            </w:tcBorders>
            <w:noWrap/>
            <w:vAlign w:val="center"/>
            <w:hideMark/>
          </w:tcPr>
          <w:p w14:paraId="3004B610"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Robust monitoring via live dashboards</w:t>
            </w:r>
          </w:p>
        </w:tc>
        <w:tc>
          <w:tcPr>
            <w:tcW w:w="2528" w:type="dxa"/>
            <w:tcBorders>
              <w:top w:val="nil"/>
              <w:left w:val="nil"/>
              <w:bottom w:val="single" w:sz="4" w:space="0" w:color="auto"/>
              <w:right w:val="single" w:sz="4" w:space="0" w:color="auto"/>
            </w:tcBorders>
            <w:shd w:val="clear" w:color="000000" w:fill="FFC000"/>
            <w:vAlign w:val="center"/>
            <w:hideMark/>
          </w:tcPr>
          <w:p w14:paraId="3FC9564F" w14:textId="77777777" w:rsidR="00110FDB" w:rsidRPr="00FC2A2E" w:rsidRDefault="00110FDB">
            <w:pPr>
              <w:spacing w:after="0" w:line="240" w:lineRule="auto"/>
              <w:rPr>
                <w:rFonts w:ascii="Aptos" w:eastAsia="Times New Roman" w:hAnsi="Aptos" w:cs="Calibri"/>
                <w:color w:val="000000"/>
                <w:lang w:eastAsia="en-GB"/>
              </w:rPr>
            </w:pPr>
            <w:r>
              <w:rPr>
                <w:rFonts w:ascii="Aptos" w:eastAsia="Times New Roman" w:hAnsi="Aptos" w:cs="Calibri"/>
                <w:color w:val="000000"/>
                <w:lang w:eastAsia="en-GB"/>
              </w:rPr>
              <w:t xml:space="preserve">Partial - </w:t>
            </w:r>
            <w:r w:rsidRPr="00FC2A2E">
              <w:rPr>
                <w:rFonts w:ascii="Aptos" w:eastAsia="Times New Roman" w:hAnsi="Aptos" w:cs="Calibri"/>
                <w:color w:val="000000"/>
                <w:lang w:eastAsia="en-GB"/>
              </w:rPr>
              <w:t xml:space="preserve">see associated </w:t>
            </w:r>
            <w:r w:rsidRPr="00190CB8">
              <w:rPr>
                <w:rFonts w:ascii="Aptos" w:eastAsia="Times New Roman" w:hAnsi="Aptos" w:cs="Calibri"/>
                <w:b/>
                <w:bCs/>
                <w:color w:val="000000"/>
                <w:lang w:eastAsia="en-GB"/>
              </w:rPr>
              <w:t>Key Finding 6</w:t>
            </w:r>
          </w:p>
        </w:tc>
      </w:tr>
      <w:tr w:rsidR="00110FDB" w:rsidRPr="00FC2A2E" w14:paraId="221F8A88" w14:textId="77777777">
        <w:trPr>
          <w:trHeight w:val="880"/>
        </w:trPr>
        <w:tc>
          <w:tcPr>
            <w:tcW w:w="1214" w:type="dxa"/>
            <w:vMerge/>
            <w:tcBorders>
              <w:top w:val="nil"/>
              <w:left w:val="single" w:sz="4" w:space="0" w:color="auto"/>
              <w:bottom w:val="single" w:sz="4" w:space="0" w:color="000000"/>
              <w:right w:val="single" w:sz="4" w:space="0" w:color="auto"/>
            </w:tcBorders>
            <w:vAlign w:val="center"/>
            <w:hideMark/>
          </w:tcPr>
          <w:p w14:paraId="00B7D6B7"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noWrap/>
            <w:vAlign w:val="center"/>
            <w:hideMark/>
          </w:tcPr>
          <w:p w14:paraId="27B4D3FE"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6</w:t>
            </w:r>
          </w:p>
        </w:tc>
        <w:tc>
          <w:tcPr>
            <w:tcW w:w="10456" w:type="dxa"/>
            <w:tcBorders>
              <w:top w:val="nil"/>
              <w:left w:val="nil"/>
              <w:bottom w:val="single" w:sz="4" w:space="0" w:color="auto"/>
              <w:right w:val="single" w:sz="4" w:space="0" w:color="auto"/>
            </w:tcBorders>
            <w:noWrap/>
            <w:vAlign w:val="center"/>
            <w:hideMark/>
          </w:tcPr>
          <w:p w14:paraId="5F3582E0"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Bi-weekly oversight meeting chaired by the Chief Operating Officer</w:t>
            </w:r>
          </w:p>
        </w:tc>
        <w:tc>
          <w:tcPr>
            <w:tcW w:w="2528" w:type="dxa"/>
            <w:tcBorders>
              <w:top w:val="nil"/>
              <w:left w:val="nil"/>
              <w:bottom w:val="single" w:sz="4" w:space="0" w:color="auto"/>
              <w:right w:val="single" w:sz="4" w:space="0" w:color="auto"/>
            </w:tcBorders>
            <w:shd w:val="clear" w:color="000000" w:fill="FF0000"/>
            <w:vAlign w:val="center"/>
            <w:hideMark/>
          </w:tcPr>
          <w:p w14:paraId="22EABB48" w14:textId="77777777" w:rsidR="00110FDB" w:rsidRPr="00FC2A2E" w:rsidRDefault="00110FDB">
            <w:pPr>
              <w:spacing w:after="0" w:line="240" w:lineRule="auto"/>
              <w:rPr>
                <w:rFonts w:ascii="Aptos" w:eastAsia="Times New Roman" w:hAnsi="Aptos" w:cs="Calibri"/>
                <w:b/>
                <w:bCs/>
                <w:color w:val="FFFFFF"/>
                <w:lang w:eastAsia="en-GB"/>
              </w:rPr>
            </w:pPr>
            <w:r>
              <w:rPr>
                <w:rFonts w:ascii="Aptos" w:eastAsia="Times New Roman" w:hAnsi="Aptos" w:cs="Calibri"/>
                <w:b/>
                <w:bCs/>
                <w:color w:val="FFFFFF"/>
                <w:lang w:eastAsia="en-GB"/>
              </w:rPr>
              <w:t>See Key Finding 6</w:t>
            </w:r>
          </w:p>
        </w:tc>
      </w:tr>
      <w:tr w:rsidR="00110FDB" w:rsidRPr="00FC2A2E" w14:paraId="57B8C6A6" w14:textId="77777777">
        <w:trPr>
          <w:trHeight w:val="580"/>
        </w:trPr>
        <w:tc>
          <w:tcPr>
            <w:tcW w:w="1214" w:type="dxa"/>
            <w:vMerge/>
            <w:tcBorders>
              <w:top w:val="nil"/>
              <w:left w:val="single" w:sz="4" w:space="0" w:color="auto"/>
              <w:bottom w:val="single" w:sz="4" w:space="0" w:color="000000"/>
              <w:right w:val="single" w:sz="4" w:space="0" w:color="auto"/>
            </w:tcBorders>
            <w:vAlign w:val="center"/>
            <w:hideMark/>
          </w:tcPr>
          <w:p w14:paraId="2F1240EC"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noWrap/>
            <w:vAlign w:val="center"/>
            <w:hideMark/>
          </w:tcPr>
          <w:p w14:paraId="6A517C71"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7</w:t>
            </w:r>
          </w:p>
        </w:tc>
        <w:tc>
          <w:tcPr>
            <w:tcW w:w="10456" w:type="dxa"/>
            <w:tcBorders>
              <w:top w:val="nil"/>
              <w:left w:val="nil"/>
              <w:bottom w:val="single" w:sz="4" w:space="0" w:color="auto"/>
              <w:right w:val="single" w:sz="4" w:space="0" w:color="auto"/>
            </w:tcBorders>
            <w:vAlign w:val="center"/>
            <w:hideMark/>
          </w:tcPr>
          <w:p w14:paraId="531FEBAB"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Regional orthopaedics programme ongoing to provide capacity for patients not suitable for surgery at NPTH to reduce demand for Morriston Hospital services.</w:t>
            </w:r>
          </w:p>
        </w:tc>
        <w:tc>
          <w:tcPr>
            <w:tcW w:w="2528" w:type="dxa"/>
            <w:tcBorders>
              <w:top w:val="nil"/>
              <w:left w:val="nil"/>
              <w:bottom w:val="single" w:sz="4" w:space="0" w:color="auto"/>
              <w:right w:val="single" w:sz="4" w:space="0" w:color="auto"/>
            </w:tcBorders>
            <w:shd w:val="clear" w:color="000000" w:fill="92D050"/>
            <w:vAlign w:val="center"/>
            <w:hideMark/>
          </w:tcPr>
          <w:p w14:paraId="0AA0D930"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Satisfactory</w:t>
            </w:r>
          </w:p>
        </w:tc>
      </w:tr>
      <w:tr w:rsidR="00110FDB" w:rsidRPr="00FC2A2E" w14:paraId="16DC58BC" w14:textId="77777777">
        <w:trPr>
          <w:trHeight w:val="580"/>
        </w:trPr>
        <w:tc>
          <w:tcPr>
            <w:tcW w:w="1214" w:type="dxa"/>
            <w:vMerge w:val="restart"/>
            <w:tcBorders>
              <w:top w:val="nil"/>
              <w:left w:val="single" w:sz="4" w:space="0" w:color="auto"/>
              <w:bottom w:val="single" w:sz="4" w:space="0" w:color="000000"/>
              <w:right w:val="single" w:sz="4" w:space="0" w:color="auto"/>
            </w:tcBorders>
            <w:noWrap/>
            <w:vAlign w:val="center"/>
            <w:hideMark/>
          </w:tcPr>
          <w:p w14:paraId="66A9C1B1"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Cancer</w:t>
            </w:r>
          </w:p>
        </w:tc>
        <w:tc>
          <w:tcPr>
            <w:tcW w:w="1248" w:type="dxa"/>
            <w:tcBorders>
              <w:top w:val="nil"/>
              <w:left w:val="nil"/>
              <w:bottom w:val="single" w:sz="4" w:space="0" w:color="auto"/>
              <w:right w:val="single" w:sz="4" w:space="0" w:color="auto"/>
            </w:tcBorders>
            <w:vAlign w:val="center"/>
            <w:hideMark/>
          </w:tcPr>
          <w:p w14:paraId="19789904"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8</w:t>
            </w:r>
          </w:p>
        </w:tc>
        <w:tc>
          <w:tcPr>
            <w:tcW w:w="10456" w:type="dxa"/>
            <w:tcBorders>
              <w:top w:val="nil"/>
              <w:left w:val="nil"/>
              <w:bottom w:val="single" w:sz="4" w:space="0" w:color="auto"/>
              <w:right w:val="single" w:sz="4" w:space="0" w:color="auto"/>
            </w:tcBorders>
            <w:vAlign w:val="center"/>
            <w:hideMark/>
          </w:tcPr>
          <w:p w14:paraId="4292EFA4"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Weekly performance reviews with all tumour site leads, chaired by the Deputy Chief Operating Officer and/or Cancer Performance and Information Manager.</w:t>
            </w:r>
          </w:p>
        </w:tc>
        <w:tc>
          <w:tcPr>
            <w:tcW w:w="2528" w:type="dxa"/>
            <w:tcBorders>
              <w:top w:val="nil"/>
              <w:left w:val="nil"/>
              <w:bottom w:val="single" w:sz="4" w:space="0" w:color="auto"/>
              <w:right w:val="single" w:sz="4" w:space="0" w:color="auto"/>
            </w:tcBorders>
            <w:shd w:val="clear" w:color="auto" w:fill="EE0000"/>
            <w:vAlign w:val="center"/>
            <w:hideMark/>
          </w:tcPr>
          <w:p w14:paraId="1A004178" w14:textId="77777777" w:rsidR="00110FDB" w:rsidRPr="00FC2A2E" w:rsidRDefault="00110FDB">
            <w:pPr>
              <w:spacing w:after="0" w:line="240" w:lineRule="auto"/>
              <w:rPr>
                <w:rFonts w:ascii="Aptos" w:eastAsia="Times New Roman" w:hAnsi="Aptos" w:cs="Calibri"/>
                <w:color w:val="000000"/>
                <w:lang w:eastAsia="en-GB"/>
              </w:rPr>
            </w:pPr>
            <w:r w:rsidRPr="001F0AE0">
              <w:rPr>
                <w:rFonts w:ascii="Aptos" w:eastAsia="Times New Roman" w:hAnsi="Aptos" w:cs="Calibri"/>
                <w:b/>
                <w:bCs/>
                <w:color w:val="FFFFFF"/>
                <w:lang w:eastAsia="en-GB"/>
              </w:rPr>
              <w:t xml:space="preserve">See Key Finding </w:t>
            </w:r>
            <w:r>
              <w:rPr>
                <w:rFonts w:ascii="Aptos" w:eastAsia="Times New Roman" w:hAnsi="Aptos" w:cs="Calibri"/>
                <w:b/>
                <w:bCs/>
                <w:color w:val="FFFFFF"/>
                <w:lang w:eastAsia="en-GB"/>
              </w:rPr>
              <w:t>7</w:t>
            </w:r>
          </w:p>
        </w:tc>
      </w:tr>
      <w:tr w:rsidR="00110FDB" w:rsidRPr="00FC2A2E" w14:paraId="60E9C4DB" w14:textId="77777777">
        <w:trPr>
          <w:trHeight w:val="290"/>
        </w:trPr>
        <w:tc>
          <w:tcPr>
            <w:tcW w:w="1214" w:type="dxa"/>
            <w:vMerge/>
            <w:tcBorders>
              <w:top w:val="nil"/>
              <w:left w:val="single" w:sz="4" w:space="0" w:color="auto"/>
              <w:bottom w:val="single" w:sz="4" w:space="0" w:color="000000"/>
              <w:right w:val="single" w:sz="4" w:space="0" w:color="auto"/>
            </w:tcBorders>
            <w:vAlign w:val="center"/>
            <w:hideMark/>
          </w:tcPr>
          <w:p w14:paraId="1E44EA5B"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vAlign w:val="center"/>
            <w:hideMark/>
          </w:tcPr>
          <w:p w14:paraId="54DF7887"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9a</w:t>
            </w:r>
          </w:p>
        </w:tc>
        <w:tc>
          <w:tcPr>
            <w:tcW w:w="10456" w:type="dxa"/>
            <w:tcBorders>
              <w:top w:val="nil"/>
              <w:left w:val="nil"/>
              <w:bottom w:val="single" w:sz="4" w:space="0" w:color="auto"/>
              <w:right w:val="single" w:sz="4" w:space="0" w:color="auto"/>
            </w:tcBorders>
            <w:noWrap/>
            <w:vAlign w:val="center"/>
            <w:hideMark/>
          </w:tcPr>
          <w:p w14:paraId="1C1FBA39"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Further actions/improvement in Skin, particularly to mitigate increased seasonal demand</w:t>
            </w:r>
          </w:p>
        </w:tc>
        <w:tc>
          <w:tcPr>
            <w:tcW w:w="2528" w:type="dxa"/>
            <w:tcBorders>
              <w:top w:val="nil"/>
              <w:left w:val="nil"/>
              <w:bottom w:val="single" w:sz="4" w:space="0" w:color="auto"/>
              <w:right w:val="single" w:sz="4" w:space="0" w:color="auto"/>
            </w:tcBorders>
            <w:shd w:val="clear" w:color="000000" w:fill="92D050"/>
            <w:vAlign w:val="center"/>
            <w:hideMark/>
          </w:tcPr>
          <w:p w14:paraId="0837D4C2"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Satisfactory</w:t>
            </w:r>
          </w:p>
        </w:tc>
      </w:tr>
      <w:tr w:rsidR="00110FDB" w:rsidRPr="00FC2A2E" w14:paraId="463BCE8E" w14:textId="77777777">
        <w:trPr>
          <w:trHeight w:val="290"/>
        </w:trPr>
        <w:tc>
          <w:tcPr>
            <w:tcW w:w="1214" w:type="dxa"/>
            <w:vMerge/>
            <w:tcBorders>
              <w:top w:val="nil"/>
              <w:left w:val="single" w:sz="4" w:space="0" w:color="auto"/>
              <w:bottom w:val="single" w:sz="4" w:space="0" w:color="000000"/>
              <w:right w:val="single" w:sz="4" w:space="0" w:color="auto"/>
            </w:tcBorders>
            <w:vAlign w:val="center"/>
            <w:hideMark/>
          </w:tcPr>
          <w:p w14:paraId="0331F01C"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vAlign w:val="center"/>
            <w:hideMark/>
          </w:tcPr>
          <w:p w14:paraId="2DD520E3"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9b</w:t>
            </w:r>
          </w:p>
        </w:tc>
        <w:tc>
          <w:tcPr>
            <w:tcW w:w="10456" w:type="dxa"/>
            <w:tcBorders>
              <w:top w:val="nil"/>
              <w:left w:val="nil"/>
              <w:bottom w:val="single" w:sz="4" w:space="0" w:color="auto"/>
              <w:right w:val="single" w:sz="4" w:space="0" w:color="auto"/>
            </w:tcBorders>
            <w:noWrap/>
            <w:vAlign w:val="center"/>
            <w:hideMark/>
          </w:tcPr>
          <w:p w14:paraId="645B7F94"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Lower Gastroenterology, to decision to treat and pre-assessment</w:t>
            </w:r>
          </w:p>
        </w:tc>
        <w:tc>
          <w:tcPr>
            <w:tcW w:w="2528" w:type="dxa"/>
            <w:vMerge w:val="restart"/>
            <w:tcBorders>
              <w:top w:val="nil"/>
              <w:left w:val="single" w:sz="4" w:space="0" w:color="auto"/>
              <w:bottom w:val="single" w:sz="4" w:space="0" w:color="000000"/>
              <w:right w:val="single" w:sz="4" w:space="0" w:color="auto"/>
            </w:tcBorders>
            <w:shd w:val="clear" w:color="000000" w:fill="FF0000"/>
            <w:vAlign w:val="center"/>
            <w:hideMark/>
          </w:tcPr>
          <w:p w14:paraId="253A3CD0" w14:textId="77777777" w:rsidR="00110FDB" w:rsidRPr="00FC2A2E" w:rsidRDefault="00110FDB">
            <w:pPr>
              <w:spacing w:after="0" w:line="240" w:lineRule="auto"/>
              <w:rPr>
                <w:rFonts w:ascii="Aptos" w:eastAsia="Times New Roman" w:hAnsi="Aptos" w:cs="Calibri"/>
                <w:b/>
                <w:bCs/>
                <w:color w:val="FFFFFF"/>
                <w:lang w:eastAsia="en-GB"/>
              </w:rPr>
            </w:pPr>
            <w:r w:rsidRPr="00FC2A2E">
              <w:rPr>
                <w:rFonts w:ascii="Aptos" w:eastAsia="Times New Roman" w:hAnsi="Aptos" w:cs="Calibri"/>
                <w:b/>
                <w:bCs/>
                <w:color w:val="FFFFFF"/>
                <w:lang w:eastAsia="en-GB"/>
              </w:rPr>
              <w:t xml:space="preserve">See Key Finding </w:t>
            </w:r>
            <w:r>
              <w:rPr>
                <w:rFonts w:ascii="Aptos" w:eastAsia="Times New Roman" w:hAnsi="Aptos" w:cs="Calibri"/>
                <w:b/>
                <w:bCs/>
                <w:color w:val="FFFFFF"/>
                <w:lang w:eastAsia="en-GB"/>
              </w:rPr>
              <w:t>7</w:t>
            </w:r>
          </w:p>
        </w:tc>
      </w:tr>
      <w:tr w:rsidR="00110FDB" w:rsidRPr="00FC2A2E" w14:paraId="7A9EF0CE" w14:textId="77777777">
        <w:trPr>
          <w:trHeight w:val="290"/>
        </w:trPr>
        <w:tc>
          <w:tcPr>
            <w:tcW w:w="1214" w:type="dxa"/>
            <w:vMerge/>
            <w:tcBorders>
              <w:top w:val="nil"/>
              <w:left w:val="single" w:sz="4" w:space="0" w:color="auto"/>
              <w:bottom w:val="single" w:sz="4" w:space="0" w:color="000000"/>
              <w:right w:val="single" w:sz="4" w:space="0" w:color="auto"/>
            </w:tcBorders>
            <w:vAlign w:val="center"/>
            <w:hideMark/>
          </w:tcPr>
          <w:p w14:paraId="7F6FF300"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vAlign w:val="center"/>
            <w:hideMark/>
          </w:tcPr>
          <w:p w14:paraId="04CA49E7"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9c</w:t>
            </w:r>
          </w:p>
        </w:tc>
        <w:tc>
          <w:tcPr>
            <w:tcW w:w="10456" w:type="dxa"/>
            <w:tcBorders>
              <w:top w:val="nil"/>
              <w:left w:val="nil"/>
              <w:bottom w:val="single" w:sz="4" w:space="0" w:color="auto"/>
              <w:right w:val="single" w:sz="4" w:space="0" w:color="auto"/>
            </w:tcBorders>
            <w:noWrap/>
            <w:vAlign w:val="center"/>
            <w:hideMark/>
          </w:tcPr>
          <w:p w14:paraId="5F81E2FB"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Urology diagnostics and increasing robotic capacity</w:t>
            </w:r>
          </w:p>
        </w:tc>
        <w:tc>
          <w:tcPr>
            <w:tcW w:w="2528" w:type="dxa"/>
            <w:vMerge/>
            <w:tcBorders>
              <w:top w:val="nil"/>
              <w:left w:val="single" w:sz="4" w:space="0" w:color="auto"/>
              <w:bottom w:val="single" w:sz="4" w:space="0" w:color="000000"/>
              <w:right w:val="single" w:sz="4" w:space="0" w:color="auto"/>
            </w:tcBorders>
            <w:vAlign w:val="center"/>
            <w:hideMark/>
          </w:tcPr>
          <w:p w14:paraId="14ED9CA4" w14:textId="77777777" w:rsidR="00110FDB" w:rsidRPr="00FC2A2E" w:rsidRDefault="00110FDB">
            <w:pPr>
              <w:spacing w:after="0" w:line="240" w:lineRule="auto"/>
              <w:rPr>
                <w:rFonts w:ascii="Aptos" w:eastAsia="Times New Roman" w:hAnsi="Aptos" w:cs="Calibri"/>
                <w:b/>
                <w:bCs/>
                <w:color w:val="FFFFFF"/>
                <w:lang w:eastAsia="en-GB"/>
              </w:rPr>
            </w:pPr>
          </w:p>
        </w:tc>
      </w:tr>
      <w:tr w:rsidR="00110FDB" w:rsidRPr="00FC2A2E" w14:paraId="628969C6" w14:textId="77777777">
        <w:trPr>
          <w:trHeight w:val="290"/>
        </w:trPr>
        <w:tc>
          <w:tcPr>
            <w:tcW w:w="1214" w:type="dxa"/>
            <w:vMerge/>
            <w:tcBorders>
              <w:top w:val="nil"/>
              <w:left w:val="single" w:sz="4" w:space="0" w:color="auto"/>
              <w:bottom w:val="single" w:sz="4" w:space="0" w:color="000000"/>
              <w:right w:val="single" w:sz="4" w:space="0" w:color="auto"/>
            </w:tcBorders>
            <w:vAlign w:val="center"/>
            <w:hideMark/>
          </w:tcPr>
          <w:p w14:paraId="3E88F5A3"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noWrap/>
            <w:vAlign w:val="center"/>
            <w:hideMark/>
          </w:tcPr>
          <w:p w14:paraId="27445026"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9d</w:t>
            </w:r>
          </w:p>
        </w:tc>
        <w:tc>
          <w:tcPr>
            <w:tcW w:w="10456" w:type="dxa"/>
            <w:tcBorders>
              <w:top w:val="nil"/>
              <w:left w:val="nil"/>
              <w:bottom w:val="single" w:sz="4" w:space="0" w:color="auto"/>
              <w:right w:val="single" w:sz="4" w:space="0" w:color="auto"/>
            </w:tcBorders>
            <w:noWrap/>
            <w:vAlign w:val="center"/>
            <w:hideMark/>
          </w:tcPr>
          <w:p w14:paraId="02C384CB"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Further actions/improvement in Lung.</w:t>
            </w:r>
          </w:p>
        </w:tc>
        <w:tc>
          <w:tcPr>
            <w:tcW w:w="2528" w:type="dxa"/>
            <w:vMerge/>
            <w:tcBorders>
              <w:top w:val="nil"/>
              <w:left w:val="single" w:sz="4" w:space="0" w:color="auto"/>
              <w:bottom w:val="single" w:sz="4" w:space="0" w:color="000000"/>
              <w:right w:val="single" w:sz="4" w:space="0" w:color="auto"/>
            </w:tcBorders>
            <w:vAlign w:val="center"/>
            <w:hideMark/>
          </w:tcPr>
          <w:p w14:paraId="21CA220F" w14:textId="77777777" w:rsidR="00110FDB" w:rsidRPr="00FC2A2E" w:rsidRDefault="00110FDB">
            <w:pPr>
              <w:spacing w:after="0" w:line="240" w:lineRule="auto"/>
              <w:rPr>
                <w:rFonts w:ascii="Aptos" w:eastAsia="Times New Roman" w:hAnsi="Aptos" w:cs="Calibri"/>
                <w:b/>
                <w:bCs/>
                <w:color w:val="FFFFFF"/>
                <w:lang w:eastAsia="en-GB"/>
              </w:rPr>
            </w:pPr>
          </w:p>
        </w:tc>
      </w:tr>
      <w:tr w:rsidR="00110FDB" w:rsidRPr="00FC2A2E" w14:paraId="35B91DAD" w14:textId="77777777">
        <w:trPr>
          <w:trHeight w:val="580"/>
        </w:trPr>
        <w:tc>
          <w:tcPr>
            <w:tcW w:w="1214" w:type="dxa"/>
            <w:vMerge w:val="restart"/>
            <w:tcBorders>
              <w:top w:val="nil"/>
              <w:left w:val="single" w:sz="4" w:space="0" w:color="auto"/>
              <w:bottom w:val="single" w:sz="4" w:space="0" w:color="000000"/>
              <w:right w:val="single" w:sz="4" w:space="0" w:color="auto"/>
            </w:tcBorders>
            <w:noWrap/>
            <w:vAlign w:val="center"/>
            <w:hideMark/>
          </w:tcPr>
          <w:p w14:paraId="4CABB6FB"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HCAI</w:t>
            </w:r>
          </w:p>
        </w:tc>
        <w:tc>
          <w:tcPr>
            <w:tcW w:w="1248" w:type="dxa"/>
            <w:tcBorders>
              <w:top w:val="nil"/>
              <w:left w:val="nil"/>
              <w:bottom w:val="single" w:sz="4" w:space="0" w:color="auto"/>
              <w:right w:val="single" w:sz="4" w:space="0" w:color="auto"/>
            </w:tcBorders>
            <w:noWrap/>
            <w:vAlign w:val="center"/>
            <w:hideMark/>
          </w:tcPr>
          <w:p w14:paraId="7297A428"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10</w:t>
            </w:r>
          </w:p>
        </w:tc>
        <w:tc>
          <w:tcPr>
            <w:tcW w:w="10456" w:type="dxa"/>
            <w:tcBorders>
              <w:top w:val="nil"/>
              <w:left w:val="nil"/>
              <w:bottom w:val="single" w:sz="4" w:space="0" w:color="auto"/>
              <w:right w:val="single" w:sz="4" w:space="0" w:color="auto"/>
            </w:tcBorders>
            <w:vAlign w:val="center"/>
            <w:hideMark/>
          </w:tcPr>
          <w:p w14:paraId="3E817EBA"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Gold C. difficile High Incidence Management Group continue, with Silver Groups reporting into Gold.</w:t>
            </w:r>
          </w:p>
        </w:tc>
        <w:tc>
          <w:tcPr>
            <w:tcW w:w="2528" w:type="dxa"/>
            <w:tcBorders>
              <w:top w:val="nil"/>
              <w:left w:val="nil"/>
              <w:bottom w:val="single" w:sz="4" w:space="0" w:color="auto"/>
              <w:right w:val="single" w:sz="4" w:space="0" w:color="auto"/>
            </w:tcBorders>
            <w:shd w:val="clear" w:color="000000" w:fill="FF0000"/>
            <w:noWrap/>
            <w:vAlign w:val="center"/>
            <w:hideMark/>
          </w:tcPr>
          <w:p w14:paraId="08E78A81" w14:textId="77777777" w:rsidR="00110FDB" w:rsidRPr="00FC2A2E" w:rsidRDefault="00110FDB">
            <w:pPr>
              <w:spacing w:after="0" w:line="240" w:lineRule="auto"/>
              <w:rPr>
                <w:rFonts w:ascii="Aptos" w:eastAsia="Times New Roman" w:hAnsi="Aptos" w:cs="Calibri"/>
                <w:b/>
                <w:bCs/>
                <w:color w:val="FFFFFF"/>
                <w:lang w:eastAsia="en-GB"/>
              </w:rPr>
            </w:pPr>
            <w:r w:rsidRPr="00FC2A2E">
              <w:rPr>
                <w:rFonts w:ascii="Aptos" w:eastAsia="Times New Roman" w:hAnsi="Aptos" w:cs="Calibri"/>
                <w:b/>
                <w:bCs/>
                <w:color w:val="FFFFFF"/>
                <w:lang w:eastAsia="en-GB"/>
              </w:rPr>
              <w:t xml:space="preserve">See Key Finding </w:t>
            </w:r>
            <w:r>
              <w:rPr>
                <w:rFonts w:ascii="Aptos" w:eastAsia="Times New Roman" w:hAnsi="Aptos" w:cs="Calibri"/>
                <w:b/>
                <w:bCs/>
                <w:color w:val="FFFFFF"/>
                <w:lang w:eastAsia="en-GB"/>
              </w:rPr>
              <w:t>8</w:t>
            </w:r>
          </w:p>
        </w:tc>
      </w:tr>
      <w:tr w:rsidR="00110FDB" w:rsidRPr="00FC2A2E" w14:paraId="277FE05C" w14:textId="77777777">
        <w:trPr>
          <w:trHeight w:val="580"/>
        </w:trPr>
        <w:tc>
          <w:tcPr>
            <w:tcW w:w="1214" w:type="dxa"/>
            <w:vMerge/>
            <w:tcBorders>
              <w:top w:val="nil"/>
              <w:left w:val="single" w:sz="4" w:space="0" w:color="auto"/>
              <w:bottom w:val="single" w:sz="4" w:space="0" w:color="000000"/>
              <w:right w:val="single" w:sz="4" w:space="0" w:color="auto"/>
            </w:tcBorders>
            <w:vAlign w:val="center"/>
            <w:hideMark/>
          </w:tcPr>
          <w:p w14:paraId="19B45323"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noWrap/>
            <w:vAlign w:val="center"/>
            <w:hideMark/>
          </w:tcPr>
          <w:p w14:paraId="35E61EA9"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11</w:t>
            </w:r>
          </w:p>
        </w:tc>
        <w:tc>
          <w:tcPr>
            <w:tcW w:w="10456" w:type="dxa"/>
            <w:tcBorders>
              <w:top w:val="nil"/>
              <w:left w:val="nil"/>
              <w:bottom w:val="single" w:sz="4" w:space="0" w:color="auto"/>
              <w:right w:val="single" w:sz="4" w:space="0" w:color="auto"/>
            </w:tcBorders>
            <w:vAlign w:val="center"/>
            <w:hideMark/>
          </w:tcPr>
          <w:p w14:paraId="58331508"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 xml:space="preserve">The C. difficile risk stratification project will focus on top 5 patient risks and pilot use in one ward to inform antimicrobial prescribing choices. </w:t>
            </w:r>
          </w:p>
        </w:tc>
        <w:tc>
          <w:tcPr>
            <w:tcW w:w="2528" w:type="dxa"/>
            <w:tcBorders>
              <w:top w:val="nil"/>
              <w:left w:val="nil"/>
              <w:bottom w:val="single" w:sz="4" w:space="0" w:color="auto"/>
              <w:right w:val="single" w:sz="4" w:space="0" w:color="auto"/>
            </w:tcBorders>
            <w:shd w:val="clear" w:color="auto" w:fill="FFC000"/>
            <w:noWrap/>
            <w:vAlign w:val="center"/>
            <w:hideMark/>
          </w:tcPr>
          <w:p w14:paraId="3ABAB35E"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Alternative action progressed</w:t>
            </w:r>
          </w:p>
        </w:tc>
      </w:tr>
      <w:tr w:rsidR="00110FDB" w:rsidRPr="00FC2A2E" w14:paraId="0AD1C53F" w14:textId="77777777">
        <w:trPr>
          <w:trHeight w:val="580"/>
        </w:trPr>
        <w:tc>
          <w:tcPr>
            <w:tcW w:w="1214" w:type="dxa"/>
            <w:vMerge/>
            <w:tcBorders>
              <w:top w:val="nil"/>
              <w:left w:val="single" w:sz="4" w:space="0" w:color="auto"/>
              <w:bottom w:val="single" w:sz="4" w:space="0" w:color="000000"/>
              <w:right w:val="single" w:sz="4" w:space="0" w:color="auto"/>
            </w:tcBorders>
            <w:vAlign w:val="center"/>
            <w:hideMark/>
          </w:tcPr>
          <w:p w14:paraId="6FCF00A3" w14:textId="77777777" w:rsidR="00110FDB" w:rsidRPr="00FC2A2E" w:rsidRDefault="00110FDB">
            <w:pPr>
              <w:spacing w:after="0" w:line="240" w:lineRule="auto"/>
              <w:rPr>
                <w:rFonts w:ascii="Aptos" w:eastAsia="Times New Roman" w:hAnsi="Aptos" w:cs="Calibri"/>
                <w:color w:val="000000"/>
                <w:lang w:eastAsia="en-GB"/>
              </w:rPr>
            </w:pPr>
          </w:p>
        </w:tc>
        <w:tc>
          <w:tcPr>
            <w:tcW w:w="1248" w:type="dxa"/>
            <w:tcBorders>
              <w:top w:val="nil"/>
              <w:left w:val="nil"/>
              <w:bottom w:val="single" w:sz="4" w:space="0" w:color="auto"/>
              <w:right w:val="single" w:sz="4" w:space="0" w:color="auto"/>
            </w:tcBorders>
            <w:noWrap/>
            <w:vAlign w:val="center"/>
            <w:hideMark/>
          </w:tcPr>
          <w:p w14:paraId="73585789" w14:textId="77777777" w:rsidR="00110FDB" w:rsidRPr="00FC2A2E" w:rsidRDefault="00110FDB">
            <w:pPr>
              <w:spacing w:after="0" w:line="240" w:lineRule="auto"/>
              <w:jc w:val="center"/>
              <w:rPr>
                <w:rFonts w:ascii="Aptos" w:eastAsia="Times New Roman" w:hAnsi="Aptos" w:cs="Calibri"/>
                <w:color w:val="000000"/>
                <w:lang w:eastAsia="en-GB"/>
              </w:rPr>
            </w:pPr>
            <w:r w:rsidRPr="00FC2A2E">
              <w:rPr>
                <w:rFonts w:ascii="Aptos" w:eastAsia="Times New Roman" w:hAnsi="Aptos" w:cs="Calibri"/>
                <w:color w:val="000000"/>
                <w:lang w:eastAsia="en-GB"/>
              </w:rPr>
              <w:t>12</w:t>
            </w:r>
          </w:p>
        </w:tc>
        <w:tc>
          <w:tcPr>
            <w:tcW w:w="10456" w:type="dxa"/>
            <w:tcBorders>
              <w:top w:val="nil"/>
              <w:left w:val="nil"/>
              <w:bottom w:val="single" w:sz="4" w:space="0" w:color="auto"/>
              <w:right w:val="single" w:sz="4" w:space="0" w:color="auto"/>
            </w:tcBorders>
            <w:vAlign w:val="center"/>
            <w:hideMark/>
          </w:tcPr>
          <w:p w14:paraId="1F231962"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Collaboration with Domestic Services and Infection Prevention &amp; Control on improving processes and governance for enhanced cleaning during Periods of Increased Incidence.</w:t>
            </w:r>
          </w:p>
        </w:tc>
        <w:tc>
          <w:tcPr>
            <w:tcW w:w="2528" w:type="dxa"/>
            <w:tcBorders>
              <w:top w:val="nil"/>
              <w:left w:val="nil"/>
              <w:bottom w:val="single" w:sz="4" w:space="0" w:color="auto"/>
              <w:right w:val="single" w:sz="4" w:space="0" w:color="auto"/>
            </w:tcBorders>
            <w:shd w:val="clear" w:color="000000" w:fill="92D050"/>
            <w:noWrap/>
            <w:vAlign w:val="center"/>
            <w:hideMark/>
          </w:tcPr>
          <w:p w14:paraId="20918CC2" w14:textId="77777777" w:rsidR="00110FDB" w:rsidRPr="00FC2A2E" w:rsidRDefault="00110FDB">
            <w:pPr>
              <w:spacing w:after="0" w:line="240" w:lineRule="auto"/>
              <w:rPr>
                <w:rFonts w:ascii="Aptos" w:eastAsia="Times New Roman" w:hAnsi="Aptos" w:cs="Calibri"/>
                <w:color w:val="000000"/>
                <w:lang w:eastAsia="en-GB"/>
              </w:rPr>
            </w:pPr>
            <w:r w:rsidRPr="00FC2A2E">
              <w:rPr>
                <w:rFonts w:ascii="Aptos" w:eastAsia="Times New Roman" w:hAnsi="Aptos" w:cs="Calibri"/>
                <w:color w:val="000000"/>
                <w:lang w:eastAsia="en-GB"/>
              </w:rPr>
              <w:t>Satisfactory</w:t>
            </w:r>
          </w:p>
        </w:tc>
      </w:tr>
    </w:tbl>
    <w:p w14:paraId="2C88C267" w14:textId="77777777" w:rsidR="00110FDB" w:rsidRDefault="00110FDB" w:rsidP="00110FDB">
      <w:pPr>
        <w:spacing w:after="120"/>
        <w:rPr>
          <w:rFonts w:ascii="Verdana" w:hAnsi="Verdana"/>
          <w:sz w:val="20"/>
          <w:szCs w:val="20"/>
        </w:rPr>
      </w:pPr>
      <w:r>
        <w:rPr>
          <w:rFonts w:ascii="Verdana" w:hAnsi="Verdana"/>
          <w:sz w:val="20"/>
          <w:szCs w:val="20"/>
        </w:rPr>
        <w:t>*</w:t>
      </w:r>
      <w:r w:rsidRPr="001D1C02">
        <w:rPr>
          <w:rFonts w:ascii="Verdana" w:hAnsi="Verdana"/>
          <w:sz w:val="18"/>
          <w:szCs w:val="18"/>
        </w:rPr>
        <w:t>Our sample</w:t>
      </w:r>
      <w:r>
        <w:rPr>
          <w:rFonts w:ascii="Verdana" w:hAnsi="Verdana"/>
          <w:sz w:val="18"/>
          <w:szCs w:val="18"/>
        </w:rPr>
        <w:t xml:space="preserve"> of services escalated under Performance and Outcomes domain</w:t>
      </w:r>
      <w:r w:rsidRPr="001D1C02">
        <w:rPr>
          <w:rFonts w:ascii="Verdana" w:hAnsi="Verdana"/>
          <w:sz w:val="18"/>
          <w:szCs w:val="18"/>
        </w:rPr>
        <w:t xml:space="preserve"> has not included actions for CAMHS noting the action ‘</w:t>
      </w:r>
      <w:r w:rsidRPr="001D1C02">
        <w:rPr>
          <w:rFonts w:ascii="Verdana" w:hAnsi="Verdana"/>
          <w:i/>
          <w:iCs/>
          <w:sz w:val="18"/>
          <w:szCs w:val="18"/>
        </w:rPr>
        <w:t>Recruitment of substantive CAMHS nurses to support a more resilient workforce model and improve compliance with Mental Health Measure targets</w:t>
      </w:r>
      <w:r w:rsidRPr="001D1C02">
        <w:rPr>
          <w:rFonts w:ascii="Verdana" w:hAnsi="Verdana"/>
          <w:sz w:val="18"/>
          <w:szCs w:val="18"/>
        </w:rPr>
        <w:t xml:space="preserve">’ </w:t>
      </w:r>
      <w:r>
        <w:rPr>
          <w:rFonts w:ascii="Verdana" w:hAnsi="Verdana"/>
          <w:sz w:val="18"/>
          <w:szCs w:val="18"/>
        </w:rPr>
        <w:t>remained unchanged across the period to May 2025. A</w:t>
      </w:r>
      <w:r w:rsidRPr="001D1C02">
        <w:rPr>
          <w:rFonts w:ascii="Verdana" w:hAnsi="Verdana"/>
          <w:sz w:val="18"/>
          <w:szCs w:val="18"/>
        </w:rPr>
        <w:t xml:space="preserve"> review of CAMHS </w:t>
      </w:r>
      <w:r>
        <w:rPr>
          <w:rFonts w:ascii="Verdana" w:hAnsi="Verdana"/>
          <w:sz w:val="18"/>
          <w:szCs w:val="18"/>
        </w:rPr>
        <w:t>transition was undertaken</w:t>
      </w:r>
      <w:r w:rsidRPr="001D1C02">
        <w:rPr>
          <w:rFonts w:ascii="Verdana" w:hAnsi="Verdana"/>
          <w:sz w:val="18"/>
          <w:szCs w:val="18"/>
        </w:rPr>
        <w:t xml:space="preserve"> in 2024/25</w:t>
      </w:r>
      <w:r>
        <w:rPr>
          <w:rFonts w:ascii="Verdana" w:hAnsi="Verdana"/>
          <w:sz w:val="18"/>
          <w:szCs w:val="18"/>
        </w:rPr>
        <w:t xml:space="preserve"> (SBU-2425-14) assigning it reasonable assurance.</w:t>
      </w:r>
    </w:p>
    <w:p w14:paraId="1B0AD091" w14:textId="47881A04" w:rsidR="00110FDB" w:rsidRPr="0023158F" w:rsidRDefault="00110FDB" w:rsidP="0023158F">
      <w:pPr>
        <w:pStyle w:val="Heading1"/>
        <w:spacing w:before="0" w:after="120"/>
        <w:rPr>
          <w:rFonts w:ascii="Verdana" w:hAnsi="Verdana" w:cs="Arial"/>
          <w:color w:val="002060"/>
          <w:sz w:val="36"/>
          <w:szCs w:val="36"/>
        </w:rPr>
      </w:pPr>
      <w:bookmarkStart w:id="10" w:name="_Toc211856090"/>
      <w:r w:rsidRPr="0023158F">
        <w:rPr>
          <w:rFonts w:ascii="Verdana" w:hAnsi="Verdana" w:cs="Arial"/>
          <w:color w:val="002060"/>
          <w:sz w:val="36"/>
          <w:szCs w:val="36"/>
        </w:rPr>
        <w:lastRenderedPageBreak/>
        <w:t>Appendix B: Summary of Escalation performance</w:t>
      </w:r>
      <w:bookmarkEnd w:id="10"/>
    </w:p>
    <w:tbl>
      <w:tblPr>
        <w:tblW w:w="15955" w:type="dxa"/>
        <w:tblLayout w:type="fixed"/>
        <w:tblLook w:val="04A0" w:firstRow="1" w:lastRow="0" w:firstColumn="1" w:lastColumn="0" w:noHBand="0" w:noVBand="1"/>
      </w:tblPr>
      <w:tblGrid>
        <w:gridCol w:w="1659"/>
        <w:gridCol w:w="4535"/>
        <w:gridCol w:w="1581"/>
        <w:gridCol w:w="1582"/>
        <w:gridCol w:w="1582"/>
        <w:gridCol w:w="1582"/>
        <w:gridCol w:w="3434"/>
      </w:tblGrid>
      <w:tr w:rsidR="00110FDB" w:rsidRPr="00AC1EB2" w14:paraId="1D19B796" w14:textId="77777777">
        <w:trPr>
          <w:trHeight w:val="1110"/>
          <w:tblHeader/>
        </w:trPr>
        <w:tc>
          <w:tcPr>
            <w:tcW w:w="1659" w:type="dxa"/>
            <w:tcBorders>
              <w:top w:val="single" w:sz="8" w:space="0" w:color="auto"/>
              <w:left w:val="single" w:sz="8" w:space="0" w:color="auto"/>
              <w:bottom w:val="single" w:sz="8" w:space="0" w:color="auto"/>
              <w:right w:val="single" w:sz="8" w:space="0" w:color="auto"/>
            </w:tcBorders>
            <w:shd w:val="clear" w:color="000000" w:fill="0070C0"/>
            <w:vAlign w:val="center"/>
            <w:hideMark/>
          </w:tcPr>
          <w:p w14:paraId="08F01D1A" w14:textId="77777777" w:rsidR="00110FDB" w:rsidRPr="00AC1EB2" w:rsidRDefault="00110FDB">
            <w:pPr>
              <w:spacing w:after="0" w:line="240" w:lineRule="auto"/>
              <w:jc w:val="center"/>
              <w:rPr>
                <w:rFonts w:ascii="Aptos" w:eastAsia="Times New Roman" w:hAnsi="Aptos" w:cs="Calibri"/>
                <w:b/>
                <w:bCs/>
                <w:color w:val="FFFFFF"/>
                <w:lang w:eastAsia="en-GB"/>
              </w:rPr>
            </w:pPr>
            <w:r>
              <w:rPr>
                <w:rFonts w:ascii="Aptos" w:eastAsia="Times New Roman" w:hAnsi="Aptos" w:cs="Calibri"/>
                <w:b/>
                <w:bCs/>
                <w:color w:val="FFFFFF"/>
                <w:lang w:eastAsia="en-GB"/>
              </w:rPr>
              <w:t>E</w:t>
            </w:r>
            <w:r w:rsidRPr="00AC1EB2">
              <w:rPr>
                <w:rFonts w:ascii="Aptos" w:eastAsia="Times New Roman" w:hAnsi="Aptos" w:cs="Calibri"/>
                <w:b/>
                <w:bCs/>
                <w:color w:val="FFFFFF"/>
                <w:lang w:eastAsia="en-GB"/>
              </w:rPr>
              <w:t>scalated Area</w:t>
            </w:r>
          </w:p>
        </w:tc>
        <w:tc>
          <w:tcPr>
            <w:tcW w:w="4535" w:type="dxa"/>
            <w:tcBorders>
              <w:top w:val="single" w:sz="8" w:space="0" w:color="auto"/>
              <w:left w:val="nil"/>
              <w:bottom w:val="single" w:sz="8" w:space="0" w:color="auto"/>
              <w:right w:val="single" w:sz="8" w:space="0" w:color="auto"/>
            </w:tcBorders>
            <w:shd w:val="clear" w:color="000000" w:fill="0070C0"/>
            <w:vAlign w:val="center"/>
            <w:hideMark/>
          </w:tcPr>
          <w:p w14:paraId="7E991A6D" w14:textId="77777777" w:rsidR="00110FDB" w:rsidRPr="00AC1EB2" w:rsidRDefault="00110FDB">
            <w:pPr>
              <w:spacing w:after="0" w:line="240" w:lineRule="auto"/>
              <w:jc w:val="center"/>
              <w:rPr>
                <w:rFonts w:ascii="Aptos" w:eastAsia="Times New Roman" w:hAnsi="Aptos" w:cs="Calibri"/>
                <w:b/>
                <w:bCs/>
                <w:color w:val="FFFFFF"/>
                <w:lang w:eastAsia="en-GB"/>
              </w:rPr>
            </w:pPr>
            <w:r w:rsidRPr="00AC1EB2">
              <w:rPr>
                <w:rFonts w:ascii="Aptos" w:eastAsia="Times New Roman" w:hAnsi="Aptos" w:cs="Calibri"/>
                <w:b/>
                <w:bCs/>
                <w:color w:val="FFFFFF"/>
                <w:lang w:eastAsia="en-GB"/>
              </w:rPr>
              <w:t>Criteria to Achieve</w:t>
            </w:r>
          </w:p>
        </w:tc>
        <w:tc>
          <w:tcPr>
            <w:tcW w:w="1581" w:type="dxa"/>
            <w:tcBorders>
              <w:top w:val="single" w:sz="8" w:space="0" w:color="auto"/>
              <w:left w:val="nil"/>
              <w:bottom w:val="single" w:sz="8" w:space="0" w:color="auto"/>
              <w:right w:val="single" w:sz="8" w:space="0" w:color="000000"/>
            </w:tcBorders>
            <w:shd w:val="clear" w:color="000000" w:fill="0070C0"/>
            <w:vAlign w:val="center"/>
            <w:hideMark/>
          </w:tcPr>
          <w:p w14:paraId="5297B957" w14:textId="77777777" w:rsidR="00110FDB" w:rsidRPr="00AC1EB2" w:rsidRDefault="00110FDB">
            <w:pPr>
              <w:spacing w:after="0" w:line="240" w:lineRule="auto"/>
              <w:jc w:val="center"/>
              <w:rPr>
                <w:rFonts w:ascii="Aptos" w:eastAsia="Times New Roman" w:hAnsi="Aptos" w:cs="Calibri"/>
                <w:b/>
                <w:bCs/>
                <w:color w:val="FFFFFF"/>
                <w:sz w:val="20"/>
                <w:szCs w:val="20"/>
                <w:lang w:eastAsia="en-GB"/>
              </w:rPr>
            </w:pPr>
            <w:r w:rsidRPr="00AC1EB2">
              <w:rPr>
                <w:rFonts w:ascii="Aptos" w:eastAsia="Times New Roman" w:hAnsi="Aptos" w:cs="Calibri"/>
                <w:b/>
                <w:bCs/>
                <w:color w:val="FFFFFF"/>
                <w:sz w:val="20"/>
                <w:szCs w:val="20"/>
                <w:lang w:eastAsia="en-GB"/>
              </w:rPr>
              <w:t xml:space="preserve">Baseline </w:t>
            </w:r>
            <w:proofErr w:type="gramStart"/>
            <w:r w:rsidRPr="00AC1EB2">
              <w:rPr>
                <w:rFonts w:ascii="Aptos" w:eastAsia="Times New Roman" w:hAnsi="Aptos" w:cs="Calibri"/>
                <w:b/>
                <w:bCs/>
                <w:color w:val="FFFFFF"/>
                <w:sz w:val="20"/>
                <w:szCs w:val="20"/>
                <w:lang w:eastAsia="en-GB"/>
              </w:rPr>
              <w:t>( November</w:t>
            </w:r>
            <w:proofErr w:type="gramEnd"/>
            <w:r w:rsidRPr="00AC1EB2">
              <w:rPr>
                <w:rFonts w:ascii="Aptos" w:eastAsia="Times New Roman" w:hAnsi="Aptos" w:cs="Calibri"/>
                <w:b/>
                <w:bCs/>
                <w:color w:val="FFFFFF"/>
                <w:sz w:val="20"/>
                <w:szCs w:val="20"/>
                <w:lang w:eastAsia="en-GB"/>
              </w:rPr>
              <w:t xml:space="preserve"> 2023)</w:t>
            </w:r>
          </w:p>
        </w:tc>
        <w:tc>
          <w:tcPr>
            <w:tcW w:w="1582" w:type="dxa"/>
            <w:tcBorders>
              <w:top w:val="single" w:sz="8" w:space="0" w:color="auto"/>
              <w:left w:val="nil"/>
              <w:bottom w:val="single" w:sz="8" w:space="0" w:color="auto"/>
              <w:right w:val="single" w:sz="8" w:space="0" w:color="000000"/>
            </w:tcBorders>
            <w:shd w:val="clear" w:color="000000" w:fill="0070C0"/>
            <w:vAlign w:val="center"/>
            <w:hideMark/>
          </w:tcPr>
          <w:p w14:paraId="21AE0E42" w14:textId="77777777" w:rsidR="00110FDB" w:rsidRPr="00AC1EB2" w:rsidRDefault="00110FDB">
            <w:pPr>
              <w:spacing w:after="0" w:line="240" w:lineRule="auto"/>
              <w:jc w:val="center"/>
              <w:rPr>
                <w:rFonts w:ascii="Aptos" w:eastAsia="Times New Roman" w:hAnsi="Aptos" w:cs="Calibri"/>
                <w:b/>
                <w:bCs/>
                <w:color w:val="FFFFFF"/>
                <w:sz w:val="20"/>
                <w:szCs w:val="20"/>
                <w:lang w:eastAsia="en-GB"/>
              </w:rPr>
            </w:pPr>
            <w:r w:rsidRPr="00AC1EB2">
              <w:rPr>
                <w:rFonts w:ascii="Aptos" w:eastAsia="Times New Roman" w:hAnsi="Aptos" w:cs="Calibri"/>
                <w:b/>
                <w:bCs/>
                <w:color w:val="FFFFFF"/>
                <w:sz w:val="20"/>
                <w:szCs w:val="20"/>
                <w:lang w:eastAsia="en-GB"/>
              </w:rPr>
              <w:t>De-escalation criteria 2024 (2025 amendment)</w:t>
            </w:r>
          </w:p>
        </w:tc>
        <w:tc>
          <w:tcPr>
            <w:tcW w:w="1582" w:type="dxa"/>
            <w:tcBorders>
              <w:top w:val="single" w:sz="8" w:space="0" w:color="auto"/>
              <w:left w:val="nil"/>
              <w:bottom w:val="single" w:sz="8" w:space="0" w:color="auto"/>
              <w:right w:val="single" w:sz="8" w:space="0" w:color="auto"/>
            </w:tcBorders>
            <w:shd w:val="clear" w:color="000000" w:fill="0070C0"/>
            <w:vAlign w:val="center"/>
            <w:hideMark/>
          </w:tcPr>
          <w:p w14:paraId="2D65B0AD" w14:textId="77777777" w:rsidR="00110FDB" w:rsidRPr="00AC1EB2" w:rsidRDefault="00110FDB">
            <w:pPr>
              <w:spacing w:after="0" w:line="240" w:lineRule="auto"/>
              <w:jc w:val="center"/>
              <w:rPr>
                <w:rFonts w:ascii="Aptos" w:eastAsia="Times New Roman" w:hAnsi="Aptos" w:cs="Calibri"/>
                <w:b/>
                <w:bCs/>
                <w:color w:val="FFFFFF"/>
                <w:sz w:val="20"/>
                <w:szCs w:val="20"/>
                <w:lang w:eastAsia="en-GB"/>
              </w:rPr>
            </w:pPr>
            <w:r w:rsidRPr="00AC1EB2">
              <w:rPr>
                <w:rFonts w:ascii="Aptos" w:eastAsia="Times New Roman" w:hAnsi="Aptos" w:cs="Calibri"/>
                <w:b/>
                <w:bCs/>
                <w:color w:val="FFFFFF"/>
                <w:sz w:val="20"/>
                <w:szCs w:val="20"/>
                <w:lang w:eastAsia="en-GB"/>
              </w:rPr>
              <w:t>June 2024</w:t>
            </w:r>
          </w:p>
        </w:tc>
        <w:tc>
          <w:tcPr>
            <w:tcW w:w="1582" w:type="dxa"/>
            <w:tcBorders>
              <w:top w:val="single" w:sz="8" w:space="0" w:color="auto"/>
              <w:left w:val="nil"/>
              <w:bottom w:val="single" w:sz="8" w:space="0" w:color="auto"/>
              <w:right w:val="single" w:sz="8" w:space="0" w:color="auto"/>
            </w:tcBorders>
            <w:shd w:val="clear" w:color="000000" w:fill="0070C0"/>
            <w:vAlign w:val="center"/>
            <w:hideMark/>
          </w:tcPr>
          <w:p w14:paraId="3137A741" w14:textId="77777777" w:rsidR="00110FDB" w:rsidRPr="00AC1EB2" w:rsidRDefault="00110FDB">
            <w:pPr>
              <w:spacing w:after="0" w:line="240" w:lineRule="auto"/>
              <w:jc w:val="center"/>
              <w:rPr>
                <w:rFonts w:ascii="Calibri" w:eastAsia="Times New Roman" w:hAnsi="Calibri" w:cs="Calibri"/>
                <w:b/>
                <w:bCs/>
                <w:color w:val="FFFFFF"/>
                <w:lang w:eastAsia="en-GB"/>
              </w:rPr>
            </w:pPr>
            <w:r w:rsidRPr="00AA4D71">
              <w:rPr>
                <w:rFonts w:ascii="Calibri" w:eastAsia="Times New Roman" w:hAnsi="Calibri" w:cs="Calibri"/>
                <w:b/>
                <w:bCs/>
                <w:color w:val="FFFFFF"/>
                <w:lang w:eastAsia="en-GB"/>
              </w:rPr>
              <w:t>August 2025</w:t>
            </w:r>
            <w:r>
              <w:rPr>
                <w:rStyle w:val="FootnoteReference"/>
                <w:rFonts w:ascii="Calibri" w:eastAsia="Times New Roman" w:hAnsi="Calibri" w:cs="Calibri"/>
                <w:b/>
                <w:bCs/>
                <w:color w:val="FFFFFF"/>
                <w:lang w:eastAsia="en-GB"/>
              </w:rPr>
              <w:footnoteReference w:id="3"/>
            </w:r>
          </w:p>
        </w:tc>
        <w:tc>
          <w:tcPr>
            <w:tcW w:w="3434" w:type="dxa"/>
            <w:tcBorders>
              <w:top w:val="single" w:sz="8" w:space="0" w:color="auto"/>
              <w:left w:val="nil"/>
              <w:bottom w:val="single" w:sz="8" w:space="0" w:color="auto"/>
              <w:right w:val="single" w:sz="8" w:space="0" w:color="auto"/>
            </w:tcBorders>
            <w:shd w:val="clear" w:color="000000" w:fill="0070C0"/>
            <w:vAlign w:val="center"/>
            <w:hideMark/>
          </w:tcPr>
          <w:p w14:paraId="3F182A40" w14:textId="77777777" w:rsidR="00110FDB" w:rsidRPr="00AC1EB2" w:rsidRDefault="00110FDB">
            <w:pPr>
              <w:spacing w:after="0" w:line="240" w:lineRule="auto"/>
              <w:jc w:val="center"/>
              <w:rPr>
                <w:rFonts w:ascii="Aptos" w:eastAsia="Times New Roman" w:hAnsi="Aptos" w:cs="Calibri"/>
                <w:b/>
                <w:bCs/>
                <w:color w:val="FFFFFF"/>
                <w:sz w:val="20"/>
                <w:szCs w:val="20"/>
                <w:lang w:eastAsia="en-GB"/>
              </w:rPr>
            </w:pPr>
            <w:r w:rsidRPr="00AC1EB2">
              <w:rPr>
                <w:rFonts w:ascii="Aptos" w:eastAsia="Times New Roman" w:hAnsi="Aptos" w:cs="Calibri"/>
                <w:b/>
                <w:bCs/>
                <w:color w:val="FFFFFF"/>
                <w:sz w:val="20"/>
                <w:szCs w:val="20"/>
                <w:lang w:eastAsia="en-GB"/>
              </w:rPr>
              <w:t>Performance overview</w:t>
            </w:r>
          </w:p>
        </w:tc>
      </w:tr>
      <w:tr w:rsidR="00110FDB" w:rsidRPr="00AC1EB2" w14:paraId="747AECAA" w14:textId="77777777">
        <w:trPr>
          <w:trHeight w:val="825"/>
        </w:trPr>
        <w:tc>
          <w:tcPr>
            <w:tcW w:w="1659" w:type="dxa"/>
            <w:vMerge w:val="restart"/>
            <w:tcBorders>
              <w:top w:val="nil"/>
              <w:left w:val="single" w:sz="8" w:space="0" w:color="auto"/>
              <w:bottom w:val="single" w:sz="8" w:space="0" w:color="000000"/>
              <w:right w:val="single" w:sz="8" w:space="0" w:color="auto"/>
            </w:tcBorders>
            <w:vAlign w:val="center"/>
            <w:hideMark/>
          </w:tcPr>
          <w:p w14:paraId="7EA4C344" w14:textId="77777777" w:rsidR="00110FDB" w:rsidRPr="00AC1EB2" w:rsidRDefault="00110FDB">
            <w:pPr>
              <w:spacing w:after="0" w:line="240" w:lineRule="auto"/>
              <w:jc w:val="center"/>
              <w:rPr>
                <w:rFonts w:ascii="Aptos" w:eastAsia="Times New Roman" w:hAnsi="Aptos" w:cs="Calibri"/>
                <w:color w:val="000000"/>
                <w:lang w:eastAsia="en-GB"/>
              </w:rPr>
            </w:pPr>
            <w:r w:rsidRPr="00AC1EB2">
              <w:rPr>
                <w:rFonts w:ascii="Aptos" w:eastAsia="Times New Roman" w:hAnsi="Aptos" w:cs="Calibri"/>
                <w:color w:val="000000"/>
                <w:lang w:eastAsia="en-GB"/>
              </w:rPr>
              <w:t>UEC</w:t>
            </w:r>
          </w:p>
        </w:tc>
        <w:tc>
          <w:tcPr>
            <w:tcW w:w="4535" w:type="dxa"/>
            <w:tcBorders>
              <w:top w:val="nil"/>
              <w:left w:val="nil"/>
              <w:bottom w:val="single" w:sz="8" w:space="0" w:color="auto"/>
              <w:right w:val="single" w:sz="8" w:space="0" w:color="auto"/>
            </w:tcBorders>
            <w:vAlign w:val="center"/>
            <w:hideMark/>
          </w:tcPr>
          <w:p w14:paraId="11E3F660"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A continuous reduction of ambulance handovers over an hour of at least 11% in three consecutive months and maintained for 3 months (Based on quarter 2 and 3 2023 baseline).</w:t>
            </w:r>
          </w:p>
        </w:tc>
        <w:tc>
          <w:tcPr>
            <w:tcW w:w="1581" w:type="dxa"/>
            <w:tcBorders>
              <w:top w:val="single" w:sz="8" w:space="0" w:color="auto"/>
              <w:left w:val="nil"/>
              <w:bottom w:val="single" w:sz="8" w:space="0" w:color="auto"/>
              <w:right w:val="single" w:sz="8" w:space="0" w:color="000000"/>
            </w:tcBorders>
            <w:noWrap/>
            <w:vAlign w:val="center"/>
            <w:hideMark/>
          </w:tcPr>
          <w:p w14:paraId="716F7F4A"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724</w:t>
            </w:r>
          </w:p>
        </w:tc>
        <w:tc>
          <w:tcPr>
            <w:tcW w:w="1582" w:type="dxa"/>
            <w:tcBorders>
              <w:top w:val="single" w:sz="8" w:space="0" w:color="auto"/>
              <w:left w:val="nil"/>
              <w:bottom w:val="single" w:sz="8" w:space="0" w:color="auto"/>
              <w:right w:val="single" w:sz="8" w:space="0" w:color="000000"/>
            </w:tcBorders>
            <w:noWrap/>
            <w:vAlign w:val="center"/>
            <w:hideMark/>
          </w:tcPr>
          <w:p w14:paraId="5D731F7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510</w:t>
            </w:r>
          </w:p>
        </w:tc>
        <w:tc>
          <w:tcPr>
            <w:tcW w:w="1582" w:type="dxa"/>
            <w:tcBorders>
              <w:top w:val="nil"/>
              <w:left w:val="nil"/>
              <w:bottom w:val="single" w:sz="8" w:space="0" w:color="auto"/>
              <w:right w:val="single" w:sz="8" w:space="0" w:color="auto"/>
            </w:tcBorders>
            <w:noWrap/>
            <w:vAlign w:val="center"/>
            <w:hideMark/>
          </w:tcPr>
          <w:p w14:paraId="248BBD94"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15.10%</w:t>
            </w:r>
          </w:p>
        </w:tc>
        <w:tc>
          <w:tcPr>
            <w:tcW w:w="1582" w:type="dxa"/>
            <w:tcBorders>
              <w:top w:val="nil"/>
              <w:left w:val="nil"/>
              <w:bottom w:val="single" w:sz="8" w:space="0" w:color="auto"/>
              <w:right w:val="single" w:sz="8" w:space="0" w:color="auto"/>
            </w:tcBorders>
            <w:noWrap/>
            <w:vAlign w:val="center"/>
            <w:hideMark/>
          </w:tcPr>
          <w:p w14:paraId="1FF48EF7" w14:textId="77777777" w:rsidR="00110FDB" w:rsidRPr="00AC1EB2" w:rsidRDefault="00110FDB">
            <w:pPr>
              <w:spacing w:after="0" w:line="240" w:lineRule="auto"/>
              <w:jc w:val="center"/>
              <w:rPr>
                <w:rFonts w:ascii="Calibri" w:eastAsia="Times New Roman" w:hAnsi="Calibri" w:cs="Calibri"/>
                <w:color w:val="0563C1"/>
                <w:u w:val="single"/>
                <w:lang w:eastAsia="en-GB"/>
              </w:rPr>
            </w:pPr>
            <w:hyperlink r:id="rId24" w:anchor="RANGE!A39" w:history="1">
              <w:r>
                <w:rPr>
                  <w:rFonts w:ascii="Calibri" w:eastAsia="Times New Roman" w:hAnsi="Calibri" w:cs="Calibri"/>
                  <w:color w:val="0563C1"/>
                  <w:u w:val="single"/>
                  <w:lang w:eastAsia="en-GB"/>
                </w:rPr>
                <w:t>111</w:t>
              </w:r>
              <w:r>
                <w:rPr>
                  <w:rStyle w:val="FootnoteReference"/>
                  <w:rFonts w:ascii="Calibri" w:eastAsia="Times New Roman" w:hAnsi="Calibri" w:cs="Calibri"/>
                  <w:color w:val="0563C1"/>
                  <w:u w:val="single"/>
                  <w:lang w:eastAsia="en-GB"/>
                </w:rPr>
                <w:footnoteReference w:id="4"/>
              </w:r>
            </w:hyperlink>
          </w:p>
        </w:tc>
        <w:tc>
          <w:tcPr>
            <w:tcW w:w="3434" w:type="dxa"/>
            <w:tcBorders>
              <w:top w:val="nil"/>
              <w:left w:val="nil"/>
              <w:bottom w:val="single" w:sz="8" w:space="0" w:color="auto"/>
              <w:right w:val="single" w:sz="8" w:space="0" w:color="auto"/>
            </w:tcBorders>
            <w:vAlign w:val="center"/>
            <w:hideMark/>
          </w:tcPr>
          <w:p w14:paraId="041D560D"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Recent improvements have seen the de-escalation criteria met for June - August 2025.</w:t>
            </w:r>
          </w:p>
        </w:tc>
      </w:tr>
      <w:tr w:rsidR="00110FDB" w:rsidRPr="00AC1EB2" w14:paraId="0881E234"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2AD61B96"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72ED1DA2"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Continuous improvement towards no more than 7% of patients waiting over 12 hours at each individual site and across the health board.</w:t>
            </w:r>
          </w:p>
        </w:tc>
        <w:tc>
          <w:tcPr>
            <w:tcW w:w="1581" w:type="dxa"/>
            <w:tcBorders>
              <w:top w:val="single" w:sz="8" w:space="0" w:color="auto"/>
              <w:left w:val="nil"/>
              <w:bottom w:val="single" w:sz="8" w:space="0" w:color="auto"/>
              <w:right w:val="single" w:sz="8" w:space="0" w:color="000000"/>
            </w:tcBorders>
            <w:noWrap/>
            <w:vAlign w:val="center"/>
            <w:hideMark/>
          </w:tcPr>
          <w:p w14:paraId="0D96CF62"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9.60%</w:t>
            </w:r>
          </w:p>
        </w:tc>
        <w:tc>
          <w:tcPr>
            <w:tcW w:w="1582" w:type="dxa"/>
            <w:tcBorders>
              <w:top w:val="single" w:sz="8" w:space="0" w:color="auto"/>
              <w:left w:val="nil"/>
              <w:bottom w:val="single" w:sz="8" w:space="0" w:color="auto"/>
              <w:right w:val="single" w:sz="8" w:space="0" w:color="000000"/>
            </w:tcBorders>
            <w:noWrap/>
            <w:vAlign w:val="center"/>
            <w:hideMark/>
          </w:tcPr>
          <w:p w14:paraId="6D9E9C12"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7%</w:t>
            </w:r>
          </w:p>
        </w:tc>
        <w:tc>
          <w:tcPr>
            <w:tcW w:w="1582" w:type="dxa"/>
            <w:tcBorders>
              <w:top w:val="nil"/>
              <w:left w:val="nil"/>
              <w:bottom w:val="single" w:sz="8" w:space="0" w:color="auto"/>
              <w:right w:val="single" w:sz="8" w:space="0" w:color="auto"/>
            </w:tcBorders>
            <w:noWrap/>
            <w:vAlign w:val="center"/>
            <w:hideMark/>
          </w:tcPr>
          <w:p w14:paraId="78D64497"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8.40%</w:t>
            </w:r>
          </w:p>
        </w:tc>
        <w:tc>
          <w:tcPr>
            <w:tcW w:w="1582" w:type="dxa"/>
            <w:tcBorders>
              <w:top w:val="nil"/>
              <w:left w:val="nil"/>
              <w:bottom w:val="single" w:sz="8" w:space="0" w:color="auto"/>
              <w:right w:val="single" w:sz="8" w:space="0" w:color="auto"/>
            </w:tcBorders>
            <w:noWrap/>
            <w:vAlign w:val="center"/>
            <w:hideMark/>
          </w:tcPr>
          <w:p w14:paraId="4F123DFB"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8.71%</w:t>
            </w:r>
          </w:p>
        </w:tc>
        <w:tc>
          <w:tcPr>
            <w:tcW w:w="3434" w:type="dxa"/>
            <w:tcBorders>
              <w:top w:val="nil"/>
              <w:left w:val="nil"/>
              <w:bottom w:val="single" w:sz="8" w:space="0" w:color="auto"/>
              <w:right w:val="single" w:sz="8" w:space="0" w:color="auto"/>
            </w:tcBorders>
            <w:vAlign w:val="center"/>
            <w:hideMark/>
          </w:tcPr>
          <w:p w14:paraId="09E09A08"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 xml:space="preserve">Only once under 7% (September 2024 - 6.8%) </w:t>
            </w:r>
          </w:p>
        </w:tc>
      </w:tr>
      <w:tr w:rsidR="00110FDB" w:rsidRPr="00AC1EB2" w14:paraId="65E221A5"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79CF8854"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29ADFB7F"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Median time from arrival at an emergency department to assessment by a clinical decision maker should not exceed 60 minutes.</w:t>
            </w:r>
          </w:p>
        </w:tc>
        <w:tc>
          <w:tcPr>
            <w:tcW w:w="1581" w:type="dxa"/>
            <w:tcBorders>
              <w:top w:val="single" w:sz="8" w:space="0" w:color="auto"/>
              <w:left w:val="nil"/>
              <w:bottom w:val="single" w:sz="8" w:space="0" w:color="auto"/>
              <w:right w:val="single" w:sz="8" w:space="0" w:color="000000"/>
            </w:tcBorders>
            <w:noWrap/>
            <w:vAlign w:val="center"/>
            <w:hideMark/>
          </w:tcPr>
          <w:p w14:paraId="12961014"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27</w:t>
            </w:r>
          </w:p>
        </w:tc>
        <w:tc>
          <w:tcPr>
            <w:tcW w:w="1582" w:type="dxa"/>
            <w:tcBorders>
              <w:top w:val="single" w:sz="8" w:space="0" w:color="auto"/>
              <w:left w:val="nil"/>
              <w:bottom w:val="single" w:sz="8" w:space="0" w:color="auto"/>
              <w:right w:val="single" w:sz="8" w:space="0" w:color="000000"/>
            </w:tcBorders>
            <w:vAlign w:val="center"/>
            <w:hideMark/>
          </w:tcPr>
          <w:p w14:paraId="21F39A0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60 mins or less</w:t>
            </w:r>
          </w:p>
        </w:tc>
        <w:tc>
          <w:tcPr>
            <w:tcW w:w="1582" w:type="dxa"/>
            <w:tcBorders>
              <w:top w:val="nil"/>
              <w:left w:val="nil"/>
              <w:bottom w:val="single" w:sz="8" w:space="0" w:color="auto"/>
              <w:right w:val="single" w:sz="8" w:space="0" w:color="auto"/>
            </w:tcBorders>
            <w:noWrap/>
            <w:vAlign w:val="center"/>
            <w:hideMark/>
          </w:tcPr>
          <w:p w14:paraId="19697C7A"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76.80%</w:t>
            </w:r>
          </w:p>
        </w:tc>
        <w:tc>
          <w:tcPr>
            <w:tcW w:w="1582" w:type="dxa"/>
            <w:tcBorders>
              <w:top w:val="nil"/>
              <w:left w:val="nil"/>
              <w:bottom w:val="single" w:sz="8" w:space="0" w:color="auto"/>
              <w:right w:val="single" w:sz="8" w:space="0" w:color="auto"/>
            </w:tcBorders>
            <w:noWrap/>
            <w:vAlign w:val="center"/>
            <w:hideMark/>
          </w:tcPr>
          <w:p w14:paraId="7ED91E0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89.20%</w:t>
            </w:r>
          </w:p>
        </w:tc>
        <w:tc>
          <w:tcPr>
            <w:tcW w:w="3434" w:type="dxa"/>
            <w:tcBorders>
              <w:top w:val="nil"/>
              <w:left w:val="nil"/>
              <w:bottom w:val="single" w:sz="8" w:space="0" w:color="auto"/>
              <w:right w:val="single" w:sz="8" w:space="0" w:color="auto"/>
            </w:tcBorders>
            <w:vAlign w:val="center"/>
            <w:hideMark/>
          </w:tcPr>
          <w:p w14:paraId="6A62A85F" w14:textId="77777777" w:rsidR="00110FDB" w:rsidRPr="00AC1EB2" w:rsidRDefault="00110FDB">
            <w:pPr>
              <w:spacing w:after="0" w:line="240" w:lineRule="auto"/>
              <w:rPr>
                <w:rFonts w:ascii="Aptos" w:eastAsia="Times New Roman" w:hAnsi="Aptos" w:cs="Calibri"/>
                <w:color w:val="000000"/>
                <w:sz w:val="20"/>
                <w:szCs w:val="20"/>
                <w:lang w:eastAsia="en-GB"/>
              </w:rPr>
            </w:pPr>
            <w:r>
              <w:rPr>
                <w:rFonts w:ascii="Aptos" w:eastAsia="Times New Roman" w:hAnsi="Aptos" w:cs="Calibri"/>
                <w:color w:val="000000"/>
                <w:sz w:val="20"/>
                <w:szCs w:val="20"/>
                <w:lang w:eastAsia="en-GB"/>
              </w:rPr>
              <w:t>Only one month (</w:t>
            </w:r>
            <w:r w:rsidRPr="00AC1EB2">
              <w:rPr>
                <w:rFonts w:ascii="Aptos" w:eastAsia="Times New Roman" w:hAnsi="Aptos" w:cs="Calibri"/>
                <w:color w:val="000000"/>
                <w:sz w:val="20"/>
                <w:szCs w:val="20"/>
                <w:lang w:eastAsia="en-GB"/>
              </w:rPr>
              <w:t>June 2025</w:t>
            </w:r>
            <w:r>
              <w:rPr>
                <w:rFonts w:ascii="Aptos" w:eastAsia="Times New Roman" w:hAnsi="Aptos" w:cs="Calibri"/>
                <w:color w:val="000000"/>
                <w:sz w:val="20"/>
                <w:szCs w:val="20"/>
                <w:lang w:eastAsia="en-GB"/>
              </w:rPr>
              <w:t>)</w:t>
            </w:r>
            <w:r w:rsidRPr="00AC1EB2">
              <w:rPr>
                <w:rFonts w:ascii="Aptos" w:eastAsia="Times New Roman" w:hAnsi="Aptos" w:cs="Calibri"/>
                <w:color w:val="000000"/>
                <w:sz w:val="20"/>
                <w:szCs w:val="20"/>
                <w:lang w:eastAsia="en-GB"/>
              </w:rPr>
              <w:t xml:space="preserve"> </w:t>
            </w:r>
            <w:r>
              <w:rPr>
                <w:rFonts w:ascii="Aptos" w:eastAsia="Times New Roman" w:hAnsi="Aptos" w:cs="Calibri"/>
                <w:color w:val="000000"/>
                <w:sz w:val="20"/>
                <w:szCs w:val="20"/>
                <w:lang w:eastAsia="en-GB"/>
              </w:rPr>
              <w:t>has met this target, has been consistently above 80% since January 2025.</w:t>
            </w:r>
          </w:p>
        </w:tc>
      </w:tr>
      <w:tr w:rsidR="00110FDB" w:rsidRPr="00AC1EB2" w14:paraId="6E1D4A21" w14:textId="77777777">
        <w:trPr>
          <w:trHeight w:val="1095"/>
        </w:trPr>
        <w:tc>
          <w:tcPr>
            <w:tcW w:w="1659" w:type="dxa"/>
            <w:vMerge/>
            <w:tcBorders>
              <w:top w:val="nil"/>
              <w:left w:val="single" w:sz="8" w:space="0" w:color="auto"/>
              <w:bottom w:val="single" w:sz="8" w:space="0" w:color="000000"/>
              <w:right w:val="single" w:sz="8" w:space="0" w:color="auto"/>
            </w:tcBorders>
            <w:vAlign w:val="center"/>
            <w:hideMark/>
          </w:tcPr>
          <w:p w14:paraId="2F31AEAE"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200706BB"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A continuous reduction in delayed pathways of care of 5% for three consecutive months and then maintained for three months (based on Oct-Dec 23 baseline).</w:t>
            </w:r>
          </w:p>
        </w:tc>
        <w:tc>
          <w:tcPr>
            <w:tcW w:w="1581" w:type="dxa"/>
            <w:tcBorders>
              <w:top w:val="single" w:sz="8" w:space="0" w:color="auto"/>
              <w:left w:val="nil"/>
              <w:bottom w:val="single" w:sz="8" w:space="0" w:color="auto"/>
              <w:right w:val="single" w:sz="8" w:space="0" w:color="000000"/>
            </w:tcBorders>
            <w:noWrap/>
            <w:vAlign w:val="center"/>
            <w:hideMark/>
          </w:tcPr>
          <w:p w14:paraId="4899EC48"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205</w:t>
            </w:r>
          </w:p>
        </w:tc>
        <w:tc>
          <w:tcPr>
            <w:tcW w:w="1582" w:type="dxa"/>
            <w:tcBorders>
              <w:top w:val="single" w:sz="8" w:space="0" w:color="auto"/>
              <w:left w:val="nil"/>
              <w:bottom w:val="single" w:sz="8" w:space="0" w:color="auto"/>
              <w:right w:val="single" w:sz="8" w:space="0" w:color="000000"/>
            </w:tcBorders>
            <w:noWrap/>
            <w:vAlign w:val="center"/>
            <w:hideMark/>
          </w:tcPr>
          <w:p w14:paraId="540A506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176</w:t>
            </w:r>
          </w:p>
        </w:tc>
        <w:tc>
          <w:tcPr>
            <w:tcW w:w="1582" w:type="dxa"/>
            <w:tcBorders>
              <w:top w:val="nil"/>
              <w:left w:val="nil"/>
              <w:bottom w:val="single" w:sz="8" w:space="0" w:color="auto"/>
              <w:right w:val="single" w:sz="8" w:space="0" w:color="auto"/>
            </w:tcBorders>
            <w:noWrap/>
            <w:vAlign w:val="center"/>
            <w:hideMark/>
          </w:tcPr>
          <w:p w14:paraId="2ABBA636"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262</w:t>
            </w:r>
          </w:p>
        </w:tc>
        <w:tc>
          <w:tcPr>
            <w:tcW w:w="1582" w:type="dxa"/>
            <w:tcBorders>
              <w:top w:val="nil"/>
              <w:left w:val="nil"/>
              <w:bottom w:val="single" w:sz="8" w:space="0" w:color="auto"/>
              <w:right w:val="single" w:sz="8" w:space="0" w:color="auto"/>
            </w:tcBorders>
            <w:noWrap/>
            <w:vAlign w:val="center"/>
            <w:hideMark/>
          </w:tcPr>
          <w:p w14:paraId="7BE425D4"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178</w:t>
            </w:r>
          </w:p>
        </w:tc>
        <w:tc>
          <w:tcPr>
            <w:tcW w:w="3434" w:type="dxa"/>
            <w:tcBorders>
              <w:top w:val="nil"/>
              <w:left w:val="nil"/>
              <w:bottom w:val="single" w:sz="8" w:space="0" w:color="auto"/>
              <w:right w:val="single" w:sz="8" w:space="0" w:color="auto"/>
            </w:tcBorders>
            <w:vAlign w:val="center"/>
            <w:hideMark/>
          </w:tcPr>
          <w:p w14:paraId="7A8C2967"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 xml:space="preserve">No, whilst there </w:t>
            </w:r>
            <w:proofErr w:type="gramStart"/>
            <w:r w:rsidRPr="00AC1EB2">
              <w:rPr>
                <w:rFonts w:ascii="Aptos" w:eastAsia="Times New Roman" w:hAnsi="Aptos" w:cs="Calibri"/>
                <w:color w:val="000000"/>
                <w:sz w:val="20"/>
                <w:szCs w:val="20"/>
                <w:lang w:eastAsia="en-GB"/>
              </w:rPr>
              <w:t>has</w:t>
            </w:r>
            <w:proofErr w:type="gramEnd"/>
            <w:r w:rsidRPr="00AC1EB2">
              <w:rPr>
                <w:rFonts w:ascii="Aptos" w:eastAsia="Times New Roman" w:hAnsi="Aptos" w:cs="Calibri"/>
                <w:color w:val="000000"/>
                <w:sz w:val="20"/>
                <w:szCs w:val="20"/>
                <w:lang w:eastAsia="en-GB"/>
              </w:rPr>
              <w:t xml:space="preserve"> been reductions across months (March 2025 saw 19%) these have not been maintained and the target of 176 has not been met.</w:t>
            </w:r>
          </w:p>
        </w:tc>
      </w:tr>
      <w:tr w:rsidR="00110FDB" w:rsidRPr="00AC1EB2" w14:paraId="442D9299" w14:textId="77777777">
        <w:trPr>
          <w:trHeight w:val="825"/>
        </w:trPr>
        <w:tc>
          <w:tcPr>
            <w:tcW w:w="1659" w:type="dxa"/>
            <w:vMerge/>
            <w:tcBorders>
              <w:top w:val="nil"/>
              <w:left w:val="single" w:sz="8" w:space="0" w:color="auto"/>
              <w:bottom w:val="single" w:sz="8" w:space="0" w:color="000000"/>
              <w:right w:val="single" w:sz="8" w:space="0" w:color="auto"/>
            </w:tcBorders>
            <w:vAlign w:val="center"/>
            <w:hideMark/>
          </w:tcPr>
          <w:p w14:paraId="74B1BB9C"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617757F7"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Assessment of declared BCIs, including reasons why, actions taken, and lessons learnt.</w:t>
            </w:r>
          </w:p>
        </w:tc>
        <w:tc>
          <w:tcPr>
            <w:tcW w:w="1581" w:type="dxa"/>
            <w:tcBorders>
              <w:top w:val="single" w:sz="8" w:space="0" w:color="auto"/>
              <w:left w:val="nil"/>
              <w:bottom w:val="single" w:sz="8" w:space="0" w:color="auto"/>
              <w:right w:val="single" w:sz="8" w:space="0" w:color="000000"/>
            </w:tcBorders>
            <w:vAlign w:val="center"/>
            <w:hideMark/>
          </w:tcPr>
          <w:p w14:paraId="3A768828"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As required</w:t>
            </w:r>
          </w:p>
        </w:tc>
        <w:tc>
          <w:tcPr>
            <w:tcW w:w="1582" w:type="dxa"/>
            <w:tcBorders>
              <w:top w:val="single" w:sz="8" w:space="0" w:color="auto"/>
              <w:left w:val="nil"/>
              <w:bottom w:val="single" w:sz="8" w:space="0" w:color="auto"/>
              <w:right w:val="single" w:sz="8" w:space="0" w:color="000000"/>
            </w:tcBorders>
            <w:vAlign w:val="center"/>
            <w:hideMark/>
          </w:tcPr>
          <w:p w14:paraId="70522FCF"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As required</w:t>
            </w:r>
          </w:p>
        </w:tc>
        <w:tc>
          <w:tcPr>
            <w:tcW w:w="1582" w:type="dxa"/>
            <w:tcBorders>
              <w:top w:val="nil"/>
              <w:left w:val="nil"/>
              <w:bottom w:val="single" w:sz="8" w:space="0" w:color="auto"/>
              <w:right w:val="single" w:sz="8" w:space="0" w:color="auto"/>
            </w:tcBorders>
            <w:vAlign w:val="center"/>
            <w:hideMark/>
          </w:tcPr>
          <w:p w14:paraId="1C010AC4"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One BCI noted</w:t>
            </w:r>
          </w:p>
        </w:tc>
        <w:tc>
          <w:tcPr>
            <w:tcW w:w="1582" w:type="dxa"/>
            <w:tcBorders>
              <w:top w:val="nil"/>
              <w:left w:val="nil"/>
              <w:bottom w:val="single" w:sz="8" w:space="0" w:color="auto"/>
              <w:right w:val="single" w:sz="8" w:space="0" w:color="auto"/>
            </w:tcBorders>
            <w:vAlign w:val="center"/>
            <w:hideMark/>
          </w:tcPr>
          <w:p w14:paraId="6F06D0B3"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February 2025 &amp; March 2025 BCI noted</w:t>
            </w:r>
          </w:p>
        </w:tc>
        <w:tc>
          <w:tcPr>
            <w:tcW w:w="3434" w:type="dxa"/>
            <w:tcBorders>
              <w:top w:val="nil"/>
              <w:left w:val="nil"/>
              <w:bottom w:val="single" w:sz="8" w:space="0" w:color="auto"/>
              <w:right w:val="single" w:sz="8" w:space="0" w:color="auto"/>
            </w:tcBorders>
            <w:vAlign w:val="center"/>
            <w:hideMark/>
          </w:tcPr>
          <w:p w14:paraId="73815883" w14:textId="4570E7B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 xml:space="preserve">No - see </w:t>
            </w:r>
            <w:r w:rsidR="00BE53AF">
              <w:rPr>
                <w:rFonts w:ascii="Aptos" w:eastAsia="Times New Roman" w:hAnsi="Aptos" w:cs="Calibri"/>
                <w:color w:val="000000"/>
                <w:sz w:val="20"/>
                <w:szCs w:val="20"/>
                <w:lang w:eastAsia="en-GB"/>
              </w:rPr>
              <w:t>K</w:t>
            </w:r>
            <w:r w:rsidRPr="00AC1EB2">
              <w:rPr>
                <w:rFonts w:ascii="Aptos" w:eastAsia="Times New Roman" w:hAnsi="Aptos" w:cs="Calibri"/>
                <w:color w:val="000000"/>
                <w:sz w:val="20"/>
                <w:szCs w:val="20"/>
                <w:lang w:eastAsia="en-GB"/>
              </w:rPr>
              <w:t xml:space="preserve">ey </w:t>
            </w:r>
            <w:r w:rsidR="00BE53AF">
              <w:rPr>
                <w:rFonts w:ascii="Aptos" w:eastAsia="Times New Roman" w:hAnsi="Aptos" w:cs="Calibri"/>
                <w:color w:val="000000"/>
                <w:sz w:val="20"/>
                <w:szCs w:val="20"/>
                <w:lang w:eastAsia="en-GB"/>
              </w:rPr>
              <w:t>Finding</w:t>
            </w:r>
            <w:r w:rsidRPr="00AC1EB2">
              <w:rPr>
                <w:rFonts w:ascii="Aptos" w:eastAsia="Times New Roman" w:hAnsi="Aptos" w:cs="Calibri"/>
                <w:color w:val="000000"/>
                <w:sz w:val="20"/>
                <w:szCs w:val="20"/>
                <w:lang w:eastAsia="en-GB"/>
              </w:rPr>
              <w:t xml:space="preserve"> </w:t>
            </w:r>
            <w:r w:rsidR="00AC43A8">
              <w:rPr>
                <w:rFonts w:ascii="Aptos" w:eastAsia="Times New Roman" w:hAnsi="Aptos" w:cs="Calibri"/>
                <w:color w:val="000000"/>
                <w:sz w:val="20"/>
                <w:szCs w:val="20"/>
                <w:lang w:eastAsia="en-GB"/>
              </w:rPr>
              <w:t>5</w:t>
            </w:r>
          </w:p>
        </w:tc>
      </w:tr>
      <w:tr w:rsidR="00110FDB" w:rsidRPr="00AC1EB2" w14:paraId="7D4E0529" w14:textId="77777777">
        <w:trPr>
          <w:trHeight w:val="315"/>
        </w:trPr>
        <w:tc>
          <w:tcPr>
            <w:tcW w:w="1659" w:type="dxa"/>
            <w:vMerge/>
            <w:tcBorders>
              <w:top w:val="nil"/>
              <w:left w:val="single" w:sz="8" w:space="0" w:color="auto"/>
              <w:bottom w:val="single" w:sz="8" w:space="0" w:color="000000"/>
              <w:right w:val="single" w:sz="8" w:space="0" w:color="auto"/>
            </w:tcBorders>
            <w:vAlign w:val="center"/>
            <w:hideMark/>
          </w:tcPr>
          <w:p w14:paraId="235DDEE9"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633D56A0"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Proportion of all Wales responses to ED patient experience survey received by SBUHB</w:t>
            </w:r>
          </w:p>
        </w:tc>
        <w:tc>
          <w:tcPr>
            <w:tcW w:w="1581" w:type="dxa"/>
            <w:tcBorders>
              <w:top w:val="single" w:sz="8" w:space="0" w:color="auto"/>
              <w:left w:val="nil"/>
              <w:bottom w:val="single" w:sz="8" w:space="0" w:color="auto"/>
              <w:right w:val="single" w:sz="8" w:space="0" w:color="000000"/>
            </w:tcBorders>
            <w:noWrap/>
            <w:vAlign w:val="center"/>
            <w:hideMark/>
          </w:tcPr>
          <w:p w14:paraId="43312AFD"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N/a</w:t>
            </w:r>
          </w:p>
        </w:tc>
        <w:tc>
          <w:tcPr>
            <w:tcW w:w="1582" w:type="dxa"/>
            <w:tcBorders>
              <w:top w:val="single" w:sz="8" w:space="0" w:color="auto"/>
              <w:left w:val="nil"/>
              <w:bottom w:val="single" w:sz="8" w:space="0" w:color="auto"/>
              <w:right w:val="single" w:sz="8" w:space="0" w:color="000000"/>
            </w:tcBorders>
            <w:noWrap/>
            <w:vAlign w:val="center"/>
            <w:hideMark/>
          </w:tcPr>
          <w:p w14:paraId="504B1735"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&gt;12%</w:t>
            </w:r>
          </w:p>
        </w:tc>
        <w:tc>
          <w:tcPr>
            <w:tcW w:w="1582" w:type="dxa"/>
            <w:tcBorders>
              <w:top w:val="nil"/>
              <w:left w:val="nil"/>
              <w:bottom w:val="single" w:sz="8" w:space="0" w:color="auto"/>
              <w:right w:val="single" w:sz="8" w:space="0" w:color="auto"/>
            </w:tcBorders>
            <w:noWrap/>
            <w:vAlign w:val="center"/>
            <w:hideMark/>
          </w:tcPr>
          <w:p w14:paraId="6BC62A4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Not reported</w:t>
            </w:r>
          </w:p>
        </w:tc>
        <w:tc>
          <w:tcPr>
            <w:tcW w:w="1582" w:type="dxa"/>
            <w:tcBorders>
              <w:top w:val="nil"/>
              <w:left w:val="nil"/>
              <w:bottom w:val="single" w:sz="8" w:space="0" w:color="auto"/>
              <w:right w:val="single" w:sz="8" w:space="0" w:color="auto"/>
            </w:tcBorders>
            <w:noWrap/>
            <w:vAlign w:val="center"/>
            <w:hideMark/>
          </w:tcPr>
          <w:p w14:paraId="2C513126"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Not reported</w:t>
            </w:r>
          </w:p>
        </w:tc>
        <w:tc>
          <w:tcPr>
            <w:tcW w:w="3434" w:type="dxa"/>
            <w:vMerge w:val="restart"/>
            <w:tcBorders>
              <w:top w:val="nil"/>
              <w:left w:val="single" w:sz="8" w:space="0" w:color="auto"/>
              <w:bottom w:val="single" w:sz="8" w:space="0" w:color="000000"/>
              <w:right w:val="single" w:sz="8" w:space="0" w:color="auto"/>
            </w:tcBorders>
            <w:vAlign w:val="center"/>
            <w:hideMark/>
          </w:tcPr>
          <w:p w14:paraId="41D757BF" w14:textId="39406DC2"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 xml:space="preserve">Not reported - see </w:t>
            </w:r>
            <w:r w:rsidR="00BE53AF">
              <w:rPr>
                <w:rFonts w:ascii="Aptos" w:eastAsia="Times New Roman" w:hAnsi="Aptos" w:cs="Calibri"/>
                <w:color w:val="000000"/>
                <w:sz w:val="20"/>
                <w:szCs w:val="20"/>
                <w:lang w:eastAsia="en-GB"/>
              </w:rPr>
              <w:t>K</w:t>
            </w:r>
            <w:r w:rsidRPr="00AC1EB2">
              <w:rPr>
                <w:rFonts w:ascii="Aptos" w:eastAsia="Times New Roman" w:hAnsi="Aptos" w:cs="Calibri"/>
                <w:color w:val="000000"/>
                <w:sz w:val="20"/>
                <w:szCs w:val="20"/>
                <w:lang w:eastAsia="en-GB"/>
              </w:rPr>
              <w:t xml:space="preserve">ey </w:t>
            </w:r>
            <w:r w:rsidR="00BE53AF">
              <w:rPr>
                <w:rFonts w:ascii="Aptos" w:eastAsia="Times New Roman" w:hAnsi="Aptos" w:cs="Calibri"/>
                <w:color w:val="000000"/>
                <w:sz w:val="20"/>
                <w:szCs w:val="20"/>
                <w:lang w:eastAsia="en-GB"/>
              </w:rPr>
              <w:t>Finding</w:t>
            </w:r>
            <w:r w:rsidRPr="00AC1EB2">
              <w:rPr>
                <w:rFonts w:ascii="Aptos" w:eastAsia="Times New Roman" w:hAnsi="Aptos" w:cs="Calibri"/>
                <w:color w:val="000000"/>
                <w:sz w:val="20"/>
                <w:szCs w:val="20"/>
                <w:lang w:eastAsia="en-GB"/>
              </w:rPr>
              <w:t xml:space="preserve"> </w:t>
            </w:r>
            <w:r w:rsidR="009409CE">
              <w:rPr>
                <w:rFonts w:ascii="Aptos" w:eastAsia="Times New Roman" w:hAnsi="Aptos" w:cs="Calibri"/>
                <w:color w:val="000000"/>
                <w:sz w:val="20"/>
                <w:szCs w:val="20"/>
                <w:lang w:eastAsia="en-GB"/>
              </w:rPr>
              <w:t>2</w:t>
            </w:r>
          </w:p>
        </w:tc>
      </w:tr>
      <w:tr w:rsidR="00110FDB" w:rsidRPr="00AC1EB2" w14:paraId="3FC846E7" w14:textId="77777777">
        <w:trPr>
          <w:trHeight w:val="315"/>
        </w:trPr>
        <w:tc>
          <w:tcPr>
            <w:tcW w:w="1659" w:type="dxa"/>
            <w:vMerge/>
            <w:tcBorders>
              <w:top w:val="nil"/>
              <w:left w:val="single" w:sz="8" w:space="0" w:color="auto"/>
              <w:bottom w:val="single" w:sz="8" w:space="0" w:color="000000"/>
              <w:right w:val="single" w:sz="8" w:space="0" w:color="auto"/>
            </w:tcBorders>
            <w:vAlign w:val="center"/>
            <w:hideMark/>
          </w:tcPr>
          <w:p w14:paraId="352900BD"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010E1C78"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Average Experience rating to ED Patient Experience survey</w:t>
            </w:r>
          </w:p>
        </w:tc>
        <w:tc>
          <w:tcPr>
            <w:tcW w:w="1581" w:type="dxa"/>
            <w:tcBorders>
              <w:top w:val="single" w:sz="8" w:space="0" w:color="auto"/>
              <w:left w:val="nil"/>
              <w:bottom w:val="single" w:sz="8" w:space="0" w:color="auto"/>
              <w:right w:val="single" w:sz="8" w:space="0" w:color="000000"/>
            </w:tcBorders>
            <w:noWrap/>
            <w:vAlign w:val="center"/>
            <w:hideMark/>
          </w:tcPr>
          <w:p w14:paraId="1566D7DA"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N/a</w:t>
            </w:r>
          </w:p>
        </w:tc>
        <w:tc>
          <w:tcPr>
            <w:tcW w:w="1582" w:type="dxa"/>
            <w:tcBorders>
              <w:top w:val="single" w:sz="8" w:space="0" w:color="auto"/>
              <w:left w:val="nil"/>
              <w:bottom w:val="single" w:sz="8" w:space="0" w:color="auto"/>
              <w:right w:val="single" w:sz="8" w:space="0" w:color="000000"/>
            </w:tcBorders>
            <w:noWrap/>
            <w:vAlign w:val="center"/>
            <w:hideMark/>
          </w:tcPr>
          <w:p w14:paraId="257378C6"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&gt;7.47</w:t>
            </w:r>
          </w:p>
        </w:tc>
        <w:tc>
          <w:tcPr>
            <w:tcW w:w="1582" w:type="dxa"/>
            <w:tcBorders>
              <w:top w:val="nil"/>
              <w:left w:val="nil"/>
              <w:bottom w:val="single" w:sz="8" w:space="0" w:color="auto"/>
              <w:right w:val="single" w:sz="8" w:space="0" w:color="auto"/>
            </w:tcBorders>
            <w:noWrap/>
            <w:vAlign w:val="center"/>
            <w:hideMark/>
          </w:tcPr>
          <w:p w14:paraId="59ED1A35"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Not reported</w:t>
            </w:r>
          </w:p>
        </w:tc>
        <w:tc>
          <w:tcPr>
            <w:tcW w:w="1582" w:type="dxa"/>
            <w:tcBorders>
              <w:top w:val="nil"/>
              <w:left w:val="nil"/>
              <w:bottom w:val="single" w:sz="8" w:space="0" w:color="auto"/>
              <w:right w:val="single" w:sz="8" w:space="0" w:color="auto"/>
            </w:tcBorders>
            <w:noWrap/>
            <w:vAlign w:val="center"/>
            <w:hideMark/>
          </w:tcPr>
          <w:p w14:paraId="78135661"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Not reported</w:t>
            </w:r>
          </w:p>
        </w:tc>
        <w:tc>
          <w:tcPr>
            <w:tcW w:w="3434" w:type="dxa"/>
            <w:vMerge/>
            <w:tcBorders>
              <w:top w:val="nil"/>
              <w:left w:val="single" w:sz="8" w:space="0" w:color="auto"/>
              <w:bottom w:val="single" w:sz="8" w:space="0" w:color="000000"/>
              <w:right w:val="single" w:sz="8" w:space="0" w:color="auto"/>
            </w:tcBorders>
            <w:vAlign w:val="center"/>
            <w:hideMark/>
          </w:tcPr>
          <w:p w14:paraId="18E5B7C9" w14:textId="77777777" w:rsidR="00110FDB" w:rsidRPr="00AC1EB2" w:rsidRDefault="00110FDB">
            <w:pPr>
              <w:spacing w:after="0" w:line="240" w:lineRule="auto"/>
              <w:rPr>
                <w:rFonts w:ascii="Aptos" w:eastAsia="Times New Roman" w:hAnsi="Aptos" w:cs="Calibri"/>
                <w:color w:val="000000"/>
                <w:sz w:val="20"/>
                <w:szCs w:val="20"/>
                <w:lang w:eastAsia="en-GB"/>
              </w:rPr>
            </w:pPr>
          </w:p>
        </w:tc>
      </w:tr>
      <w:tr w:rsidR="00110FDB" w:rsidRPr="00AC1EB2" w14:paraId="0C993400"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0154DE32"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2FDCC236"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Assessment of health board response and handling of concerns, complaints, incidents and patient experience feedback related to UEC</w:t>
            </w:r>
          </w:p>
        </w:tc>
        <w:tc>
          <w:tcPr>
            <w:tcW w:w="6327" w:type="dxa"/>
            <w:gridSpan w:val="4"/>
            <w:tcBorders>
              <w:top w:val="single" w:sz="8" w:space="0" w:color="auto"/>
              <w:left w:val="nil"/>
              <w:bottom w:val="single" w:sz="8" w:space="0" w:color="auto"/>
              <w:right w:val="single" w:sz="8" w:space="0" w:color="000000"/>
            </w:tcBorders>
            <w:noWrap/>
            <w:vAlign w:val="center"/>
            <w:hideMark/>
          </w:tcPr>
          <w:p w14:paraId="4313653D"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Not reported</w:t>
            </w:r>
          </w:p>
        </w:tc>
        <w:tc>
          <w:tcPr>
            <w:tcW w:w="3434" w:type="dxa"/>
            <w:vMerge/>
            <w:tcBorders>
              <w:top w:val="nil"/>
              <w:left w:val="single" w:sz="8" w:space="0" w:color="auto"/>
              <w:bottom w:val="single" w:sz="8" w:space="0" w:color="000000"/>
              <w:right w:val="single" w:sz="8" w:space="0" w:color="auto"/>
            </w:tcBorders>
            <w:vAlign w:val="center"/>
            <w:hideMark/>
          </w:tcPr>
          <w:p w14:paraId="5A1FAF69" w14:textId="77777777" w:rsidR="00110FDB" w:rsidRPr="00AC1EB2" w:rsidRDefault="00110FDB">
            <w:pPr>
              <w:spacing w:after="0" w:line="240" w:lineRule="auto"/>
              <w:rPr>
                <w:rFonts w:ascii="Aptos" w:eastAsia="Times New Roman" w:hAnsi="Aptos" w:cs="Calibri"/>
                <w:color w:val="000000"/>
                <w:sz w:val="20"/>
                <w:szCs w:val="20"/>
                <w:lang w:eastAsia="en-GB"/>
              </w:rPr>
            </w:pPr>
          </w:p>
        </w:tc>
      </w:tr>
      <w:tr w:rsidR="00110FDB" w:rsidRPr="00AC1EB2" w14:paraId="55E61F30" w14:textId="77777777">
        <w:trPr>
          <w:trHeight w:val="555"/>
        </w:trPr>
        <w:tc>
          <w:tcPr>
            <w:tcW w:w="1659" w:type="dxa"/>
            <w:vMerge w:val="restart"/>
            <w:tcBorders>
              <w:top w:val="nil"/>
              <w:left w:val="single" w:sz="8" w:space="0" w:color="auto"/>
              <w:bottom w:val="single" w:sz="8" w:space="0" w:color="000000"/>
              <w:right w:val="single" w:sz="8" w:space="0" w:color="auto"/>
            </w:tcBorders>
            <w:vAlign w:val="center"/>
            <w:hideMark/>
          </w:tcPr>
          <w:p w14:paraId="6C6CAA35" w14:textId="77777777" w:rsidR="00110FDB" w:rsidRPr="00AC1EB2" w:rsidRDefault="00110FDB">
            <w:pPr>
              <w:spacing w:after="0" w:line="240" w:lineRule="auto"/>
              <w:jc w:val="center"/>
              <w:rPr>
                <w:rFonts w:ascii="Aptos" w:eastAsia="Times New Roman" w:hAnsi="Aptos" w:cs="Calibri"/>
                <w:color w:val="000000"/>
                <w:lang w:eastAsia="en-GB"/>
              </w:rPr>
            </w:pPr>
            <w:r w:rsidRPr="00AC1EB2">
              <w:rPr>
                <w:rFonts w:ascii="Aptos" w:eastAsia="Times New Roman" w:hAnsi="Aptos" w:cs="Calibri"/>
                <w:color w:val="000000"/>
                <w:lang w:eastAsia="en-GB"/>
              </w:rPr>
              <w:t>Planned Care</w:t>
            </w:r>
          </w:p>
        </w:tc>
        <w:tc>
          <w:tcPr>
            <w:tcW w:w="4535" w:type="dxa"/>
            <w:tcBorders>
              <w:top w:val="nil"/>
              <w:left w:val="nil"/>
              <w:bottom w:val="single" w:sz="8" w:space="0" w:color="auto"/>
              <w:right w:val="single" w:sz="8" w:space="0" w:color="auto"/>
            </w:tcBorders>
            <w:vAlign w:val="center"/>
            <w:hideMark/>
          </w:tcPr>
          <w:p w14:paraId="1FCA94AA"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Open outpatient pathways to be waiting less than 52 weeks and maintained for 3 months. (Removed 2025)</w:t>
            </w:r>
          </w:p>
        </w:tc>
        <w:tc>
          <w:tcPr>
            <w:tcW w:w="1581" w:type="dxa"/>
            <w:tcBorders>
              <w:top w:val="single" w:sz="8" w:space="0" w:color="auto"/>
              <w:left w:val="nil"/>
              <w:bottom w:val="single" w:sz="8" w:space="0" w:color="auto"/>
              <w:right w:val="single" w:sz="8" w:space="0" w:color="000000"/>
            </w:tcBorders>
            <w:noWrap/>
            <w:vAlign w:val="center"/>
            <w:hideMark/>
          </w:tcPr>
          <w:p w14:paraId="39B5F654"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1582" w:type="dxa"/>
            <w:tcBorders>
              <w:top w:val="single" w:sz="8" w:space="0" w:color="auto"/>
              <w:left w:val="nil"/>
              <w:bottom w:val="single" w:sz="8" w:space="0" w:color="auto"/>
              <w:right w:val="single" w:sz="8" w:space="0" w:color="000000"/>
            </w:tcBorders>
            <w:noWrap/>
            <w:vAlign w:val="center"/>
            <w:hideMark/>
          </w:tcPr>
          <w:p w14:paraId="14B7D3AD"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1582" w:type="dxa"/>
            <w:tcBorders>
              <w:top w:val="nil"/>
              <w:left w:val="nil"/>
              <w:bottom w:val="single" w:sz="8" w:space="0" w:color="auto"/>
              <w:right w:val="single" w:sz="8" w:space="0" w:color="auto"/>
            </w:tcBorders>
            <w:noWrap/>
            <w:vAlign w:val="center"/>
            <w:hideMark/>
          </w:tcPr>
          <w:p w14:paraId="6B40618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1582" w:type="dxa"/>
            <w:tcBorders>
              <w:top w:val="nil"/>
              <w:left w:val="nil"/>
              <w:bottom w:val="single" w:sz="8" w:space="0" w:color="auto"/>
              <w:right w:val="single" w:sz="8" w:space="0" w:color="auto"/>
            </w:tcBorders>
            <w:shd w:val="clear" w:color="000000" w:fill="D9D9D9"/>
            <w:vAlign w:val="center"/>
            <w:hideMark/>
          </w:tcPr>
          <w:p w14:paraId="1FEB1F90" w14:textId="77777777" w:rsidR="00110FDB" w:rsidRPr="00AC1EB2" w:rsidRDefault="00110FDB">
            <w:pPr>
              <w:spacing w:after="0" w:line="240" w:lineRule="auto"/>
              <w:jc w:val="center"/>
              <w:rPr>
                <w:rFonts w:ascii="Aptos" w:eastAsia="Times New Roman" w:hAnsi="Aptos" w:cs="Calibri"/>
                <w:color w:val="000000"/>
                <w:sz w:val="16"/>
                <w:szCs w:val="16"/>
                <w:lang w:eastAsia="en-GB"/>
              </w:rPr>
            </w:pPr>
            <w:r w:rsidRPr="00AC1EB2">
              <w:rPr>
                <w:rFonts w:ascii="Aptos" w:eastAsia="Times New Roman" w:hAnsi="Aptos" w:cs="Calibri"/>
                <w:color w:val="000000"/>
                <w:sz w:val="16"/>
                <w:szCs w:val="16"/>
                <w:lang w:eastAsia="en-GB"/>
              </w:rPr>
              <w:t>No longer within criteria</w:t>
            </w:r>
          </w:p>
        </w:tc>
        <w:tc>
          <w:tcPr>
            <w:tcW w:w="3434" w:type="dxa"/>
            <w:tcBorders>
              <w:top w:val="nil"/>
              <w:left w:val="nil"/>
              <w:bottom w:val="single" w:sz="8" w:space="0" w:color="auto"/>
              <w:right w:val="single" w:sz="8" w:space="0" w:color="auto"/>
            </w:tcBorders>
            <w:vAlign w:val="center"/>
            <w:hideMark/>
          </w:tcPr>
          <w:p w14:paraId="1A2699C7"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Removed through de-escalation</w:t>
            </w:r>
          </w:p>
        </w:tc>
      </w:tr>
      <w:tr w:rsidR="00110FDB" w:rsidRPr="00AC1EB2" w14:paraId="613DC864" w14:textId="77777777">
        <w:trPr>
          <w:trHeight w:val="315"/>
        </w:trPr>
        <w:tc>
          <w:tcPr>
            <w:tcW w:w="1659" w:type="dxa"/>
            <w:vMerge/>
            <w:tcBorders>
              <w:top w:val="nil"/>
              <w:left w:val="single" w:sz="8" w:space="0" w:color="auto"/>
              <w:bottom w:val="single" w:sz="8" w:space="0" w:color="000000"/>
              <w:right w:val="single" w:sz="8" w:space="0" w:color="auto"/>
            </w:tcBorders>
            <w:vAlign w:val="center"/>
            <w:hideMark/>
          </w:tcPr>
          <w:p w14:paraId="7847619B"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65786A19"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Open pathways to be waiting less than 104 weeks and maintained for 3 months.</w:t>
            </w:r>
          </w:p>
        </w:tc>
        <w:tc>
          <w:tcPr>
            <w:tcW w:w="1581" w:type="dxa"/>
            <w:tcBorders>
              <w:top w:val="single" w:sz="8" w:space="0" w:color="auto"/>
              <w:left w:val="nil"/>
              <w:bottom w:val="single" w:sz="8" w:space="0" w:color="auto"/>
              <w:right w:val="single" w:sz="8" w:space="0" w:color="000000"/>
            </w:tcBorders>
            <w:noWrap/>
            <w:vAlign w:val="center"/>
            <w:hideMark/>
          </w:tcPr>
          <w:p w14:paraId="578B256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95.60%</w:t>
            </w:r>
          </w:p>
        </w:tc>
        <w:tc>
          <w:tcPr>
            <w:tcW w:w="1582" w:type="dxa"/>
            <w:tcBorders>
              <w:top w:val="single" w:sz="8" w:space="0" w:color="auto"/>
              <w:left w:val="nil"/>
              <w:bottom w:val="single" w:sz="8" w:space="0" w:color="auto"/>
              <w:right w:val="single" w:sz="8" w:space="0" w:color="000000"/>
            </w:tcBorders>
            <w:noWrap/>
            <w:vAlign w:val="center"/>
            <w:hideMark/>
          </w:tcPr>
          <w:p w14:paraId="10270F4E"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1582" w:type="dxa"/>
            <w:tcBorders>
              <w:top w:val="nil"/>
              <w:left w:val="nil"/>
              <w:bottom w:val="single" w:sz="8" w:space="0" w:color="auto"/>
              <w:right w:val="single" w:sz="8" w:space="0" w:color="auto"/>
            </w:tcBorders>
            <w:noWrap/>
            <w:vAlign w:val="center"/>
            <w:hideMark/>
          </w:tcPr>
          <w:p w14:paraId="4582D4DD"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98.40%</w:t>
            </w:r>
          </w:p>
        </w:tc>
        <w:tc>
          <w:tcPr>
            <w:tcW w:w="1582" w:type="dxa"/>
            <w:tcBorders>
              <w:top w:val="nil"/>
              <w:left w:val="nil"/>
              <w:bottom w:val="single" w:sz="8" w:space="0" w:color="auto"/>
              <w:right w:val="single" w:sz="8" w:space="0" w:color="auto"/>
            </w:tcBorders>
            <w:shd w:val="clear" w:color="000000" w:fill="92D050"/>
            <w:noWrap/>
            <w:vAlign w:val="center"/>
            <w:hideMark/>
          </w:tcPr>
          <w:p w14:paraId="472CFE9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3434" w:type="dxa"/>
            <w:tcBorders>
              <w:top w:val="nil"/>
              <w:left w:val="nil"/>
              <w:bottom w:val="single" w:sz="8" w:space="0" w:color="auto"/>
              <w:right w:val="single" w:sz="8" w:space="0" w:color="auto"/>
            </w:tcBorders>
            <w:vAlign w:val="center"/>
            <w:hideMark/>
          </w:tcPr>
          <w:p w14:paraId="24300508"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Yes,</w:t>
            </w:r>
            <w:r>
              <w:rPr>
                <w:rFonts w:ascii="Aptos" w:eastAsia="Times New Roman" w:hAnsi="Aptos" w:cs="Calibri"/>
                <w:color w:val="000000"/>
                <w:sz w:val="20"/>
                <w:szCs w:val="20"/>
                <w:lang w:eastAsia="en-GB"/>
              </w:rPr>
              <w:t xml:space="preserve"> consistently met and maintained </w:t>
            </w:r>
            <w:r w:rsidRPr="00AC1EB2">
              <w:rPr>
                <w:rFonts w:ascii="Aptos" w:eastAsia="Times New Roman" w:hAnsi="Aptos" w:cs="Calibri"/>
                <w:color w:val="000000"/>
                <w:sz w:val="20"/>
                <w:szCs w:val="20"/>
                <w:lang w:eastAsia="en-GB"/>
              </w:rPr>
              <w:t>April 2025 - August 2025</w:t>
            </w:r>
            <w:r>
              <w:rPr>
                <w:rFonts w:ascii="Aptos" w:eastAsia="Times New Roman" w:hAnsi="Aptos" w:cs="Calibri"/>
                <w:color w:val="000000"/>
                <w:sz w:val="20"/>
                <w:szCs w:val="20"/>
                <w:lang w:eastAsia="en-GB"/>
              </w:rPr>
              <w:t>.</w:t>
            </w:r>
          </w:p>
        </w:tc>
      </w:tr>
      <w:tr w:rsidR="00110FDB" w:rsidRPr="00AC1EB2" w14:paraId="62078D2A" w14:textId="77777777">
        <w:trPr>
          <w:trHeight w:val="465"/>
        </w:trPr>
        <w:tc>
          <w:tcPr>
            <w:tcW w:w="1659" w:type="dxa"/>
            <w:vMerge/>
            <w:tcBorders>
              <w:top w:val="nil"/>
              <w:left w:val="single" w:sz="8" w:space="0" w:color="auto"/>
              <w:bottom w:val="single" w:sz="8" w:space="0" w:color="000000"/>
              <w:right w:val="single" w:sz="8" w:space="0" w:color="auto"/>
            </w:tcBorders>
            <w:vAlign w:val="center"/>
            <w:hideMark/>
          </w:tcPr>
          <w:p w14:paraId="1A3D7EEB"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443AC800"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Open pathways to be waiting less than 52 weeks and maintained for 3 months.</w:t>
            </w:r>
          </w:p>
        </w:tc>
        <w:tc>
          <w:tcPr>
            <w:tcW w:w="1581" w:type="dxa"/>
            <w:tcBorders>
              <w:top w:val="single" w:sz="8" w:space="0" w:color="auto"/>
              <w:left w:val="nil"/>
              <w:bottom w:val="single" w:sz="8" w:space="0" w:color="auto"/>
              <w:right w:val="single" w:sz="8" w:space="0" w:color="000000"/>
            </w:tcBorders>
            <w:noWrap/>
            <w:vAlign w:val="center"/>
            <w:hideMark/>
          </w:tcPr>
          <w:p w14:paraId="1E177E8B"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85.30%</w:t>
            </w:r>
          </w:p>
        </w:tc>
        <w:tc>
          <w:tcPr>
            <w:tcW w:w="1582" w:type="dxa"/>
            <w:tcBorders>
              <w:top w:val="single" w:sz="8" w:space="0" w:color="auto"/>
              <w:left w:val="nil"/>
              <w:bottom w:val="single" w:sz="8" w:space="0" w:color="auto"/>
              <w:right w:val="single" w:sz="8" w:space="0" w:color="000000"/>
            </w:tcBorders>
            <w:noWrap/>
            <w:vAlign w:val="center"/>
            <w:hideMark/>
          </w:tcPr>
          <w:p w14:paraId="065E6C7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85%</w:t>
            </w:r>
          </w:p>
        </w:tc>
        <w:tc>
          <w:tcPr>
            <w:tcW w:w="1582" w:type="dxa"/>
            <w:tcBorders>
              <w:top w:val="nil"/>
              <w:left w:val="nil"/>
              <w:bottom w:val="single" w:sz="8" w:space="0" w:color="auto"/>
              <w:right w:val="single" w:sz="8" w:space="0" w:color="auto"/>
            </w:tcBorders>
            <w:noWrap/>
            <w:vAlign w:val="center"/>
            <w:hideMark/>
          </w:tcPr>
          <w:p w14:paraId="6F74067E"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85%</w:t>
            </w:r>
          </w:p>
        </w:tc>
        <w:tc>
          <w:tcPr>
            <w:tcW w:w="1582" w:type="dxa"/>
            <w:tcBorders>
              <w:top w:val="nil"/>
              <w:left w:val="nil"/>
              <w:bottom w:val="single" w:sz="8" w:space="0" w:color="auto"/>
              <w:right w:val="single" w:sz="8" w:space="0" w:color="auto"/>
            </w:tcBorders>
            <w:shd w:val="clear" w:color="000000" w:fill="D9D9D9"/>
            <w:vAlign w:val="center"/>
            <w:hideMark/>
          </w:tcPr>
          <w:p w14:paraId="5129F3E0" w14:textId="77777777" w:rsidR="00110FDB" w:rsidRPr="00AC1EB2" w:rsidRDefault="00110FDB">
            <w:pPr>
              <w:spacing w:after="0" w:line="240" w:lineRule="auto"/>
              <w:jc w:val="center"/>
              <w:rPr>
                <w:rFonts w:ascii="Aptos" w:eastAsia="Times New Roman" w:hAnsi="Aptos" w:cs="Calibri"/>
                <w:color w:val="000000"/>
                <w:sz w:val="16"/>
                <w:szCs w:val="16"/>
                <w:lang w:eastAsia="en-GB"/>
              </w:rPr>
            </w:pPr>
            <w:r w:rsidRPr="00AC1EB2">
              <w:rPr>
                <w:rFonts w:ascii="Aptos" w:eastAsia="Times New Roman" w:hAnsi="Aptos" w:cs="Calibri"/>
                <w:color w:val="000000"/>
                <w:sz w:val="16"/>
                <w:szCs w:val="16"/>
                <w:lang w:eastAsia="en-GB"/>
              </w:rPr>
              <w:t>No longer within criteria</w:t>
            </w:r>
          </w:p>
        </w:tc>
        <w:tc>
          <w:tcPr>
            <w:tcW w:w="3434" w:type="dxa"/>
            <w:tcBorders>
              <w:top w:val="nil"/>
              <w:left w:val="nil"/>
              <w:bottom w:val="single" w:sz="8" w:space="0" w:color="auto"/>
              <w:right w:val="single" w:sz="8" w:space="0" w:color="auto"/>
            </w:tcBorders>
            <w:vAlign w:val="center"/>
            <w:hideMark/>
          </w:tcPr>
          <w:p w14:paraId="517DCBFD"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Removed through de-escalation</w:t>
            </w:r>
          </w:p>
        </w:tc>
      </w:tr>
      <w:tr w:rsidR="00110FDB" w:rsidRPr="00AC1EB2" w14:paraId="488D2EF7"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56BF5F72"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06BD746E"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Percentage of R1 ophthalmology patient pathways to be waiting within or no longer than 25% of their target date for an outpatient appointment and maintained for 3 months.</w:t>
            </w:r>
          </w:p>
        </w:tc>
        <w:tc>
          <w:tcPr>
            <w:tcW w:w="1581" w:type="dxa"/>
            <w:tcBorders>
              <w:top w:val="single" w:sz="8" w:space="0" w:color="auto"/>
              <w:left w:val="nil"/>
              <w:bottom w:val="single" w:sz="8" w:space="0" w:color="auto"/>
              <w:right w:val="single" w:sz="8" w:space="0" w:color="000000"/>
            </w:tcBorders>
            <w:noWrap/>
            <w:vAlign w:val="center"/>
            <w:hideMark/>
          </w:tcPr>
          <w:p w14:paraId="2D28558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63.10%</w:t>
            </w:r>
          </w:p>
        </w:tc>
        <w:tc>
          <w:tcPr>
            <w:tcW w:w="1582" w:type="dxa"/>
            <w:tcBorders>
              <w:top w:val="single" w:sz="8" w:space="0" w:color="auto"/>
              <w:left w:val="nil"/>
              <w:bottom w:val="single" w:sz="8" w:space="0" w:color="auto"/>
              <w:right w:val="single" w:sz="8" w:space="0" w:color="000000"/>
            </w:tcBorders>
            <w:noWrap/>
            <w:vAlign w:val="center"/>
            <w:hideMark/>
          </w:tcPr>
          <w:p w14:paraId="7F663DB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65% (68%)</w:t>
            </w:r>
          </w:p>
        </w:tc>
        <w:tc>
          <w:tcPr>
            <w:tcW w:w="1582" w:type="dxa"/>
            <w:tcBorders>
              <w:top w:val="nil"/>
              <w:left w:val="nil"/>
              <w:bottom w:val="single" w:sz="8" w:space="0" w:color="auto"/>
              <w:right w:val="single" w:sz="8" w:space="0" w:color="auto"/>
            </w:tcBorders>
            <w:noWrap/>
            <w:vAlign w:val="center"/>
            <w:hideMark/>
          </w:tcPr>
          <w:p w14:paraId="105B54C1"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69%</w:t>
            </w:r>
          </w:p>
        </w:tc>
        <w:tc>
          <w:tcPr>
            <w:tcW w:w="1582" w:type="dxa"/>
            <w:tcBorders>
              <w:top w:val="nil"/>
              <w:left w:val="nil"/>
              <w:bottom w:val="single" w:sz="8" w:space="0" w:color="auto"/>
              <w:right w:val="single" w:sz="8" w:space="0" w:color="auto"/>
            </w:tcBorders>
            <w:shd w:val="clear" w:color="000000" w:fill="92D050"/>
            <w:noWrap/>
            <w:vAlign w:val="center"/>
            <w:hideMark/>
          </w:tcPr>
          <w:p w14:paraId="1ACF228B"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76.16%</w:t>
            </w:r>
          </w:p>
        </w:tc>
        <w:tc>
          <w:tcPr>
            <w:tcW w:w="3434" w:type="dxa"/>
            <w:tcBorders>
              <w:top w:val="nil"/>
              <w:left w:val="nil"/>
              <w:bottom w:val="single" w:sz="8" w:space="0" w:color="auto"/>
              <w:right w:val="single" w:sz="8" w:space="0" w:color="auto"/>
            </w:tcBorders>
            <w:vAlign w:val="center"/>
            <w:hideMark/>
          </w:tcPr>
          <w:p w14:paraId="176CEB57"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Yes,</w:t>
            </w:r>
            <w:r>
              <w:rPr>
                <w:rFonts w:ascii="Aptos" w:eastAsia="Times New Roman" w:hAnsi="Aptos" w:cs="Calibri"/>
                <w:color w:val="000000"/>
                <w:sz w:val="20"/>
                <w:szCs w:val="20"/>
                <w:lang w:eastAsia="en-GB"/>
              </w:rPr>
              <w:t xml:space="preserve"> above target </w:t>
            </w:r>
            <w:r w:rsidRPr="00AC1EB2">
              <w:rPr>
                <w:rFonts w:ascii="Aptos" w:eastAsia="Times New Roman" w:hAnsi="Aptos" w:cs="Calibri"/>
                <w:color w:val="000000"/>
                <w:sz w:val="20"/>
                <w:szCs w:val="20"/>
                <w:lang w:eastAsia="en-GB"/>
              </w:rPr>
              <w:t>June 2024 - August 2025</w:t>
            </w:r>
            <w:r>
              <w:rPr>
                <w:rFonts w:ascii="Aptos" w:eastAsia="Times New Roman" w:hAnsi="Aptos" w:cs="Calibri"/>
                <w:color w:val="000000"/>
                <w:sz w:val="20"/>
                <w:szCs w:val="20"/>
                <w:lang w:eastAsia="en-GB"/>
              </w:rPr>
              <w:t>.</w:t>
            </w:r>
          </w:p>
        </w:tc>
      </w:tr>
      <w:tr w:rsidR="00110FDB" w:rsidRPr="00AC1EB2" w14:paraId="30A09D98"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6B4F82B5"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645656CF"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 xml:space="preserve">Patients waiting for a diagnostic endoscopy to be waiting less than 8 weeks and maintained for 3 months.  </w:t>
            </w:r>
          </w:p>
        </w:tc>
        <w:tc>
          <w:tcPr>
            <w:tcW w:w="1581" w:type="dxa"/>
            <w:tcBorders>
              <w:top w:val="single" w:sz="8" w:space="0" w:color="auto"/>
              <w:left w:val="nil"/>
              <w:bottom w:val="single" w:sz="8" w:space="0" w:color="auto"/>
              <w:right w:val="single" w:sz="8" w:space="0" w:color="000000"/>
            </w:tcBorders>
            <w:noWrap/>
            <w:vAlign w:val="center"/>
            <w:hideMark/>
          </w:tcPr>
          <w:p w14:paraId="5F4D232E"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23.10%</w:t>
            </w:r>
          </w:p>
        </w:tc>
        <w:tc>
          <w:tcPr>
            <w:tcW w:w="1582" w:type="dxa"/>
            <w:tcBorders>
              <w:top w:val="single" w:sz="8" w:space="0" w:color="auto"/>
              <w:left w:val="nil"/>
              <w:bottom w:val="single" w:sz="8" w:space="0" w:color="auto"/>
              <w:right w:val="single" w:sz="8" w:space="0" w:color="000000"/>
            </w:tcBorders>
            <w:noWrap/>
            <w:vAlign w:val="center"/>
            <w:hideMark/>
          </w:tcPr>
          <w:p w14:paraId="2D4B8FB4"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85%</w:t>
            </w:r>
          </w:p>
        </w:tc>
        <w:tc>
          <w:tcPr>
            <w:tcW w:w="1582" w:type="dxa"/>
            <w:tcBorders>
              <w:top w:val="nil"/>
              <w:left w:val="nil"/>
              <w:bottom w:val="single" w:sz="8" w:space="0" w:color="auto"/>
              <w:right w:val="single" w:sz="8" w:space="0" w:color="auto"/>
            </w:tcBorders>
            <w:noWrap/>
            <w:vAlign w:val="center"/>
            <w:hideMark/>
          </w:tcPr>
          <w:p w14:paraId="46D4A6C2"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25.16%</w:t>
            </w:r>
          </w:p>
        </w:tc>
        <w:tc>
          <w:tcPr>
            <w:tcW w:w="1582" w:type="dxa"/>
            <w:tcBorders>
              <w:top w:val="nil"/>
              <w:left w:val="nil"/>
              <w:bottom w:val="single" w:sz="8" w:space="0" w:color="auto"/>
              <w:right w:val="single" w:sz="8" w:space="0" w:color="auto"/>
            </w:tcBorders>
            <w:noWrap/>
            <w:vAlign w:val="center"/>
            <w:hideMark/>
          </w:tcPr>
          <w:p w14:paraId="670E4D6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34.57%</w:t>
            </w:r>
          </w:p>
        </w:tc>
        <w:tc>
          <w:tcPr>
            <w:tcW w:w="3434" w:type="dxa"/>
            <w:tcBorders>
              <w:top w:val="nil"/>
              <w:left w:val="nil"/>
              <w:bottom w:val="single" w:sz="8" w:space="0" w:color="auto"/>
              <w:right w:val="single" w:sz="8" w:space="0" w:color="auto"/>
            </w:tcBorders>
            <w:vAlign w:val="center"/>
            <w:hideMark/>
          </w:tcPr>
          <w:p w14:paraId="2ABD061F"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 - c.38% reported in February - April 2025</w:t>
            </w:r>
          </w:p>
        </w:tc>
      </w:tr>
      <w:tr w:rsidR="00110FDB" w:rsidRPr="00AC1EB2" w14:paraId="3611C1A0"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1CCA8AE4"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213F08EC"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Patients waiting for a NOUS and non-cardiac MRI to be waiting less than 8 weeks and maintained for 3 months.</w:t>
            </w:r>
          </w:p>
        </w:tc>
        <w:tc>
          <w:tcPr>
            <w:tcW w:w="1581" w:type="dxa"/>
            <w:tcBorders>
              <w:top w:val="single" w:sz="8" w:space="0" w:color="auto"/>
              <w:left w:val="nil"/>
              <w:bottom w:val="single" w:sz="8" w:space="0" w:color="auto"/>
              <w:right w:val="single" w:sz="8" w:space="0" w:color="000000"/>
            </w:tcBorders>
            <w:noWrap/>
            <w:vAlign w:val="center"/>
            <w:hideMark/>
          </w:tcPr>
          <w:p w14:paraId="0A461324"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84.15%</w:t>
            </w:r>
          </w:p>
        </w:tc>
        <w:tc>
          <w:tcPr>
            <w:tcW w:w="1582" w:type="dxa"/>
            <w:tcBorders>
              <w:top w:val="single" w:sz="8" w:space="0" w:color="auto"/>
              <w:left w:val="nil"/>
              <w:bottom w:val="single" w:sz="8" w:space="0" w:color="auto"/>
              <w:right w:val="single" w:sz="8" w:space="0" w:color="000000"/>
            </w:tcBorders>
            <w:noWrap/>
            <w:vAlign w:val="center"/>
            <w:hideMark/>
          </w:tcPr>
          <w:p w14:paraId="3D58F18B"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80% (85%)</w:t>
            </w:r>
          </w:p>
        </w:tc>
        <w:tc>
          <w:tcPr>
            <w:tcW w:w="1582" w:type="dxa"/>
            <w:tcBorders>
              <w:top w:val="nil"/>
              <w:left w:val="nil"/>
              <w:bottom w:val="single" w:sz="8" w:space="0" w:color="auto"/>
              <w:right w:val="single" w:sz="8" w:space="0" w:color="auto"/>
            </w:tcBorders>
            <w:noWrap/>
            <w:vAlign w:val="center"/>
            <w:hideMark/>
          </w:tcPr>
          <w:p w14:paraId="18373472"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99.93%</w:t>
            </w:r>
          </w:p>
        </w:tc>
        <w:tc>
          <w:tcPr>
            <w:tcW w:w="1582" w:type="dxa"/>
            <w:tcBorders>
              <w:top w:val="nil"/>
              <w:left w:val="nil"/>
              <w:bottom w:val="single" w:sz="8" w:space="0" w:color="auto"/>
              <w:right w:val="single" w:sz="8" w:space="0" w:color="auto"/>
            </w:tcBorders>
            <w:shd w:val="clear" w:color="000000" w:fill="92D050"/>
            <w:noWrap/>
            <w:vAlign w:val="center"/>
            <w:hideMark/>
          </w:tcPr>
          <w:p w14:paraId="18E3AFD1"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98.92%</w:t>
            </w:r>
          </w:p>
        </w:tc>
        <w:tc>
          <w:tcPr>
            <w:tcW w:w="3434" w:type="dxa"/>
            <w:tcBorders>
              <w:top w:val="nil"/>
              <w:left w:val="nil"/>
              <w:bottom w:val="single" w:sz="8" w:space="0" w:color="auto"/>
              <w:right w:val="single" w:sz="8" w:space="0" w:color="auto"/>
            </w:tcBorders>
            <w:vAlign w:val="center"/>
            <w:hideMark/>
          </w:tcPr>
          <w:p w14:paraId="71DC9374" w14:textId="77777777" w:rsidR="00110FDB" w:rsidRPr="00AC1EB2" w:rsidRDefault="00110FDB">
            <w:pPr>
              <w:spacing w:after="0" w:line="240" w:lineRule="auto"/>
              <w:rPr>
                <w:rFonts w:ascii="Aptos" w:eastAsia="Times New Roman" w:hAnsi="Aptos" w:cs="Calibri"/>
                <w:color w:val="000000"/>
                <w:sz w:val="20"/>
                <w:szCs w:val="20"/>
                <w:lang w:eastAsia="en-GB"/>
              </w:rPr>
            </w:pPr>
            <w:r w:rsidRPr="009109BE">
              <w:rPr>
                <w:rFonts w:ascii="Aptos" w:eastAsia="Times New Roman" w:hAnsi="Aptos" w:cs="Calibri"/>
                <w:color w:val="000000"/>
                <w:sz w:val="20"/>
                <w:szCs w:val="20"/>
                <w:lang w:eastAsia="en-GB"/>
              </w:rPr>
              <w:t>Yes, above target June 2024 - August 2025.</w:t>
            </w:r>
          </w:p>
        </w:tc>
      </w:tr>
      <w:tr w:rsidR="00110FDB" w:rsidRPr="00AC1EB2" w14:paraId="51F506F6"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623DF3F6"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7DC5003A"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Number of patients delayed by 100% for their follow up appointment in three consecutive months and maintained for 3 months (Based on the November 2023 baseline.)</w:t>
            </w:r>
          </w:p>
        </w:tc>
        <w:tc>
          <w:tcPr>
            <w:tcW w:w="1581" w:type="dxa"/>
            <w:tcBorders>
              <w:top w:val="single" w:sz="8" w:space="0" w:color="auto"/>
              <w:left w:val="nil"/>
              <w:bottom w:val="nil"/>
              <w:right w:val="single" w:sz="8" w:space="0" w:color="000000"/>
            </w:tcBorders>
            <w:noWrap/>
            <w:vAlign w:val="center"/>
            <w:hideMark/>
          </w:tcPr>
          <w:p w14:paraId="09A6A570"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41727</w:t>
            </w:r>
          </w:p>
        </w:tc>
        <w:tc>
          <w:tcPr>
            <w:tcW w:w="1582" w:type="dxa"/>
            <w:tcBorders>
              <w:top w:val="single" w:sz="8" w:space="0" w:color="auto"/>
              <w:left w:val="nil"/>
              <w:bottom w:val="nil"/>
              <w:right w:val="single" w:sz="8" w:space="0" w:color="000000"/>
            </w:tcBorders>
            <w:vAlign w:val="center"/>
            <w:hideMark/>
          </w:tcPr>
          <w:p w14:paraId="5925709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25626 (12% reduction vs November 2024 baseline)</w:t>
            </w:r>
          </w:p>
        </w:tc>
        <w:tc>
          <w:tcPr>
            <w:tcW w:w="1582" w:type="dxa"/>
            <w:tcBorders>
              <w:top w:val="nil"/>
              <w:left w:val="nil"/>
              <w:bottom w:val="single" w:sz="8" w:space="0" w:color="auto"/>
              <w:right w:val="single" w:sz="8" w:space="0" w:color="auto"/>
            </w:tcBorders>
            <w:noWrap/>
            <w:vAlign w:val="center"/>
            <w:hideMark/>
          </w:tcPr>
          <w:p w14:paraId="0C5DEFF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1582" w:type="dxa"/>
            <w:tcBorders>
              <w:top w:val="nil"/>
              <w:left w:val="nil"/>
              <w:bottom w:val="single" w:sz="8" w:space="0" w:color="auto"/>
              <w:right w:val="single" w:sz="8" w:space="0" w:color="auto"/>
            </w:tcBorders>
            <w:noWrap/>
            <w:vAlign w:val="center"/>
            <w:hideMark/>
          </w:tcPr>
          <w:p w14:paraId="0ACC4BD3"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+12.17%</w:t>
            </w:r>
          </w:p>
        </w:tc>
        <w:tc>
          <w:tcPr>
            <w:tcW w:w="3434" w:type="dxa"/>
            <w:tcBorders>
              <w:top w:val="nil"/>
              <w:left w:val="nil"/>
              <w:bottom w:val="single" w:sz="8" w:space="0" w:color="auto"/>
              <w:right w:val="single" w:sz="8" w:space="0" w:color="auto"/>
            </w:tcBorders>
            <w:vAlign w:val="center"/>
            <w:hideMark/>
          </w:tcPr>
          <w:p w14:paraId="5A8596BF"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w:t>
            </w:r>
            <w:r>
              <w:rPr>
                <w:rFonts w:ascii="Aptos" w:eastAsia="Times New Roman" w:hAnsi="Aptos" w:cs="Calibri"/>
                <w:color w:val="000000"/>
                <w:sz w:val="20"/>
                <w:szCs w:val="20"/>
                <w:lang w:eastAsia="en-GB"/>
              </w:rPr>
              <w:t xml:space="preserve">, recent increases noted - best performing month was January 2025 with a </w:t>
            </w:r>
            <w:r w:rsidRPr="00AC1EB2">
              <w:rPr>
                <w:rFonts w:ascii="Aptos" w:eastAsia="Times New Roman" w:hAnsi="Aptos" w:cs="Calibri"/>
                <w:color w:val="000000"/>
                <w:sz w:val="20"/>
                <w:szCs w:val="20"/>
                <w:lang w:eastAsia="en-GB"/>
              </w:rPr>
              <w:t>6.7% reduction</w:t>
            </w:r>
            <w:r>
              <w:rPr>
                <w:rFonts w:ascii="Aptos" w:eastAsia="Times New Roman" w:hAnsi="Aptos" w:cs="Calibri"/>
                <w:color w:val="000000"/>
                <w:sz w:val="20"/>
                <w:szCs w:val="20"/>
                <w:lang w:eastAsia="en-GB"/>
              </w:rPr>
              <w:t>.</w:t>
            </w:r>
          </w:p>
        </w:tc>
      </w:tr>
      <w:tr w:rsidR="00110FDB" w:rsidRPr="00AC1EB2" w14:paraId="4BC917C5" w14:textId="77777777">
        <w:trPr>
          <w:trHeight w:val="315"/>
        </w:trPr>
        <w:tc>
          <w:tcPr>
            <w:tcW w:w="1659" w:type="dxa"/>
            <w:vMerge/>
            <w:tcBorders>
              <w:top w:val="nil"/>
              <w:left w:val="single" w:sz="8" w:space="0" w:color="auto"/>
              <w:bottom w:val="single" w:sz="8" w:space="0" w:color="000000"/>
              <w:right w:val="single" w:sz="8" w:space="0" w:color="auto"/>
            </w:tcBorders>
            <w:vAlign w:val="center"/>
            <w:hideMark/>
          </w:tcPr>
          <w:p w14:paraId="4018E296"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15B95874"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Patients waiting for therapies to be waiting less than 14 weeks and maintained for 3 months.</w:t>
            </w:r>
          </w:p>
        </w:tc>
        <w:tc>
          <w:tcPr>
            <w:tcW w:w="1581" w:type="dxa"/>
            <w:tcBorders>
              <w:top w:val="single" w:sz="8" w:space="0" w:color="auto"/>
              <w:left w:val="nil"/>
              <w:bottom w:val="single" w:sz="8" w:space="0" w:color="auto"/>
              <w:right w:val="single" w:sz="8" w:space="0" w:color="000000"/>
            </w:tcBorders>
            <w:noWrap/>
            <w:vAlign w:val="center"/>
            <w:hideMark/>
          </w:tcPr>
          <w:p w14:paraId="02832A51"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96.60%</w:t>
            </w:r>
          </w:p>
        </w:tc>
        <w:tc>
          <w:tcPr>
            <w:tcW w:w="1582" w:type="dxa"/>
            <w:tcBorders>
              <w:top w:val="single" w:sz="8" w:space="0" w:color="auto"/>
              <w:left w:val="nil"/>
              <w:bottom w:val="single" w:sz="8" w:space="0" w:color="auto"/>
              <w:right w:val="single" w:sz="8" w:space="0" w:color="000000"/>
            </w:tcBorders>
            <w:noWrap/>
            <w:vAlign w:val="center"/>
            <w:hideMark/>
          </w:tcPr>
          <w:p w14:paraId="7CFB268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85% (90%)</w:t>
            </w:r>
          </w:p>
        </w:tc>
        <w:tc>
          <w:tcPr>
            <w:tcW w:w="1582" w:type="dxa"/>
            <w:tcBorders>
              <w:top w:val="nil"/>
              <w:left w:val="nil"/>
              <w:bottom w:val="single" w:sz="8" w:space="0" w:color="auto"/>
              <w:right w:val="single" w:sz="8" w:space="0" w:color="auto"/>
            </w:tcBorders>
            <w:noWrap/>
            <w:vAlign w:val="center"/>
            <w:hideMark/>
          </w:tcPr>
          <w:p w14:paraId="4A02500E"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1582" w:type="dxa"/>
            <w:tcBorders>
              <w:top w:val="nil"/>
              <w:left w:val="nil"/>
              <w:bottom w:val="single" w:sz="8" w:space="0" w:color="auto"/>
              <w:right w:val="single" w:sz="8" w:space="0" w:color="auto"/>
            </w:tcBorders>
            <w:shd w:val="clear" w:color="000000" w:fill="92D050"/>
            <w:noWrap/>
            <w:vAlign w:val="center"/>
            <w:hideMark/>
          </w:tcPr>
          <w:p w14:paraId="55C6046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3434" w:type="dxa"/>
            <w:tcBorders>
              <w:top w:val="nil"/>
              <w:left w:val="nil"/>
              <w:bottom w:val="single" w:sz="8" w:space="0" w:color="auto"/>
              <w:right w:val="single" w:sz="8" w:space="0" w:color="auto"/>
            </w:tcBorders>
            <w:vAlign w:val="center"/>
            <w:hideMark/>
          </w:tcPr>
          <w:p w14:paraId="28A48D2F"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Yes</w:t>
            </w:r>
            <w:r>
              <w:rPr>
                <w:rFonts w:ascii="Aptos" w:eastAsia="Times New Roman" w:hAnsi="Aptos" w:cs="Calibri"/>
                <w:color w:val="000000"/>
                <w:sz w:val="20"/>
                <w:szCs w:val="20"/>
                <w:lang w:eastAsia="en-GB"/>
              </w:rPr>
              <w:t xml:space="preserve">, performance </w:t>
            </w:r>
            <w:proofErr w:type="gramStart"/>
            <w:r>
              <w:rPr>
                <w:rFonts w:ascii="Aptos" w:eastAsia="Times New Roman" w:hAnsi="Aptos" w:cs="Calibri"/>
                <w:color w:val="000000"/>
                <w:sz w:val="20"/>
                <w:szCs w:val="20"/>
                <w:lang w:eastAsia="en-GB"/>
              </w:rPr>
              <w:t>in excess of</w:t>
            </w:r>
            <w:proofErr w:type="gramEnd"/>
            <w:r>
              <w:rPr>
                <w:rFonts w:ascii="Aptos" w:eastAsia="Times New Roman" w:hAnsi="Aptos" w:cs="Calibri"/>
                <w:color w:val="000000"/>
                <w:sz w:val="20"/>
                <w:szCs w:val="20"/>
                <w:lang w:eastAsia="en-GB"/>
              </w:rPr>
              <w:t xml:space="preserve"> de-escalation criteria </w:t>
            </w:r>
            <w:r w:rsidRPr="00AC1EB2">
              <w:rPr>
                <w:rFonts w:ascii="Aptos" w:eastAsia="Times New Roman" w:hAnsi="Aptos" w:cs="Calibri"/>
                <w:color w:val="000000"/>
                <w:sz w:val="20"/>
                <w:szCs w:val="20"/>
                <w:lang w:eastAsia="en-GB"/>
              </w:rPr>
              <w:t>June 2024 - August 2025</w:t>
            </w:r>
            <w:r>
              <w:rPr>
                <w:rFonts w:ascii="Aptos" w:eastAsia="Times New Roman" w:hAnsi="Aptos" w:cs="Calibri"/>
                <w:color w:val="000000"/>
                <w:sz w:val="20"/>
                <w:szCs w:val="20"/>
                <w:lang w:eastAsia="en-GB"/>
              </w:rPr>
              <w:t>.</w:t>
            </w:r>
          </w:p>
        </w:tc>
      </w:tr>
      <w:tr w:rsidR="00110FDB" w:rsidRPr="00AC1EB2" w14:paraId="3E33A882"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7CA1B648"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62DAE090"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Continuous improvement towards 75% of all open outpatient pathways waiting less than 26 weeks. (Added 2025)</w:t>
            </w:r>
          </w:p>
        </w:tc>
        <w:tc>
          <w:tcPr>
            <w:tcW w:w="1581" w:type="dxa"/>
            <w:tcBorders>
              <w:top w:val="single" w:sz="8" w:space="0" w:color="auto"/>
              <w:left w:val="nil"/>
              <w:bottom w:val="single" w:sz="8" w:space="0" w:color="auto"/>
              <w:right w:val="single" w:sz="8" w:space="0" w:color="000000"/>
            </w:tcBorders>
            <w:shd w:val="clear" w:color="000000" w:fill="D9D9D9"/>
            <w:noWrap/>
            <w:vAlign w:val="center"/>
            <w:hideMark/>
          </w:tcPr>
          <w:p w14:paraId="01E5F09F"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tc>
        <w:tc>
          <w:tcPr>
            <w:tcW w:w="1582" w:type="dxa"/>
            <w:tcBorders>
              <w:top w:val="single" w:sz="8" w:space="0" w:color="auto"/>
              <w:left w:val="nil"/>
              <w:bottom w:val="single" w:sz="8" w:space="0" w:color="auto"/>
              <w:right w:val="single" w:sz="8" w:space="0" w:color="000000"/>
            </w:tcBorders>
            <w:noWrap/>
            <w:vAlign w:val="center"/>
            <w:hideMark/>
          </w:tcPr>
          <w:p w14:paraId="6D4CC45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75%</w:t>
            </w:r>
          </w:p>
        </w:tc>
        <w:tc>
          <w:tcPr>
            <w:tcW w:w="1582" w:type="dxa"/>
            <w:tcBorders>
              <w:top w:val="nil"/>
              <w:left w:val="nil"/>
              <w:bottom w:val="single" w:sz="8" w:space="0" w:color="auto"/>
              <w:right w:val="single" w:sz="8" w:space="0" w:color="auto"/>
            </w:tcBorders>
            <w:shd w:val="clear" w:color="000000" w:fill="D9D9D9"/>
            <w:noWrap/>
            <w:vAlign w:val="center"/>
            <w:hideMark/>
          </w:tcPr>
          <w:p w14:paraId="35157A34"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tc>
        <w:tc>
          <w:tcPr>
            <w:tcW w:w="1582" w:type="dxa"/>
            <w:tcBorders>
              <w:top w:val="nil"/>
              <w:left w:val="nil"/>
              <w:bottom w:val="single" w:sz="8" w:space="0" w:color="auto"/>
              <w:right w:val="single" w:sz="8" w:space="0" w:color="auto"/>
            </w:tcBorders>
            <w:noWrap/>
            <w:vAlign w:val="center"/>
            <w:hideMark/>
          </w:tcPr>
          <w:p w14:paraId="13FDEEA4"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72.86%</w:t>
            </w:r>
          </w:p>
        </w:tc>
        <w:tc>
          <w:tcPr>
            <w:tcW w:w="3434" w:type="dxa"/>
            <w:tcBorders>
              <w:top w:val="nil"/>
              <w:left w:val="nil"/>
              <w:bottom w:val="single" w:sz="8" w:space="0" w:color="auto"/>
              <w:right w:val="single" w:sz="8" w:space="0" w:color="auto"/>
            </w:tcBorders>
            <w:vAlign w:val="center"/>
            <w:hideMark/>
          </w:tcPr>
          <w:p w14:paraId="0FB8C393"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 - new measure not yet met.</w:t>
            </w:r>
          </w:p>
        </w:tc>
      </w:tr>
      <w:tr w:rsidR="00110FDB" w:rsidRPr="00AC1EB2" w14:paraId="435F88F3" w14:textId="77777777">
        <w:trPr>
          <w:trHeight w:val="315"/>
        </w:trPr>
        <w:tc>
          <w:tcPr>
            <w:tcW w:w="1659" w:type="dxa"/>
            <w:vMerge/>
            <w:tcBorders>
              <w:top w:val="nil"/>
              <w:left w:val="single" w:sz="8" w:space="0" w:color="auto"/>
              <w:bottom w:val="single" w:sz="8" w:space="0" w:color="000000"/>
              <w:right w:val="single" w:sz="8" w:space="0" w:color="auto"/>
            </w:tcBorders>
            <w:vAlign w:val="center"/>
            <w:hideMark/>
          </w:tcPr>
          <w:p w14:paraId="5ED44F5A"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11F51E84"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Open pathways to be waiting less than 36 weeks and maintained for 3 months. (Added 2025)</w:t>
            </w:r>
          </w:p>
        </w:tc>
        <w:tc>
          <w:tcPr>
            <w:tcW w:w="1581" w:type="dxa"/>
            <w:tcBorders>
              <w:top w:val="single" w:sz="8" w:space="0" w:color="auto"/>
              <w:left w:val="nil"/>
              <w:bottom w:val="single" w:sz="8" w:space="0" w:color="auto"/>
              <w:right w:val="single" w:sz="8" w:space="0" w:color="000000"/>
            </w:tcBorders>
            <w:shd w:val="clear" w:color="000000" w:fill="D9D9D9"/>
            <w:noWrap/>
            <w:vAlign w:val="center"/>
            <w:hideMark/>
          </w:tcPr>
          <w:p w14:paraId="03A07A3C"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tc>
        <w:tc>
          <w:tcPr>
            <w:tcW w:w="1582" w:type="dxa"/>
            <w:tcBorders>
              <w:top w:val="single" w:sz="8" w:space="0" w:color="auto"/>
              <w:left w:val="nil"/>
              <w:bottom w:val="single" w:sz="8" w:space="0" w:color="auto"/>
              <w:right w:val="single" w:sz="8" w:space="0" w:color="000000"/>
            </w:tcBorders>
            <w:noWrap/>
            <w:vAlign w:val="center"/>
            <w:hideMark/>
          </w:tcPr>
          <w:p w14:paraId="3E7DFFD4"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80%</w:t>
            </w:r>
          </w:p>
        </w:tc>
        <w:tc>
          <w:tcPr>
            <w:tcW w:w="1582" w:type="dxa"/>
            <w:tcBorders>
              <w:top w:val="nil"/>
              <w:left w:val="nil"/>
              <w:bottom w:val="single" w:sz="8" w:space="0" w:color="auto"/>
              <w:right w:val="single" w:sz="8" w:space="0" w:color="auto"/>
            </w:tcBorders>
            <w:shd w:val="clear" w:color="000000" w:fill="D9D9D9"/>
            <w:noWrap/>
            <w:vAlign w:val="center"/>
            <w:hideMark/>
          </w:tcPr>
          <w:p w14:paraId="02CC2C0E"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tc>
        <w:tc>
          <w:tcPr>
            <w:tcW w:w="1582" w:type="dxa"/>
            <w:tcBorders>
              <w:top w:val="nil"/>
              <w:left w:val="nil"/>
              <w:bottom w:val="single" w:sz="8" w:space="0" w:color="auto"/>
              <w:right w:val="single" w:sz="8" w:space="0" w:color="auto"/>
            </w:tcBorders>
            <w:noWrap/>
            <w:vAlign w:val="center"/>
            <w:hideMark/>
          </w:tcPr>
          <w:p w14:paraId="6DC2C5DD"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73.18%</w:t>
            </w:r>
          </w:p>
        </w:tc>
        <w:tc>
          <w:tcPr>
            <w:tcW w:w="3434" w:type="dxa"/>
            <w:tcBorders>
              <w:top w:val="nil"/>
              <w:left w:val="nil"/>
              <w:bottom w:val="single" w:sz="8" w:space="0" w:color="auto"/>
              <w:right w:val="single" w:sz="8" w:space="0" w:color="auto"/>
            </w:tcBorders>
            <w:vAlign w:val="center"/>
            <w:hideMark/>
          </w:tcPr>
          <w:p w14:paraId="642D92A4"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 - new measure not yet met.</w:t>
            </w:r>
          </w:p>
        </w:tc>
      </w:tr>
      <w:tr w:rsidR="00110FDB" w:rsidRPr="00AC1EB2" w14:paraId="17F43369"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4315B748"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3325194D"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Open Outpatient pathways to be waiting less than 26 weeks and maintained for 3 months. (Added 2025)</w:t>
            </w:r>
          </w:p>
        </w:tc>
        <w:tc>
          <w:tcPr>
            <w:tcW w:w="1581" w:type="dxa"/>
            <w:tcBorders>
              <w:top w:val="single" w:sz="8" w:space="0" w:color="auto"/>
              <w:left w:val="nil"/>
              <w:bottom w:val="single" w:sz="8" w:space="0" w:color="auto"/>
              <w:right w:val="single" w:sz="8" w:space="0" w:color="000000"/>
            </w:tcBorders>
            <w:shd w:val="clear" w:color="000000" w:fill="D9D9D9"/>
            <w:noWrap/>
            <w:vAlign w:val="center"/>
            <w:hideMark/>
          </w:tcPr>
          <w:p w14:paraId="31487823"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tc>
        <w:tc>
          <w:tcPr>
            <w:tcW w:w="1582" w:type="dxa"/>
            <w:tcBorders>
              <w:top w:val="single" w:sz="8" w:space="0" w:color="auto"/>
              <w:left w:val="nil"/>
              <w:bottom w:val="single" w:sz="8" w:space="0" w:color="auto"/>
              <w:right w:val="single" w:sz="8" w:space="0" w:color="000000"/>
            </w:tcBorders>
            <w:noWrap/>
            <w:vAlign w:val="center"/>
            <w:hideMark/>
          </w:tcPr>
          <w:p w14:paraId="4435B666"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75%</w:t>
            </w:r>
          </w:p>
        </w:tc>
        <w:tc>
          <w:tcPr>
            <w:tcW w:w="1582" w:type="dxa"/>
            <w:tcBorders>
              <w:top w:val="nil"/>
              <w:left w:val="nil"/>
              <w:bottom w:val="single" w:sz="8" w:space="0" w:color="auto"/>
              <w:right w:val="single" w:sz="8" w:space="0" w:color="auto"/>
            </w:tcBorders>
            <w:shd w:val="clear" w:color="000000" w:fill="D9D9D9"/>
            <w:noWrap/>
            <w:vAlign w:val="center"/>
            <w:hideMark/>
          </w:tcPr>
          <w:p w14:paraId="5BA33F2B"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tc>
        <w:tc>
          <w:tcPr>
            <w:tcW w:w="1582" w:type="dxa"/>
            <w:tcBorders>
              <w:top w:val="nil"/>
              <w:left w:val="nil"/>
              <w:bottom w:val="single" w:sz="8" w:space="0" w:color="auto"/>
              <w:right w:val="single" w:sz="8" w:space="0" w:color="auto"/>
            </w:tcBorders>
            <w:noWrap/>
            <w:vAlign w:val="center"/>
            <w:hideMark/>
          </w:tcPr>
          <w:p w14:paraId="20BB45D7"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72.86%</w:t>
            </w:r>
          </w:p>
        </w:tc>
        <w:tc>
          <w:tcPr>
            <w:tcW w:w="3434" w:type="dxa"/>
            <w:tcBorders>
              <w:top w:val="nil"/>
              <w:left w:val="nil"/>
              <w:bottom w:val="single" w:sz="8" w:space="0" w:color="auto"/>
              <w:right w:val="single" w:sz="8" w:space="0" w:color="auto"/>
            </w:tcBorders>
            <w:vAlign w:val="center"/>
            <w:hideMark/>
          </w:tcPr>
          <w:p w14:paraId="4B730E30"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 - new measure not yet met.</w:t>
            </w:r>
          </w:p>
        </w:tc>
      </w:tr>
      <w:tr w:rsidR="00110FDB" w:rsidRPr="00AC1EB2" w14:paraId="2D27D527"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0E65132C"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569D3229"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Patients waiting for a diagnostic test to be waiting less than 8 weeks and maintained for 3 months. (Added 2025)</w:t>
            </w:r>
          </w:p>
        </w:tc>
        <w:tc>
          <w:tcPr>
            <w:tcW w:w="1581" w:type="dxa"/>
            <w:tcBorders>
              <w:top w:val="single" w:sz="8" w:space="0" w:color="auto"/>
              <w:left w:val="nil"/>
              <w:bottom w:val="single" w:sz="8" w:space="0" w:color="auto"/>
              <w:right w:val="single" w:sz="8" w:space="0" w:color="000000"/>
            </w:tcBorders>
            <w:shd w:val="clear" w:color="000000" w:fill="D9D9D9"/>
            <w:noWrap/>
            <w:vAlign w:val="center"/>
            <w:hideMark/>
          </w:tcPr>
          <w:p w14:paraId="679A2B0E"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tc>
        <w:tc>
          <w:tcPr>
            <w:tcW w:w="1582" w:type="dxa"/>
            <w:tcBorders>
              <w:top w:val="single" w:sz="8" w:space="0" w:color="auto"/>
              <w:left w:val="nil"/>
              <w:bottom w:val="single" w:sz="8" w:space="0" w:color="auto"/>
              <w:right w:val="single" w:sz="8" w:space="0" w:color="000000"/>
            </w:tcBorders>
            <w:noWrap/>
            <w:vAlign w:val="center"/>
            <w:hideMark/>
          </w:tcPr>
          <w:p w14:paraId="2072A1F6"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85%</w:t>
            </w:r>
          </w:p>
        </w:tc>
        <w:tc>
          <w:tcPr>
            <w:tcW w:w="1582" w:type="dxa"/>
            <w:tcBorders>
              <w:top w:val="nil"/>
              <w:left w:val="nil"/>
              <w:bottom w:val="single" w:sz="8" w:space="0" w:color="auto"/>
              <w:right w:val="single" w:sz="8" w:space="0" w:color="auto"/>
            </w:tcBorders>
            <w:shd w:val="clear" w:color="000000" w:fill="D9D9D9"/>
            <w:noWrap/>
            <w:vAlign w:val="center"/>
            <w:hideMark/>
          </w:tcPr>
          <w:p w14:paraId="68BC2717"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tc>
        <w:tc>
          <w:tcPr>
            <w:tcW w:w="1582" w:type="dxa"/>
            <w:tcBorders>
              <w:top w:val="nil"/>
              <w:left w:val="nil"/>
              <w:bottom w:val="single" w:sz="8" w:space="0" w:color="auto"/>
              <w:right w:val="single" w:sz="8" w:space="0" w:color="auto"/>
            </w:tcBorders>
            <w:noWrap/>
            <w:vAlign w:val="center"/>
            <w:hideMark/>
          </w:tcPr>
          <w:p w14:paraId="15349D90"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81.31%</w:t>
            </w:r>
          </w:p>
        </w:tc>
        <w:tc>
          <w:tcPr>
            <w:tcW w:w="3434" w:type="dxa"/>
            <w:tcBorders>
              <w:top w:val="nil"/>
              <w:left w:val="nil"/>
              <w:bottom w:val="single" w:sz="8" w:space="0" w:color="auto"/>
              <w:right w:val="single" w:sz="8" w:space="0" w:color="auto"/>
            </w:tcBorders>
            <w:vAlign w:val="center"/>
            <w:hideMark/>
          </w:tcPr>
          <w:p w14:paraId="1E8D48A0"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 - new measure not yet met.</w:t>
            </w:r>
          </w:p>
        </w:tc>
      </w:tr>
      <w:tr w:rsidR="00110FDB" w:rsidRPr="00AC1EB2" w14:paraId="70A984E5"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6C290764"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7D0D7971"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Assessment of health board response and handling of concerns, complaints, incidents and patient experience feedback related to Planned Care. (Added 2025)</w:t>
            </w:r>
          </w:p>
        </w:tc>
        <w:tc>
          <w:tcPr>
            <w:tcW w:w="6327" w:type="dxa"/>
            <w:gridSpan w:val="4"/>
            <w:tcBorders>
              <w:top w:val="single" w:sz="8" w:space="0" w:color="auto"/>
              <w:left w:val="nil"/>
              <w:bottom w:val="single" w:sz="8" w:space="0" w:color="auto"/>
              <w:right w:val="single" w:sz="8" w:space="0" w:color="000000"/>
            </w:tcBorders>
            <w:noWrap/>
            <w:vAlign w:val="center"/>
            <w:hideMark/>
          </w:tcPr>
          <w:p w14:paraId="08F8D678"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Not reported</w:t>
            </w:r>
          </w:p>
        </w:tc>
        <w:tc>
          <w:tcPr>
            <w:tcW w:w="3434" w:type="dxa"/>
            <w:tcBorders>
              <w:top w:val="nil"/>
              <w:left w:val="nil"/>
              <w:bottom w:val="single" w:sz="8" w:space="0" w:color="auto"/>
              <w:right w:val="single" w:sz="8" w:space="0" w:color="auto"/>
            </w:tcBorders>
            <w:vAlign w:val="center"/>
            <w:hideMark/>
          </w:tcPr>
          <w:p w14:paraId="4D487B28" w14:textId="163C3041"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 xml:space="preserve">Not reported - see </w:t>
            </w:r>
            <w:r w:rsidR="00BE53AF">
              <w:rPr>
                <w:rFonts w:ascii="Aptos" w:eastAsia="Times New Roman" w:hAnsi="Aptos" w:cs="Calibri"/>
                <w:color w:val="000000"/>
                <w:sz w:val="20"/>
                <w:szCs w:val="20"/>
                <w:lang w:eastAsia="en-GB"/>
              </w:rPr>
              <w:t xml:space="preserve">Key Finding </w:t>
            </w:r>
            <w:r w:rsidR="00B52C80">
              <w:rPr>
                <w:rFonts w:ascii="Aptos" w:eastAsia="Times New Roman" w:hAnsi="Aptos" w:cs="Calibri"/>
                <w:color w:val="000000"/>
                <w:sz w:val="20"/>
                <w:szCs w:val="20"/>
                <w:lang w:eastAsia="en-GB"/>
              </w:rPr>
              <w:t>2</w:t>
            </w:r>
          </w:p>
        </w:tc>
      </w:tr>
      <w:tr w:rsidR="00110FDB" w:rsidRPr="00AC1EB2" w14:paraId="3B060FDE" w14:textId="77777777">
        <w:trPr>
          <w:trHeight w:val="1095"/>
        </w:trPr>
        <w:tc>
          <w:tcPr>
            <w:tcW w:w="1659" w:type="dxa"/>
            <w:tcBorders>
              <w:top w:val="nil"/>
              <w:left w:val="single" w:sz="8" w:space="0" w:color="auto"/>
              <w:bottom w:val="single" w:sz="8" w:space="0" w:color="auto"/>
              <w:right w:val="single" w:sz="8" w:space="0" w:color="auto"/>
            </w:tcBorders>
            <w:vAlign w:val="center"/>
            <w:hideMark/>
          </w:tcPr>
          <w:p w14:paraId="325C3D74" w14:textId="77777777" w:rsidR="00110FDB" w:rsidRPr="00AC1EB2" w:rsidRDefault="00110FDB">
            <w:pPr>
              <w:spacing w:after="0" w:line="240" w:lineRule="auto"/>
              <w:jc w:val="center"/>
              <w:rPr>
                <w:rFonts w:ascii="Aptos" w:eastAsia="Times New Roman" w:hAnsi="Aptos" w:cs="Calibri"/>
                <w:color w:val="000000"/>
                <w:lang w:eastAsia="en-GB"/>
              </w:rPr>
            </w:pPr>
            <w:r w:rsidRPr="00AC1EB2">
              <w:rPr>
                <w:rFonts w:ascii="Aptos" w:eastAsia="Times New Roman" w:hAnsi="Aptos" w:cs="Calibri"/>
                <w:color w:val="000000"/>
                <w:lang w:eastAsia="en-GB"/>
              </w:rPr>
              <w:lastRenderedPageBreak/>
              <w:t>Cancer</w:t>
            </w:r>
          </w:p>
        </w:tc>
        <w:tc>
          <w:tcPr>
            <w:tcW w:w="4535" w:type="dxa"/>
            <w:tcBorders>
              <w:top w:val="nil"/>
              <w:left w:val="nil"/>
              <w:bottom w:val="single" w:sz="8" w:space="0" w:color="auto"/>
              <w:right w:val="single" w:sz="8" w:space="0" w:color="auto"/>
            </w:tcBorders>
            <w:vAlign w:val="center"/>
            <w:hideMark/>
          </w:tcPr>
          <w:p w14:paraId="17AE5326"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Performance maintained for 3 months against the Single Cancer Pathway (SCP) target.</w:t>
            </w:r>
          </w:p>
        </w:tc>
        <w:tc>
          <w:tcPr>
            <w:tcW w:w="1581" w:type="dxa"/>
            <w:tcBorders>
              <w:top w:val="single" w:sz="8" w:space="0" w:color="auto"/>
              <w:left w:val="nil"/>
              <w:bottom w:val="single" w:sz="8" w:space="0" w:color="auto"/>
              <w:right w:val="single" w:sz="8" w:space="0" w:color="000000"/>
            </w:tcBorders>
            <w:noWrap/>
            <w:vAlign w:val="center"/>
            <w:hideMark/>
          </w:tcPr>
          <w:p w14:paraId="15B8A1A3"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57%</w:t>
            </w:r>
          </w:p>
        </w:tc>
        <w:tc>
          <w:tcPr>
            <w:tcW w:w="1582" w:type="dxa"/>
            <w:tcBorders>
              <w:top w:val="single" w:sz="8" w:space="0" w:color="auto"/>
              <w:left w:val="nil"/>
              <w:bottom w:val="single" w:sz="8" w:space="0" w:color="auto"/>
              <w:right w:val="single" w:sz="8" w:space="0" w:color="000000"/>
            </w:tcBorders>
            <w:noWrap/>
            <w:vAlign w:val="center"/>
            <w:hideMark/>
          </w:tcPr>
          <w:p w14:paraId="671DB2F8"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60%</w:t>
            </w:r>
          </w:p>
        </w:tc>
        <w:tc>
          <w:tcPr>
            <w:tcW w:w="1582" w:type="dxa"/>
            <w:tcBorders>
              <w:top w:val="nil"/>
              <w:left w:val="nil"/>
              <w:bottom w:val="single" w:sz="8" w:space="0" w:color="auto"/>
              <w:right w:val="single" w:sz="8" w:space="0" w:color="auto"/>
            </w:tcBorders>
            <w:noWrap/>
            <w:vAlign w:val="center"/>
            <w:hideMark/>
          </w:tcPr>
          <w:p w14:paraId="7967BC3E"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59%</w:t>
            </w:r>
          </w:p>
        </w:tc>
        <w:tc>
          <w:tcPr>
            <w:tcW w:w="1582" w:type="dxa"/>
            <w:tcBorders>
              <w:top w:val="nil"/>
              <w:left w:val="nil"/>
              <w:bottom w:val="single" w:sz="8" w:space="0" w:color="auto"/>
              <w:right w:val="single" w:sz="8" w:space="0" w:color="auto"/>
            </w:tcBorders>
            <w:shd w:val="clear" w:color="000000" w:fill="92D050"/>
            <w:noWrap/>
            <w:vAlign w:val="center"/>
            <w:hideMark/>
          </w:tcPr>
          <w:p w14:paraId="1BAD82C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61%</w:t>
            </w:r>
          </w:p>
        </w:tc>
        <w:tc>
          <w:tcPr>
            <w:tcW w:w="3434" w:type="dxa"/>
            <w:tcBorders>
              <w:top w:val="nil"/>
              <w:left w:val="nil"/>
              <w:bottom w:val="single" w:sz="8" w:space="0" w:color="auto"/>
              <w:right w:val="single" w:sz="8" w:space="0" w:color="auto"/>
            </w:tcBorders>
            <w:vAlign w:val="center"/>
            <w:hideMark/>
          </w:tcPr>
          <w:p w14:paraId="6A7F91B7" w14:textId="77777777" w:rsidR="00110FDB" w:rsidRPr="00AC1EB2" w:rsidRDefault="00110FDB">
            <w:pPr>
              <w:spacing w:after="0" w:line="240" w:lineRule="auto"/>
              <w:rPr>
                <w:rFonts w:ascii="Aptos" w:eastAsia="Times New Roman" w:hAnsi="Aptos" w:cs="Calibri"/>
                <w:color w:val="000000"/>
                <w:sz w:val="20"/>
                <w:szCs w:val="20"/>
                <w:lang w:eastAsia="en-GB"/>
              </w:rPr>
            </w:pPr>
            <w:r w:rsidRPr="00695091">
              <w:rPr>
                <w:rFonts w:ascii="Aptos" w:eastAsia="Times New Roman" w:hAnsi="Aptos" w:cs="Calibri"/>
                <w:color w:val="000000"/>
                <w:sz w:val="20"/>
                <w:szCs w:val="20"/>
                <w:lang w:eastAsia="en-GB"/>
              </w:rPr>
              <w:t xml:space="preserve">The 60% performance target </w:t>
            </w:r>
            <w:r>
              <w:rPr>
                <w:rFonts w:ascii="Aptos" w:eastAsia="Times New Roman" w:hAnsi="Aptos" w:cs="Calibri"/>
                <w:color w:val="000000"/>
                <w:sz w:val="20"/>
                <w:szCs w:val="20"/>
                <w:lang w:eastAsia="en-GB"/>
              </w:rPr>
              <w:t>has been</w:t>
            </w:r>
            <w:r w:rsidRPr="00695091">
              <w:rPr>
                <w:rFonts w:ascii="Aptos" w:eastAsia="Times New Roman" w:hAnsi="Aptos" w:cs="Calibri"/>
                <w:color w:val="000000"/>
                <w:sz w:val="20"/>
                <w:szCs w:val="20"/>
                <w:lang w:eastAsia="en-GB"/>
              </w:rPr>
              <w:t xml:space="preserve"> achieved on six separate occasions: June 2024, November 2024, December 2024, March 2025, April 2025, and July 2025. However, these instances were not sustained over the required three-month </w:t>
            </w:r>
            <w:proofErr w:type="gramStart"/>
            <w:r w:rsidRPr="00695091">
              <w:rPr>
                <w:rFonts w:ascii="Aptos" w:eastAsia="Times New Roman" w:hAnsi="Aptos" w:cs="Calibri"/>
                <w:color w:val="000000"/>
                <w:sz w:val="20"/>
                <w:szCs w:val="20"/>
                <w:lang w:eastAsia="en-GB"/>
              </w:rPr>
              <w:t>periods, and</w:t>
            </w:r>
            <w:proofErr w:type="gramEnd"/>
            <w:r w:rsidRPr="00695091">
              <w:rPr>
                <w:rFonts w:ascii="Aptos" w:eastAsia="Times New Roman" w:hAnsi="Aptos" w:cs="Calibri"/>
                <w:color w:val="000000"/>
                <w:sz w:val="20"/>
                <w:szCs w:val="20"/>
                <w:lang w:eastAsia="en-GB"/>
              </w:rPr>
              <w:t xml:space="preserve"> therefore do not meet the </w:t>
            </w:r>
            <w:r>
              <w:rPr>
                <w:rFonts w:ascii="Aptos" w:eastAsia="Times New Roman" w:hAnsi="Aptos" w:cs="Calibri"/>
                <w:color w:val="000000"/>
                <w:sz w:val="20"/>
                <w:szCs w:val="20"/>
                <w:lang w:eastAsia="en-GB"/>
              </w:rPr>
              <w:t xml:space="preserve">de-escalation </w:t>
            </w:r>
            <w:r w:rsidRPr="00695091">
              <w:rPr>
                <w:rFonts w:ascii="Aptos" w:eastAsia="Times New Roman" w:hAnsi="Aptos" w:cs="Calibri"/>
                <w:color w:val="000000"/>
                <w:sz w:val="20"/>
                <w:szCs w:val="20"/>
                <w:lang w:eastAsia="en-GB"/>
              </w:rPr>
              <w:t>criteria</w:t>
            </w:r>
            <w:r>
              <w:rPr>
                <w:rFonts w:ascii="Aptos" w:eastAsia="Times New Roman" w:hAnsi="Aptos" w:cs="Calibri"/>
                <w:color w:val="000000"/>
                <w:sz w:val="20"/>
                <w:szCs w:val="20"/>
                <w:lang w:eastAsia="en-GB"/>
              </w:rPr>
              <w:t>.</w:t>
            </w:r>
            <w:r w:rsidRPr="00695091">
              <w:rPr>
                <w:rFonts w:ascii="Aptos" w:eastAsia="Times New Roman" w:hAnsi="Aptos" w:cs="Calibri"/>
                <w:color w:val="000000"/>
                <w:sz w:val="20"/>
                <w:szCs w:val="20"/>
                <w:lang w:eastAsia="en-GB"/>
              </w:rPr>
              <w:t xml:space="preserve"> </w:t>
            </w:r>
          </w:p>
        </w:tc>
      </w:tr>
      <w:tr w:rsidR="00110FDB" w:rsidRPr="00AC1EB2" w14:paraId="72A64F5A" w14:textId="77777777">
        <w:trPr>
          <w:trHeight w:val="825"/>
        </w:trPr>
        <w:tc>
          <w:tcPr>
            <w:tcW w:w="1659" w:type="dxa"/>
            <w:vMerge w:val="restart"/>
            <w:tcBorders>
              <w:top w:val="nil"/>
              <w:left w:val="single" w:sz="8" w:space="0" w:color="auto"/>
              <w:bottom w:val="single" w:sz="8" w:space="0" w:color="000000"/>
              <w:right w:val="single" w:sz="8" w:space="0" w:color="auto"/>
            </w:tcBorders>
            <w:vAlign w:val="center"/>
            <w:hideMark/>
          </w:tcPr>
          <w:p w14:paraId="729B912F" w14:textId="77777777" w:rsidR="00110FDB" w:rsidRPr="00AC1EB2" w:rsidRDefault="00110FDB">
            <w:pPr>
              <w:spacing w:after="0" w:line="240" w:lineRule="auto"/>
              <w:jc w:val="center"/>
              <w:rPr>
                <w:rFonts w:ascii="Aptos" w:eastAsia="Times New Roman" w:hAnsi="Aptos" w:cs="Calibri"/>
                <w:color w:val="000000"/>
                <w:lang w:eastAsia="en-GB"/>
              </w:rPr>
            </w:pPr>
            <w:r w:rsidRPr="00AC1EB2">
              <w:rPr>
                <w:rFonts w:ascii="Aptos" w:eastAsia="Times New Roman" w:hAnsi="Aptos" w:cs="Calibri"/>
                <w:color w:val="000000"/>
                <w:lang w:eastAsia="en-GB"/>
              </w:rPr>
              <w:t>HCAI</w:t>
            </w:r>
          </w:p>
        </w:tc>
        <w:tc>
          <w:tcPr>
            <w:tcW w:w="4535" w:type="dxa"/>
            <w:tcBorders>
              <w:top w:val="nil"/>
              <w:left w:val="nil"/>
              <w:bottom w:val="single" w:sz="8" w:space="0" w:color="auto"/>
              <w:right w:val="single" w:sz="8" w:space="0" w:color="auto"/>
            </w:tcBorders>
            <w:vAlign w:val="center"/>
            <w:hideMark/>
          </w:tcPr>
          <w:p w14:paraId="551DBA99"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Stabilisation of the increased trajectory of cases of HCAI and evidence of continuous improvement accompanied by a strong QI approach and plan that has oversight and monitoring by board Quality Safety (Q&amp;S) Committee and Board.</w:t>
            </w:r>
          </w:p>
        </w:tc>
        <w:tc>
          <w:tcPr>
            <w:tcW w:w="6327" w:type="dxa"/>
            <w:gridSpan w:val="4"/>
            <w:tcBorders>
              <w:top w:val="single" w:sz="8" w:space="0" w:color="auto"/>
              <w:left w:val="nil"/>
              <w:bottom w:val="single" w:sz="8" w:space="0" w:color="auto"/>
              <w:right w:val="single" w:sz="8" w:space="0" w:color="000000"/>
            </w:tcBorders>
            <w:noWrap/>
            <w:vAlign w:val="center"/>
            <w:hideMark/>
          </w:tcPr>
          <w:p w14:paraId="708C699A"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p w14:paraId="55BC39F9"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p w14:paraId="3108D734" w14:textId="77777777" w:rsidR="00110FDB" w:rsidRPr="00AC1EB2" w:rsidRDefault="00110FDB">
            <w:pPr>
              <w:spacing w:after="0" w:line="240" w:lineRule="auto"/>
              <w:jc w:val="center"/>
              <w:rPr>
                <w:rFonts w:ascii="Aptos" w:eastAsia="Times New Roman" w:hAnsi="Aptos" w:cs="Calibri"/>
                <w:color w:val="000000"/>
                <w:sz w:val="16"/>
                <w:szCs w:val="16"/>
                <w:lang w:eastAsia="en-GB"/>
              </w:rPr>
            </w:pPr>
            <w:r w:rsidRPr="00AC1EB2">
              <w:rPr>
                <w:rFonts w:ascii="Aptos" w:eastAsia="Times New Roman" w:hAnsi="Aptos" w:cs="Calibri"/>
                <w:color w:val="000000"/>
                <w:sz w:val="16"/>
                <w:szCs w:val="16"/>
                <w:lang w:eastAsia="en-GB"/>
              </w:rPr>
              <w:t>Reported ‘</w:t>
            </w:r>
            <w:r w:rsidRPr="00AC1EB2">
              <w:rPr>
                <w:rFonts w:ascii="Aptos" w:eastAsia="Times New Roman" w:hAnsi="Aptos" w:cs="Calibri"/>
                <w:i/>
                <w:iCs/>
                <w:color w:val="000000"/>
                <w:sz w:val="16"/>
                <w:szCs w:val="16"/>
                <w:lang w:eastAsia="en-GB"/>
              </w:rPr>
              <w:t>Embedded Quality Improvement approach in this area, monitored closely via Q&amp;S Committee and Board.</w:t>
            </w:r>
            <w:r w:rsidRPr="00AC1EB2">
              <w:rPr>
                <w:rFonts w:ascii="Aptos" w:eastAsia="Times New Roman" w:hAnsi="Aptos" w:cs="Calibri"/>
                <w:color w:val="000000"/>
                <w:sz w:val="16"/>
                <w:szCs w:val="16"/>
                <w:lang w:eastAsia="en-GB"/>
              </w:rPr>
              <w:t>’</w:t>
            </w:r>
          </w:p>
        </w:tc>
        <w:tc>
          <w:tcPr>
            <w:tcW w:w="3434" w:type="dxa"/>
            <w:tcBorders>
              <w:top w:val="nil"/>
              <w:left w:val="single" w:sz="8" w:space="0" w:color="auto"/>
              <w:bottom w:val="single" w:sz="8" w:space="0" w:color="auto"/>
              <w:right w:val="single" w:sz="8" w:space="0" w:color="auto"/>
            </w:tcBorders>
            <w:vAlign w:val="center"/>
            <w:hideMark/>
          </w:tcPr>
          <w:p w14:paraId="3B34C640"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N/a</w:t>
            </w:r>
          </w:p>
        </w:tc>
      </w:tr>
      <w:tr w:rsidR="00110FDB" w:rsidRPr="00AC1EB2" w14:paraId="473310CF"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713F222F"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1E0F53E5"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The health board to have a clear improvement plan based on a root cause analysis to address the issue of hospital onset HCAIs.</w:t>
            </w:r>
          </w:p>
        </w:tc>
        <w:tc>
          <w:tcPr>
            <w:tcW w:w="6327" w:type="dxa"/>
            <w:gridSpan w:val="4"/>
            <w:tcBorders>
              <w:top w:val="single" w:sz="8" w:space="0" w:color="auto"/>
              <w:left w:val="nil"/>
              <w:bottom w:val="single" w:sz="8" w:space="0" w:color="auto"/>
              <w:right w:val="single" w:sz="8" w:space="0" w:color="000000"/>
            </w:tcBorders>
            <w:noWrap/>
            <w:vAlign w:val="center"/>
            <w:hideMark/>
          </w:tcPr>
          <w:p w14:paraId="4D12448B"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p w14:paraId="50DC65DB" w14:textId="77777777" w:rsidR="00110FDB" w:rsidRPr="00AC1EB2" w:rsidRDefault="00110FDB">
            <w:pPr>
              <w:spacing w:after="0" w:line="240" w:lineRule="auto"/>
              <w:rPr>
                <w:rFonts w:ascii="Aptos" w:eastAsia="Times New Roman" w:hAnsi="Aptos" w:cs="Calibri"/>
                <w:color w:val="000000"/>
                <w:lang w:eastAsia="en-GB"/>
              </w:rPr>
            </w:pPr>
            <w:r w:rsidRPr="00AC1EB2">
              <w:rPr>
                <w:rFonts w:ascii="Aptos" w:eastAsia="Times New Roman" w:hAnsi="Aptos" w:cs="Calibri"/>
                <w:color w:val="000000"/>
                <w:lang w:eastAsia="en-GB"/>
              </w:rPr>
              <w:t> </w:t>
            </w:r>
          </w:p>
          <w:p w14:paraId="323C68D6" w14:textId="77777777" w:rsidR="00110FDB" w:rsidRPr="00AC1EB2" w:rsidRDefault="00110FDB">
            <w:pPr>
              <w:spacing w:after="0" w:line="240" w:lineRule="auto"/>
              <w:jc w:val="center"/>
              <w:rPr>
                <w:rFonts w:ascii="Aptos" w:eastAsia="Times New Roman" w:hAnsi="Aptos" w:cs="Calibri"/>
                <w:color w:val="000000"/>
                <w:sz w:val="16"/>
                <w:szCs w:val="16"/>
                <w:lang w:eastAsia="en-GB"/>
              </w:rPr>
            </w:pPr>
            <w:r w:rsidRPr="00AC1EB2">
              <w:rPr>
                <w:rFonts w:ascii="Aptos" w:eastAsia="Times New Roman" w:hAnsi="Aptos" w:cs="Calibri"/>
                <w:color w:val="000000"/>
                <w:sz w:val="16"/>
                <w:szCs w:val="16"/>
                <w:lang w:eastAsia="en-GB"/>
              </w:rPr>
              <w:t>Reported as ‘</w:t>
            </w:r>
            <w:r w:rsidRPr="00AC1EB2">
              <w:rPr>
                <w:rFonts w:ascii="Aptos" w:eastAsia="Times New Roman" w:hAnsi="Aptos" w:cs="Calibri"/>
                <w:i/>
                <w:iCs/>
                <w:color w:val="000000"/>
                <w:sz w:val="16"/>
                <w:szCs w:val="16"/>
                <w:lang w:eastAsia="en-GB"/>
              </w:rPr>
              <w:t>in place</w:t>
            </w:r>
            <w:r w:rsidRPr="00AC1EB2">
              <w:rPr>
                <w:rFonts w:ascii="Aptos" w:eastAsia="Times New Roman" w:hAnsi="Aptos" w:cs="Calibri"/>
                <w:color w:val="000000"/>
                <w:sz w:val="16"/>
                <w:szCs w:val="16"/>
                <w:lang w:eastAsia="en-GB"/>
              </w:rPr>
              <w:t>’</w:t>
            </w:r>
          </w:p>
        </w:tc>
        <w:tc>
          <w:tcPr>
            <w:tcW w:w="3434" w:type="dxa"/>
            <w:tcBorders>
              <w:top w:val="nil"/>
              <w:left w:val="single" w:sz="8" w:space="0" w:color="auto"/>
              <w:bottom w:val="single" w:sz="8" w:space="0" w:color="auto"/>
              <w:right w:val="single" w:sz="8" w:space="0" w:color="auto"/>
            </w:tcBorders>
            <w:vAlign w:val="center"/>
            <w:hideMark/>
          </w:tcPr>
          <w:p w14:paraId="528EB142"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Actions reported through Escalation and Oversight report.</w:t>
            </w:r>
          </w:p>
        </w:tc>
      </w:tr>
      <w:tr w:rsidR="00110FDB" w:rsidRPr="00AC1EB2" w14:paraId="74F5B9B0" w14:textId="77777777">
        <w:trPr>
          <w:trHeight w:val="825"/>
        </w:trPr>
        <w:tc>
          <w:tcPr>
            <w:tcW w:w="1659" w:type="dxa"/>
            <w:vMerge/>
            <w:tcBorders>
              <w:top w:val="nil"/>
              <w:left w:val="single" w:sz="8" w:space="0" w:color="auto"/>
              <w:bottom w:val="single" w:sz="8" w:space="0" w:color="000000"/>
              <w:right w:val="single" w:sz="8" w:space="0" w:color="auto"/>
            </w:tcBorders>
            <w:vAlign w:val="center"/>
            <w:hideMark/>
          </w:tcPr>
          <w:p w14:paraId="0D18BB41"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08D46F3A"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C-Diff: reduce the number of hospital onset infections by 40% and maintain for 3 months (from a baseline of the average number of cases in quarter 3 of 10 cases to no more than 6 per month)</w:t>
            </w:r>
          </w:p>
        </w:tc>
        <w:tc>
          <w:tcPr>
            <w:tcW w:w="1581" w:type="dxa"/>
            <w:tcBorders>
              <w:top w:val="single" w:sz="8" w:space="0" w:color="auto"/>
              <w:left w:val="nil"/>
              <w:bottom w:val="single" w:sz="8" w:space="0" w:color="auto"/>
              <w:right w:val="single" w:sz="8" w:space="0" w:color="000000"/>
            </w:tcBorders>
            <w:noWrap/>
            <w:vAlign w:val="center"/>
            <w:hideMark/>
          </w:tcPr>
          <w:p w14:paraId="58BBC9E7"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 (per month)</w:t>
            </w:r>
          </w:p>
        </w:tc>
        <w:tc>
          <w:tcPr>
            <w:tcW w:w="1582" w:type="dxa"/>
            <w:tcBorders>
              <w:top w:val="single" w:sz="8" w:space="0" w:color="auto"/>
              <w:left w:val="nil"/>
              <w:bottom w:val="single" w:sz="8" w:space="0" w:color="auto"/>
              <w:right w:val="single" w:sz="8" w:space="0" w:color="000000"/>
            </w:tcBorders>
            <w:noWrap/>
            <w:vAlign w:val="center"/>
            <w:hideMark/>
          </w:tcPr>
          <w:p w14:paraId="373D87D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6&lt; (Reduce by 40%)</w:t>
            </w:r>
          </w:p>
        </w:tc>
        <w:tc>
          <w:tcPr>
            <w:tcW w:w="1582" w:type="dxa"/>
            <w:tcBorders>
              <w:top w:val="nil"/>
              <w:left w:val="nil"/>
              <w:bottom w:val="single" w:sz="8" w:space="0" w:color="auto"/>
              <w:right w:val="single" w:sz="8" w:space="0" w:color="auto"/>
            </w:tcBorders>
            <w:noWrap/>
            <w:vAlign w:val="center"/>
            <w:hideMark/>
          </w:tcPr>
          <w:p w14:paraId="4E915D02"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w:t>
            </w:r>
          </w:p>
        </w:tc>
        <w:tc>
          <w:tcPr>
            <w:tcW w:w="1582" w:type="dxa"/>
            <w:tcBorders>
              <w:top w:val="nil"/>
              <w:left w:val="nil"/>
              <w:bottom w:val="single" w:sz="8" w:space="0" w:color="auto"/>
              <w:right w:val="single" w:sz="8" w:space="0" w:color="auto"/>
            </w:tcBorders>
            <w:noWrap/>
            <w:vAlign w:val="center"/>
            <w:hideMark/>
          </w:tcPr>
          <w:p w14:paraId="39A9F303"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w:t>
            </w:r>
          </w:p>
        </w:tc>
        <w:tc>
          <w:tcPr>
            <w:tcW w:w="3434" w:type="dxa"/>
            <w:tcBorders>
              <w:top w:val="nil"/>
              <w:left w:val="nil"/>
              <w:bottom w:val="single" w:sz="8" w:space="0" w:color="auto"/>
              <w:right w:val="single" w:sz="8" w:space="0" w:color="auto"/>
            </w:tcBorders>
            <w:vAlign w:val="center"/>
            <w:hideMark/>
          </w:tcPr>
          <w:p w14:paraId="47DC9966"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w:t>
            </w:r>
            <w:r>
              <w:rPr>
                <w:rFonts w:ascii="Aptos" w:eastAsia="Times New Roman" w:hAnsi="Aptos" w:cs="Calibri"/>
                <w:color w:val="000000"/>
                <w:sz w:val="20"/>
                <w:szCs w:val="20"/>
                <w:lang w:eastAsia="en-GB"/>
              </w:rPr>
              <w:t xml:space="preserve">, </w:t>
            </w:r>
            <w:r w:rsidRPr="00AC1EB2">
              <w:rPr>
                <w:rFonts w:ascii="Aptos" w:eastAsia="Times New Roman" w:hAnsi="Aptos" w:cs="Calibri"/>
                <w:color w:val="000000"/>
                <w:sz w:val="20"/>
                <w:szCs w:val="20"/>
                <w:lang w:eastAsia="en-GB"/>
              </w:rPr>
              <w:t>only May 2025 under target</w:t>
            </w:r>
            <w:r>
              <w:rPr>
                <w:rFonts w:ascii="Aptos" w:eastAsia="Times New Roman" w:hAnsi="Aptos" w:cs="Calibri"/>
                <w:color w:val="000000"/>
                <w:sz w:val="20"/>
                <w:szCs w:val="20"/>
                <w:lang w:eastAsia="en-GB"/>
              </w:rPr>
              <w:t>, has been as high as 19 in October 2024 and January 2025.</w:t>
            </w:r>
          </w:p>
        </w:tc>
      </w:tr>
      <w:tr w:rsidR="00110FDB" w:rsidRPr="00AC1EB2" w14:paraId="3838AEE7" w14:textId="77777777">
        <w:trPr>
          <w:trHeight w:val="825"/>
        </w:trPr>
        <w:tc>
          <w:tcPr>
            <w:tcW w:w="1659" w:type="dxa"/>
            <w:vMerge/>
            <w:tcBorders>
              <w:top w:val="nil"/>
              <w:left w:val="single" w:sz="8" w:space="0" w:color="auto"/>
              <w:bottom w:val="single" w:sz="8" w:space="0" w:color="000000"/>
              <w:right w:val="single" w:sz="8" w:space="0" w:color="auto"/>
            </w:tcBorders>
            <w:vAlign w:val="center"/>
            <w:hideMark/>
          </w:tcPr>
          <w:p w14:paraId="11E19AC3"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16FAEE34"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Staph aureus: reduce the number of hospital onset infections by 25% and maintain for 3 months (from a baseline of the average number of cases in quarter 3 of 4 cases to no more than 3 per month)</w:t>
            </w:r>
          </w:p>
        </w:tc>
        <w:tc>
          <w:tcPr>
            <w:tcW w:w="1581" w:type="dxa"/>
            <w:tcBorders>
              <w:top w:val="single" w:sz="8" w:space="0" w:color="auto"/>
              <w:left w:val="nil"/>
              <w:bottom w:val="single" w:sz="8" w:space="0" w:color="auto"/>
              <w:right w:val="single" w:sz="8" w:space="0" w:color="000000"/>
            </w:tcBorders>
            <w:noWrap/>
            <w:vAlign w:val="center"/>
            <w:hideMark/>
          </w:tcPr>
          <w:p w14:paraId="3390FFAE"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4 (per month)</w:t>
            </w:r>
          </w:p>
        </w:tc>
        <w:tc>
          <w:tcPr>
            <w:tcW w:w="1582" w:type="dxa"/>
            <w:tcBorders>
              <w:top w:val="single" w:sz="8" w:space="0" w:color="auto"/>
              <w:left w:val="nil"/>
              <w:bottom w:val="single" w:sz="8" w:space="0" w:color="auto"/>
              <w:right w:val="single" w:sz="8" w:space="0" w:color="000000"/>
            </w:tcBorders>
            <w:noWrap/>
            <w:vAlign w:val="center"/>
            <w:hideMark/>
          </w:tcPr>
          <w:p w14:paraId="5CAD984A"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3&lt; (Reduce by 25%)</w:t>
            </w:r>
          </w:p>
        </w:tc>
        <w:tc>
          <w:tcPr>
            <w:tcW w:w="1582" w:type="dxa"/>
            <w:tcBorders>
              <w:top w:val="nil"/>
              <w:left w:val="nil"/>
              <w:bottom w:val="single" w:sz="8" w:space="0" w:color="auto"/>
              <w:right w:val="single" w:sz="8" w:space="0" w:color="auto"/>
            </w:tcBorders>
            <w:noWrap/>
            <w:vAlign w:val="center"/>
            <w:hideMark/>
          </w:tcPr>
          <w:p w14:paraId="0AB8462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4</w:t>
            </w:r>
          </w:p>
        </w:tc>
        <w:tc>
          <w:tcPr>
            <w:tcW w:w="1582" w:type="dxa"/>
            <w:tcBorders>
              <w:top w:val="nil"/>
              <w:left w:val="nil"/>
              <w:bottom w:val="single" w:sz="8" w:space="0" w:color="auto"/>
              <w:right w:val="single" w:sz="8" w:space="0" w:color="auto"/>
            </w:tcBorders>
            <w:noWrap/>
            <w:vAlign w:val="center"/>
            <w:hideMark/>
          </w:tcPr>
          <w:p w14:paraId="5A68C00D"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4</w:t>
            </w:r>
          </w:p>
        </w:tc>
        <w:tc>
          <w:tcPr>
            <w:tcW w:w="3434" w:type="dxa"/>
            <w:tcBorders>
              <w:top w:val="nil"/>
              <w:left w:val="nil"/>
              <w:bottom w:val="single" w:sz="8" w:space="0" w:color="auto"/>
              <w:right w:val="single" w:sz="8" w:space="0" w:color="auto"/>
            </w:tcBorders>
            <w:vAlign w:val="center"/>
            <w:hideMark/>
          </w:tcPr>
          <w:p w14:paraId="7F9CAA28"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w:t>
            </w:r>
            <w:r>
              <w:rPr>
                <w:rFonts w:ascii="Aptos" w:eastAsia="Times New Roman" w:hAnsi="Aptos" w:cs="Calibri"/>
                <w:color w:val="000000"/>
                <w:sz w:val="20"/>
                <w:szCs w:val="20"/>
                <w:lang w:eastAsia="en-GB"/>
              </w:rPr>
              <w:t xml:space="preserve">, </w:t>
            </w:r>
            <w:r w:rsidRPr="00AC1EB2">
              <w:rPr>
                <w:rFonts w:ascii="Aptos" w:eastAsia="Times New Roman" w:hAnsi="Aptos" w:cs="Calibri"/>
                <w:color w:val="000000"/>
                <w:sz w:val="20"/>
                <w:szCs w:val="20"/>
                <w:lang w:eastAsia="en-GB"/>
              </w:rPr>
              <w:t>only September 2024 &amp; March 2025 under target</w:t>
            </w:r>
            <w:r>
              <w:rPr>
                <w:rFonts w:ascii="Aptos" w:eastAsia="Times New Roman" w:hAnsi="Aptos" w:cs="Calibri"/>
                <w:color w:val="000000"/>
                <w:sz w:val="20"/>
                <w:szCs w:val="20"/>
                <w:lang w:eastAsia="en-GB"/>
              </w:rPr>
              <w:t>, has been as high as 8 in August 2024 and July 2025.</w:t>
            </w:r>
          </w:p>
        </w:tc>
      </w:tr>
      <w:tr w:rsidR="00110FDB" w:rsidRPr="00AC1EB2" w14:paraId="1668A3B4" w14:textId="77777777">
        <w:trPr>
          <w:trHeight w:val="825"/>
        </w:trPr>
        <w:tc>
          <w:tcPr>
            <w:tcW w:w="1659" w:type="dxa"/>
            <w:vMerge/>
            <w:tcBorders>
              <w:top w:val="nil"/>
              <w:left w:val="single" w:sz="8" w:space="0" w:color="auto"/>
              <w:bottom w:val="single" w:sz="8" w:space="0" w:color="000000"/>
              <w:right w:val="single" w:sz="8" w:space="0" w:color="auto"/>
            </w:tcBorders>
            <w:vAlign w:val="center"/>
            <w:hideMark/>
          </w:tcPr>
          <w:p w14:paraId="719A9CD2"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537F1A60"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E-coli: reduce the number of hospital onset infections by 20% and maintain for 3 months (from a baseline of the average number of cases in quarter 3 of 5 cases to no more than 4 per month)</w:t>
            </w:r>
          </w:p>
        </w:tc>
        <w:tc>
          <w:tcPr>
            <w:tcW w:w="1581" w:type="dxa"/>
            <w:tcBorders>
              <w:top w:val="single" w:sz="8" w:space="0" w:color="auto"/>
              <w:left w:val="nil"/>
              <w:bottom w:val="single" w:sz="8" w:space="0" w:color="auto"/>
              <w:right w:val="single" w:sz="8" w:space="0" w:color="000000"/>
            </w:tcBorders>
            <w:noWrap/>
            <w:vAlign w:val="center"/>
            <w:hideMark/>
          </w:tcPr>
          <w:p w14:paraId="4E23B8E7"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5 (per month)</w:t>
            </w:r>
          </w:p>
        </w:tc>
        <w:tc>
          <w:tcPr>
            <w:tcW w:w="1582" w:type="dxa"/>
            <w:tcBorders>
              <w:top w:val="single" w:sz="8" w:space="0" w:color="auto"/>
              <w:left w:val="nil"/>
              <w:bottom w:val="single" w:sz="8" w:space="0" w:color="auto"/>
              <w:right w:val="single" w:sz="8" w:space="0" w:color="000000"/>
            </w:tcBorders>
            <w:noWrap/>
            <w:vAlign w:val="center"/>
            <w:hideMark/>
          </w:tcPr>
          <w:p w14:paraId="4B796290"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4&lt; (Reduce by 20%)</w:t>
            </w:r>
          </w:p>
        </w:tc>
        <w:tc>
          <w:tcPr>
            <w:tcW w:w="1582" w:type="dxa"/>
            <w:tcBorders>
              <w:top w:val="nil"/>
              <w:left w:val="nil"/>
              <w:bottom w:val="single" w:sz="8" w:space="0" w:color="auto"/>
              <w:right w:val="single" w:sz="8" w:space="0" w:color="auto"/>
            </w:tcBorders>
            <w:noWrap/>
            <w:vAlign w:val="center"/>
            <w:hideMark/>
          </w:tcPr>
          <w:p w14:paraId="0AC716B1"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w:t>
            </w:r>
          </w:p>
        </w:tc>
        <w:tc>
          <w:tcPr>
            <w:tcW w:w="1582" w:type="dxa"/>
            <w:tcBorders>
              <w:top w:val="nil"/>
              <w:left w:val="nil"/>
              <w:bottom w:val="single" w:sz="8" w:space="0" w:color="auto"/>
              <w:right w:val="single" w:sz="8" w:space="0" w:color="auto"/>
            </w:tcBorders>
            <w:noWrap/>
            <w:vAlign w:val="center"/>
            <w:hideMark/>
          </w:tcPr>
          <w:p w14:paraId="12BE38C1"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5</w:t>
            </w:r>
          </w:p>
        </w:tc>
        <w:tc>
          <w:tcPr>
            <w:tcW w:w="3434" w:type="dxa"/>
            <w:tcBorders>
              <w:top w:val="nil"/>
              <w:left w:val="nil"/>
              <w:bottom w:val="single" w:sz="8" w:space="0" w:color="auto"/>
              <w:right w:val="single" w:sz="8" w:space="0" w:color="auto"/>
            </w:tcBorders>
            <w:vAlign w:val="center"/>
            <w:hideMark/>
          </w:tcPr>
          <w:p w14:paraId="2693FD49"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w:t>
            </w:r>
            <w:r>
              <w:rPr>
                <w:rFonts w:ascii="Aptos" w:eastAsia="Times New Roman" w:hAnsi="Aptos" w:cs="Calibri"/>
                <w:color w:val="000000"/>
                <w:sz w:val="20"/>
                <w:szCs w:val="20"/>
                <w:lang w:eastAsia="en-GB"/>
              </w:rPr>
              <w:t xml:space="preserve">, </w:t>
            </w:r>
            <w:r w:rsidRPr="00AC1EB2">
              <w:rPr>
                <w:rFonts w:ascii="Aptos" w:eastAsia="Times New Roman" w:hAnsi="Aptos" w:cs="Calibri"/>
                <w:color w:val="000000"/>
                <w:sz w:val="20"/>
                <w:szCs w:val="20"/>
                <w:lang w:eastAsia="en-GB"/>
              </w:rPr>
              <w:t>only September 2024 under target</w:t>
            </w:r>
            <w:r>
              <w:rPr>
                <w:rFonts w:ascii="Aptos" w:eastAsia="Times New Roman" w:hAnsi="Aptos" w:cs="Calibri"/>
                <w:color w:val="000000"/>
                <w:sz w:val="20"/>
                <w:szCs w:val="20"/>
                <w:lang w:eastAsia="en-GB"/>
              </w:rPr>
              <w:t>, and has been as high as 9 in January 2025 and July 2025</w:t>
            </w:r>
          </w:p>
        </w:tc>
      </w:tr>
      <w:tr w:rsidR="00110FDB" w:rsidRPr="00AC1EB2" w14:paraId="785D959C" w14:textId="77777777">
        <w:trPr>
          <w:trHeight w:val="825"/>
        </w:trPr>
        <w:tc>
          <w:tcPr>
            <w:tcW w:w="1659" w:type="dxa"/>
            <w:vMerge/>
            <w:tcBorders>
              <w:top w:val="nil"/>
              <w:left w:val="single" w:sz="8" w:space="0" w:color="auto"/>
              <w:bottom w:val="single" w:sz="8" w:space="0" w:color="000000"/>
              <w:right w:val="single" w:sz="8" w:space="0" w:color="auto"/>
            </w:tcBorders>
            <w:vAlign w:val="center"/>
            <w:hideMark/>
          </w:tcPr>
          <w:p w14:paraId="475CDD1F"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509BD8F5"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Klebsiella: reduce the number of hospital onset infections by 10% and maintain for 3 months based on 2017/18 figures (baseline – 54 cases in 2017/18, reduce to average of at most 4 per month)</w:t>
            </w:r>
          </w:p>
        </w:tc>
        <w:tc>
          <w:tcPr>
            <w:tcW w:w="1581" w:type="dxa"/>
            <w:tcBorders>
              <w:top w:val="single" w:sz="8" w:space="0" w:color="auto"/>
              <w:left w:val="nil"/>
              <w:bottom w:val="single" w:sz="8" w:space="0" w:color="auto"/>
              <w:right w:val="single" w:sz="8" w:space="0" w:color="000000"/>
            </w:tcBorders>
            <w:noWrap/>
            <w:vAlign w:val="center"/>
            <w:hideMark/>
          </w:tcPr>
          <w:p w14:paraId="05DF2206"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4 (per month)</w:t>
            </w:r>
          </w:p>
        </w:tc>
        <w:tc>
          <w:tcPr>
            <w:tcW w:w="1582" w:type="dxa"/>
            <w:tcBorders>
              <w:top w:val="single" w:sz="8" w:space="0" w:color="auto"/>
              <w:left w:val="nil"/>
              <w:bottom w:val="single" w:sz="8" w:space="0" w:color="auto"/>
              <w:right w:val="single" w:sz="8" w:space="0" w:color="000000"/>
            </w:tcBorders>
            <w:noWrap/>
            <w:vAlign w:val="center"/>
            <w:hideMark/>
          </w:tcPr>
          <w:p w14:paraId="5C28ECB0"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4&lt; (Reduce by 10%)</w:t>
            </w:r>
          </w:p>
        </w:tc>
        <w:tc>
          <w:tcPr>
            <w:tcW w:w="1582" w:type="dxa"/>
            <w:tcBorders>
              <w:top w:val="nil"/>
              <w:left w:val="nil"/>
              <w:bottom w:val="single" w:sz="8" w:space="0" w:color="auto"/>
              <w:right w:val="single" w:sz="8" w:space="0" w:color="auto"/>
            </w:tcBorders>
            <w:noWrap/>
            <w:vAlign w:val="center"/>
            <w:hideMark/>
          </w:tcPr>
          <w:p w14:paraId="290CF1BB"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w:t>
            </w:r>
          </w:p>
        </w:tc>
        <w:tc>
          <w:tcPr>
            <w:tcW w:w="1582" w:type="dxa"/>
            <w:tcBorders>
              <w:top w:val="nil"/>
              <w:left w:val="nil"/>
              <w:bottom w:val="single" w:sz="8" w:space="0" w:color="auto"/>
              <w:right w:val="single" w:sz="8" w:space="0" w:color="auto"/>
            </w:tcBorders>
            <w:noWrap/>
            <w:vAlign w:val="center"/>
            <w:hideMark/>
          </w:tcPr>
          <w:p w14:paraId="70A26BF2"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5</w:t>
            </w:r>
          </w:p>
        </w:tc>
        <w:tc>
          <w:tcPr>
            <w:tcW w:w="3434" w:type="dxa"/>
            <w:tcBorders>
              <w:top w:val="nil"/>
              <w:left w:val="nil"/>
              <w:bottom w:val="single" w:sz="8" w:space="0" w:color="auto"/>
              <w:right w:val="single" w:sz="8" w:space="0" w:color="auto"/>
            </w:tcBorders>
            <w:vAlign w:val="center"/>
            <w:hideMark/>
          </w:tcPr>
          <w:p w14:paraId="22141B07"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w:t>
            </w:r>
            <w:r>
              <w:rPr>
                <w:rFonts w:ascii="Aptos" w:eastAsia="Times New Roman" w:hAnsi="Aptos" w:cs="Calibri"/>
                <w:color w:val="000000"/>
                <w:sz w:val="20"/>
                <w:szCs w:val="20"/>
                <w:lang w:eastAsia="en-GB"/>
              </w:rPr>
              <w:t>,</w:t>
            </w:r>
            <w:r w:rsidRPr="00AC1EB2">
              <w:rPr>
                <w:rFonts w:ascii="Aptos" w:eastAsia="Times New Roman" w:hAnsi="Aptos" w:cs="Calibri"/>
                <w:color w:val="000000"/>
                <w:sz w:val="20"/>
                <w:szCs w:val="20"/>
                <w:lang w:eastAsia="en-GB"/>
              </w:rPr>
              <w:t xml:space="preserve"> only</w:t>
            </w:r>
            <w:r>
              <w:rPr>
                <w:rFonts w:ascii="Aptos" w:eastAsia="Times New Roman" w:hAnsi="Aptos" w:cs="Calibri"/>
                <w:color w:val="000000"/>
                <w:sz w:val="20"/>
                <w:szCs w:val="20"/>
                <w:lang w:eastAsia="en-GB"/>
              </w:rPr>
              <w:t xml:space="preserve"> November 2024 and</w:t>
            </w:r>
            <w:r w:rsidRPr="00AC1EB2">
              <w:rPr>
                <w:rFonts w:ascii="Aptos" w:eastAsia="Times New Roman" w:hAnsi="Aptos" w:cs="Calibri"/>
                <w:color w:val="000000"/>
                <w:sz w:val="20"/>
                <w:szCs w:val="20"/>
                <w:lang w:eastAsia="en-GB"/>
              </w:rPr>
              <w:t xml:space="preserve"> February 2025 under target</w:t>
            </w:r>
            <w:r>
              <w:rPr>
                <w:rFonts w:ascii="Aptos" w:eastAsia="Times New Roman" w:hAnsi="Aptos" w:cs="Calibri"/>
                <w:color w:val="000000"/>
                <w:sz w:val="20"/>
                <w:szCs w:val="20"/>
                <w:lang w:eastAsia="en-GB"/>
              </w:rPr>
              <w:t>, with 7 reported in June 2025.</w:t>
            </w:r>
          </w:p>
        </w:tc>
      </w:tr>
      <w:tr w:rsidR="00110FDB" w:rsidRPr="00AC1EB2" w14:paraId="3B636D16" w14:textId="77777777">
        <w:trPr>
          <w:trHeight w:val="555"/>
        </w:trPr>
        <w:tc>
          <w:tcPr>
            <w:tcW w:w="1659" w:type="dxa"/>
            <w:vMerge w:val="restart"/>
            <w:tcBorders>
              <w:top w:val="nil"/>
              <w:left w:val="single" w:sz="8" w:space="0" w:color="auto"/>
              <w:bottom w:val="single" w:sz="8" w:space="0" w:color="000000"/>
              <w:right w:val="single" w:sz="8" w:space="0" w:color="auto"/>
            </w:tcBorders>
            <w:vAlign w:val="center"/>
            <w:hideMark/>
          </w:tcPr>
          <w:p w14:paraId="3941791C" w14:textId="77777777" w:rsidR="00110FDB" w:rsidRPr="00AC1EB2" w:rsidRDefault="00110FDB">
            <w:pPr>
              <w:spacing w:after="0" w:line="240" w:lineRule="auto"/>
              <w:jc w:val="center"/>
              <w:rPr>
                <w:rFonts w:ascii="Aptos" w:eastAsia="Times New Roman" w:hAnsi="Aptos" w:cs="Calibri"/>
                <w:color w:val="000000"/>
                <w:lang w:eastAsia="en-GB"/>
              </w:rPr>
            </w:pPr>
            <w:r w:rsidRPr="00AC1EB2">
              <w:rPr>
                <w:rFonts w:ascii="Aptos" w:eastAsia="Times New Roman" w:hAnsi="Aptos" w:cs="Calibri"/>
                <w:color w:val="000000"/>
                <w:lang w:eastAsia="en-GB"/>
              </w:rPr>
              <w:lastRenderedPageBreak/>
              <w:t>CAMHS</w:t>
            </w:r>
          </w:p>
        </w:tc>
        <w:tc>
          <w:tcPr>
            <w:tcW w:w="4535" w:type="dxa"/>
            <w:tcBorders>
              <w:top w:val="nil"/>
              <w:left w:val="nil"/>
              <w:bottom w:val="single" w:sz="8" w:space="0" w:color="auto"/>
              <w:right w:val="single" w:sz="8" w:space="0" w:color="auto"/>
            </w:tcBorders>
            <w:vAlign w:val="center"/>
            <w:hideMark/>
          </w:tcPr>
          <w:p w14:paraId="1FCFEF55"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Local Primary Mental Health Support Service (LPMHSS) mental health assessments undertaken within 28 days from the date of receipt of referral.</w:t>
            </w:r>
          </w:p>
        </w:tc>
        <w:tc>
          <w:tcPr>
            <w:tcW w:w="1581" w:type="dxa"/>
            <w:tcBorders>
              <w:top w:val="single" w:sz="8" w:space="0" w:color="auto"/>
              <w:left w:val="nil"/>
              <w:bottom w:val="single" w:sz="8" w:space="0" w:color="auto"/>
              <w:right w:val="single" w:sz="8" w:space="0" w:color="000000"/>
            </w:tcBorders>
            <w:noWrap/>
            <w:vAlign w:val="center"/>
            <w:hideMark/>
          </w:tcPr>
          <w:p w14:paraId="071D404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56.40%</w:t>
            </w:r>
          </w:p>
        </w:tc>
        <w:tc>
          <w:tcPr>
            <w:tcW w:w="1582" w:type="dxa"/>
            <w:tcBorders>
              <w:top w:val="single" w:sz="8" w:space="0" w:color="auto"/>
              <w:left w:val="nil"/>
              <w:bottom w:val="single" w:sz="8" w:space="0" w:color="auto"/>
              <w:right w:val="single" w:sz="8" w:space="0" w:color="000000"/>
            </w:tcBorders>
            <w:noWrap/>
            <w:vAlign w:val="center"/>
            <w:hideMark/>
          </w:tcPr>
          <w:p w14:paraId="0837F109"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80%</w:t>
            </w:r>
          </w:p>
        </w:tc>
        <w:tc>
          <w:tcPr>
            <w:tcW w:w="1582" w:type="dxa"/>
            <w:tcBorders>
              <w:top w:val="nil"/>
              <w:left w:val="nil"/>
              <w:bottom w:val="single" w:sz="8" w:space="0" w:color="auto"/>
              <w:right w:val="single" w:sz="8" w:space="0" w:color="auto"/>
            </w:tcBorders>
            <w:noWrap/>
            <w:vAlign w:val="center"/>
            <w:hideMark/>
          </w:tcPr>
          <w:p w14:paraId="6526A8CE"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62%</w:t>
            </w:r>
          </w:p>
        </w:tc>
        <w:tc>
          <w:tcPr>
            <w:tcW w:w="1582" w:type="dxa"/>
            <w:tcBorders>
              <w:top w:val="nil"/>
              <w:left w:val="nil"/>
              <w:bottom w:val="single" w:sz="8" w:space="0" w:color="auto"/>
              <w:right w:val="single" w:sz="8" w:space="0" w:color="auto"/>
            </w:tcBorders>
            <w:shd w:val="clear" w:color="000000" w:fill="92D050"/>
            <w:noWrap/>
            <w:vAlign w:val="center"/>
            <w:hideMark/>
          </w:tcPr>
          <w:p w14:paraId="1726CC11" w14:textId="77777777" w:rsidR="00110FDB" w:rsidRPr="00AC1EB2" w:rsidRDefault="00110FDB">
            <w:pPr>
              <w:spacing w:after="0" w:line="240" w:lineRule="auto"/>
              <w:jc w:val="center"/>
              <w:rPr>
                <w:rFonts w:ascii="Calibri" w:eastAsia="Times New Roman" w:hAnsi="Calibri" w:cs="Calibri"/>
                <w:color w:val="0563C1"/>
                <w:u w:val="single"/>
                <w:lang w:eastAsia="en-GB"/>
              </w:rPr>
            </w:pPr>
            <w:hyperlink r:id="rId25" w:anchor="RANGE!A40" w:history="1">
              <w:r w:rsidRPr="00AC1EB2">
                <w:rPr>
                  <w:rFonts w:ascii="Calibri" w:eastAsia="Times New Roman" w:hAnsi="Calibri" w:cs="Calibri"/>
                  <w:color w:val="0563C1"/>
                  <w:u w:val="single"/>
                  <w:lang w:eastAsia="en-GB"/>
                </w:rPr>
                <w:t>81</w:t>
              </w:r>
              <w:proofErr w:type="gramStart"/>
              <w:r w:rsidRPr="00AC1EB2">
                <w:rPr>
                  <w:rFonts w:ascii="Calibri" w:eastAsia="Times New Roman" w:hAnsi="Calibri" w:cs="Calibri"/>
                  <w:color w:val="0563C1"/>
                  <w:u w:val="single"/>
                  <w:lang w:eastAsia="en-GB"/>
                </w:rPr>
                <w:t>%[</w:t>
              </w:r>
              <w:proofErr w:type="gramEnd"/>
              <w:r w:rsidRPr="00AC1EB2">
                <w:rPr>
                  <w:rFonts w:ascii="Calibri" w:eastAsia="Times New Roman" w:hAnsi="Calibri" w:cs="Calibri"/>
                  <w:color w:val="0563C1"/>
                  <w:u w:val="single"/>
                  <w:lang w:eastAsia="en-GB"/>
                </w:rPr>
                <w:t>3]</w:t>
              </w:r>
            </w:hyperlink>
          </w:p>
        </w:tc>
        <w:tc>
          <w:tcPr>
            <w:tcW w:w="3434" w:type="dxa"/>
            <w:tcBorders>
              <w:top w:val="nil"/>
              <w:left w:val="nil"/>
              <w:bottom w:val="single" w:sz="8" w:space="0" w:color="auto"/>
              <w:right w:val="single" w:sz="8" w:space="0" w:color="auto"/>
            </w:tcBorders>
            <w:vAlign w:val="center"/>
            <w:hideMark/>
          </w:tcPr>
          <w:p w14:paraId="466F6ADD"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Yes, although periods under target (January, February, March, May 2025)</w:t>
            </w:r>
          </w:p>
        </w:tc>
      </w:tr>
      <w:tr w:rsidR="00110FDB" w:rsidRPr="00AC1EB2" w14:paraId="334E0E86" w14:textId="77777777">
        <w:trPr>
          <w:trHeight w:val="315"/>
        </w:trPr>
        <w:tc>
          <w:tcPr>
            <w:tcW w:w="1659" w:type="dxa"/>
            <w:vMerge/>
            <w:tcBorders>
              <w:top w:val="nil"/>
              <w:left w:val="single" w:sz="8" w:space="0" w:color="auto"/>
              <w:bottom w:val="single" w:sz="8" w:space="0" w:color="000000"/>
              <w:right w:val="single" w:sz="8" w:space="0" w:color="auto"/>
            </w:tcBorders>
            <w:vAlign w:val="center"/>
            <w:hideMark/>
          </w:tcPr>
          <w:p w14:paraId="705CC5CC"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321D1706"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 xml:space="preserve">Therapeutic interventions started within 28 days following an assessment by LPMHSS. </w:t>
            </w:r>
          </w:p>
        </w:tc>
        <w:tc>
          <w:tcPr>
            <w:tcW w:w="1581" w:type="dxa"/>
            <w:tcBorders>
              <w:top w:val="single" w:sz="8" w:space="0" w:color="auto"/>
              <w:left w:val="nil"/>
              <w:bottom w:val="single" w:sz="8" w:space="0" w:color="auto"/>
              <w:right w:val="single" w:sz="8" w:space="0" w:color="000000"/>
            </w:tcBorders>
            <w:noWrap/>
            <w:vAlign w:val="center"/>
            <w:hideMark/>
          </w:tcPr>
          <w:p w14:paraId="21091B05"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95%</w:t>
            </w:r>
          </w:p>
        </w:tc>
        <w:tc>
          <w:tcPr>
            <w:tcW w:w="1582" w:type="dxa"/>
            <w:tcBorders>
              <w:top w:val="single" w:sz="8" w:space="0" w:color="auto"/>
              <w:left w:val="nil"/>
              <w:bottom w:val="single" w:sz="8" w:space="0" w:color="auto"/>
              <w:right w:val="single" w:sz="8" w:space="0" w:color="000000"/>
            </w:tcBorders>
            <w:noWrap/>
            <w:vAlign w:val="center"/>
            <w:hideMark/>
          </w:tcPr>
          <w:p w14:paraId="755E607C"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65% (70%)</w:t>
            </w:r>
          </w:p>
        </w:tc>
        <w:tc>
          <w:tcPr>
            <w:tcW w:w="1582" w:type="dxa"/>
            <w:tcBorders>
              <w:top w:val="nil"/>
              <w:left w:val="nil"/>
              <w:bottom w:val="single" w:sz="8" w:space="0" w:color="auto"/>
              <w:right w:val="single" w:sz="8" w:space="0" w:color="auto"/>
            </w:tcBorders>
            <w:noWrap/>
            <w:vAlign w:val="center"/>
            <w:hideMark/>
          </w:tcPr>
          <w:p w14:paraId="40A874CD"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1582" w:type="dxa"/>
            <w:tcBorders>
              <w:top w:val="nil"/>
              <w:left w:val="nil"/>
              <w:bottom w:val="single" w:sz="8" w:space="0" w:color="auto"/>
              <w:right w:val="single" w:sz="8" w:space="0" w:color="auto"/>
            </w:tcBorders>
            <w:noWrap/>
            <w:vAlign w:val="center"/>
            <w:hideMark/>
          </w:tcPr>
          <w:p w14:paraId="1995AAC7"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53%</w:t>
            </w:r>
          </w:p>
        </w:tc>
        <w:tc>
          <w:tcPr>
            <w:tcW w:w="3434" w:type="dxa"/>
            <w:tcBorders>
              <w:top w:val="nil"/>
              <w:left w:val="nil"/>
              <w:bottom w:val="single" w:sz="8" w:space="0" w:color="auto"/>
              <w:right w:val="single" w:sz="8" w:space="0" w:color="auto"/>
            </w:tcBorders>
            <w:vAlign w:val="center"/>
            <w:hideMark/>
          </w:tcPr>
          <w:p w14:paraId="1DC540A7"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Yes, but not since March 2025</w:t>
            </w:r>
          </w:p>
        </w:tc>
      </w:tr>
      <w:tr w:rsidR="00110FDB" w:rsidRPr="00AC1EB2" w14:paraId="51B85693"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54900BF0"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3526C730"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 xml:space="preserve">Health board residents in receipt of secondary mental health services who have a valid care and treatment plan. </w:t>
            </w:r>
          </w:p>
        </w:tc>
        <w:tc>
          <w:tcPr>
            <w:tcW w:w="1581" w:type="dxa"/>
            <w:tcBorders>
              <w:top w:val="single" w:sz="8" w:space="0" w:color="auto"/>
              <w:left w:val="nil"/>
              <w:bottom w:val="single" w:sz="8" w:space="0" w:color="auto"/>
              <w:right w:val="single" w:sz="8" w:space="0" w:color="000000"/>
            </w:tcBorders>
            <w:noWrap/>
            <w:vAlign w:val="center"/>
            <w:hideMark/>
          </w:tcPr>
          <w:p w14:paraId="2BB43D7A"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92%</w:t>
            </w:r>
          </w:p>
        </w:tc>
        <w:tc>
          <w:tcPr>
            <w:tcW w:w="1582" w:type="dxa"/>
            <w:tcBorders>
              <w:top w:val="single" w:sz="8" w:space="0" w:color="auto"/>
              <w:left w:val="nil"/>
              <w:bottom w:val="single" w:sz="8" w:space="0" w:color="auto"/>
              <w:right w:val="single" w:sz="8" w:space="0" w:color="000000"/>
            </w:tcBorders>
            <w:noWrap/>
            <w:vAlign w:val="center"/>
            <w:hideMark/>
          </w:tcPr>
          <w:p w14:paraId="3CA73E46"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80% (85%)</w:t>
            </w:r>
          </w:p>
        </w:tc>
        <w:tc>
          <w:tcPr>
            <w:tcW w:w="1582" w:type="dxa"/>
            <w:tcBorders>
              <w:top w:val="nil"/>
              <w:left w:val="nil"/>
              <w:bottom w:val="single" w:sz="8" w:space="0" w:color="auto"/>
              <w:right w:val="single" w:sz="8" w:space="0" w:color="auto"/>
            </w:tcBorders>
            <w:noWrap/>
            <w:vAlign w:val="center"/>
            <w:hideMark/>
          </w:tcPr>
          <w:p w14:paraId="770CCBCF"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100%</w:t>
            </w:r>
          </w:p>
        </w:tc>
        <w:tc>
          <w:tcPr>
            <w:tcW w:w="1582" w:type="dxa"/>
            <w:tcBorders>
              <w:top w:val="nil"/>
              <w:left w:val="nil"/>
              <w:bottom w:val="single" w:sz="8" w:space="0" w:color="auto"/>
              <w:right w:val="single" w:sz="8" w:space="0" w:color="auto"/>
            </w:tcBorders>
            <w:shd w:val="clear" w:color="000000" w:fill="92D050"/>
            <w:noWrap/>
            <w:vAlign w:val="center"/>
            <w:hideMark/>
          </w:tcPr>
          <w:p w14:paraId="40F3AFDF"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93%</w:t>
            </w:r>
          </w:p>
        </w:tc>
        <w:tc>
          <w:tcPr>
            <w:tcW w:w="3434" w:type="dxa"/>
            <w:tcBorders>
              <w:top w:val="nil"/>
              <w:left w:val="nil"/>
              <w:bottom w:val="single" w:sz="8" w:space="0" w:color="auto"/>
              <w:right w:val="single" w:sz="8" w:space="0" w:color="auto"/>
            </w:tcBorders>
            <w:vAlign w:val="center"/>
            <w:hideMark/>
          </w:tcPr>
          <w:p w14:paraId="5FAED899"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Yes (May 2024 onwards).</w:t>
            </w:r>
          </w:p>
        </w:tc>
      </w:tr>
      <w:tr w:rsidR="00110FDB" w:rsidRPr="00AC1EB2" w14:paraId="3E58BE14" w14:textId="77777777">
        <w:trPr>
          <w:trHeight w:val="555"/>
        </w:trPr>
        <w:tc>
          <w:tcPr>
            <w:tcW w:w="1659" w:type="dxa"/>
            <w:vMerge/>
            <w:tcBorders>
              <w:top w:val="nil"/>
              <w:left w:val="single" w:sz="8" w:space="0" w:color="auto"/>
              <w:bottom w:val="single" w:sz="8" w:space="0" w:color="000000"/>
              <w:right w:val="single" w:sz="8" w:space="0" w:color="auto"/>
            </w:tcBorders>
            <w:vAlign w:val="center"/>
            <w:hideMark/>
          </w:tcPr>
          <w:p w14:paraId="27DE1BF2"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0EE2E4E4"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Demonstrate a prompt response to any Health Inspectorate Wales inspections, concerns, incidents, never-events, coroners requests and regulation 28s.</w:t>
            </w:r>
          </w:p>
        </w:tc>
        <w:tc>
          <w:tcPr>
            <w:tcW w:w="6327" w:type="dxa"/>
            <w:gridSpan w:val="4"/>
            <w:tcBorders>
              <w:top w:val="single" w:sz="8" w:space="0" w:color="auto"/>
              <w:left w:val="nil"/>
              <w:bottom w:val="single" w:sz="8" w:space="0" w:color="auto"/>
              <w:right w:val="single" w:sz="8" w:space="0" w:color="000000"/>
            </w:tcBorders>
            <w:noWrap/>
            <w:vAlign w:val="center"/>
            <w:hideMark/>
          </w:tcPr>
          <w:p w14:paraId="3173A75E"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Not reported</w:t>
            </w:r>
          </w:p>
        </w:tc>
        <w:tc>
          <w:tcPr>
            <w:tcW w:w="3434" w:type="dxa"/>
            <w:vMerge w:val="restart"/>
            <w:tcBorders>
              <w:top w:val="nil"/>
              <w:left w:val="single" w:sz="8" w:space="0" w:color="auto"/>
              <w:bottom w:val="single" w:sz="8" w:space="0" w:color="000000"/>
              <w:right w:val="single" w:sz="8" w:space="0" w:color="auto"/>
            </w:tcBorders>
            <w:vAlign w:val="center"/>
            <w:hideMark/>
          </w:tcPr>
          <w:p w14:paraId="3CE87EE4" w14:textId="4EE46083"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 xml:space="preserve">Not reported - see </w:t>
            </w:r>
            <w:r w:rsidR="00B52C80">
              <w:rPr>
                <w:rFonts w:ascii="Aptos" w:eastAsia="Times New Roman" w:hAnsi="Aptos" w:cs="Calibri"/>
                <w:color w:val="000000"/>
                <w:sz w:val="20"/>
                <w:szCs w:val="20"/>
                <w:lang w:eastAsia="en-GB"/>
              </w:rPr>
              <w:t>K</w:t>
            </w:r>
            <w:r w:rsidRPr="00AC1EB2">
              <w:rPr>
                <w:rFonts w:ascii="Aptos" w:eastAsia="Times New Roman" w:hAnsi="Aptos" w:cs="Calibri"/>
                <w:color w:val="000000"/>
                <w:sz w:val="20"/>
                <w:szCs w:val="20"/>
                <w:lang w:eastAsia="en-GB"/>
              </w:rPr>
              <w:t xml:space="preserve">ey </w:t>
            </w:r>
            <w:r w:rsidR="00B52C80">
              <w:rPr>
                <w:rFonts w:ascii="Aptos" w:eastAsia="Times New Roman" w:hAnsi="Aptos" w:cs="Calibri"/>
                <w:color w:val="000000"/>
                <w:sz w:val="20"/>
                <w:szCs w:val="20"/>
                <w:lang w:eastAsia="en-GB"/>
              </w:rPr>
              <w:t>Finding 2</w:t>
            </w:r>
          </w:p>
        </w:tc>
      </w:tr>
      <w:tr w:rsidR="00110FDB" w:rsidRPr="00AC1EB2" w14:paraId="60C9AAEC" w14:textId="77777777">
        <w:trPr>
          <w:trHeight w:val="315"/>
        </w:trPr>
        <w:tc>
          <w:tcPr>
            <w:tcW w:w="1659" w:type="dxa"/>
            <w:vMerge/>
            <w:tcBorders>
              <w:top w:val="nil"/>
              <w:left w:val="single" w:sz="8" w:space="0" w:color="auto"/>
              <w:bottom w:val="single" w:sz="8" w:space="0" w:color="000000"/>
              <w:right w:val="single" w:sz="8" w:space="0" w:color="auto"/>
            </w:tcBorders>
            <w:vAlign w:val="center"/>
            <w:hideMark/>
          </w:tcPr>
          <w:p w14:paraId="6D80E984" w14:textId="77777777" w:rsidR="00110FDB" w:rsidRPr="00AC1EB2" w:rsidRDefault="00110FDB">
            <w:pPr>
              <w:spacing w:after="0" w:line="240" w:lineRule="auto"/>
              <w:rPr>
                <w:rFonts w:ascii="Aptos" w:eastAsia="Times New Roman" w:hAnsi="Aptos" w:cs="Calibri"/>
                <w:color w:val="000000"/>
                <w:lang w:eastAsia="en-GB"/>
              </w:rPr>
            </w:pPr>
          </w:p>
        </w:tc>
        <w:tc>
          <w:tcPr>
            <w:tcW w:w="4535" w:type="dxa"/>
            <w:tcBorders>
              <w:top w:val="nil"/>
              <w:left w:val="nil"/>
              <w:bottom w:val="single" w:sz="8" w:space="0" w:color="auto"/>
              <w:right w:val="single" w:sz="8" w:space="0" w:color="auto"/>
            </w:tcBorders>
            <w:vAlign w:val="center"/>
            <w:hideMark/>
          </w:tcPr>
          <w:p w14:paraId="058B6E82" w14:textId="77777777" w:rsidR="00110FDB" w:rsidRPr="00AC1EB2" w:rsidRDefault="00110FDB">
            <w:pPr>
              <w:spacing w:after="0" w:line="240" w:lineRule="auto"/>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Improved patient and family feedback</w:t>
            </w:r>
          </w:p>
        </w:tc>
        <w:tc>
          <w:tcPr>
            <w:tcW w:w="6327" w:type="dxa"/>
            <w:gridSpan w:val="4"/>
            <w:tcBorders>
              <w:top w:val="single" w:sz="8" w:space="0" w:color="auto"/>
              <w:left w:val="nil"/>
              <w:bottom w:val="single" w:sz="8" w:space="0" w:color="auto"/>
              <w:right w:val="single" w:sz="8" w:space="0" w:color="000000"/>
            </w:tcBorders>
            <w:noWrap/>
            <w:vAlign w:val="center"/>
            <w:hideMark/>
          </w:tcPr>
          <w:p w14:paraId="511B26F3" w14:textId="77777777" w:rsidR="00110FDB" w:rsidRPr="00AC1EB2" w:rsidRDefault="00110FDB">
            <w:pPr>
              <w:spacing w:after="0" w:line="240" w:lineRule="auto"/>
              <w:jc w:val="center"/>
              <w:rPr>
                <w:rFonts w:ascii="Aptos" w:eastAsia="Times New Roman" w:hAnsi="Aptos" w:cs="Calibri"/>
                <w:color w:val="000000"/>
                <w:sz w:val="20"/>
                <w:szCs w:val="20"/>
                <w:lang w:eastAsia="en-GB"/>
              </w:rPr>
            </w:pPr>
            <w:r w:rsidRPr="00AC1EB2">
              <w:rPr>
                <w:rFonts w:ascii="Aptos" w:eastAsia="Times New Roman" w:hAnsi="Aptos" w:cs="Calibri"/>
                <w:color w:val="000000"/>
                <w:sz w:val="20"/>
                <w:szCs w:val="20"/>
                <w:lang w:eastAsia="en-GB"/>
              </w:rPr>
              <w:t>Not reported</w:t>
            </w:r>
          </w:p>
        </w:tc>
        <w:tc>
          <w:tcPr>
            <w:tcW w:w="3434" w:type="dxa"/>
            <w:vMerge/>
            <w:tcBorders>
              <w:top w:val="nil"/>
              <w:left w:val="single" w:sz="8" w:space="0" w:color="auto"/>
              <w:bottom w:val="single" w:sz="8" w:space="0" w:color="000000"/>
              <w:right w:val="single" w:sz="8" w:space="0" w:color="auto"/>
            </w:tcBorders>
            <w:vAlign w:val="center"/>
            <w:hideMark/>
          </w:tcPr>
          <w:p w14:paraId="19B21B2F" w14:textId="77777777" w:rsidR="00110FDB" w:rsidRPr="00AC1EB2" w:rsidRDefault="00110FDB">
            <w:pPr>
              <w:spacing w:after="0" w:line="240" w:lineRule="auto"/>
              <w:rPr>
                <w:rFonts w:ascii="Aptos" w:eastAsia="Times New Roman" w:hAnsi="Aptos" w:cs="Calibri"/>
                <w:color w:val="000000"/>
                <w:sz w:val="20"/>
                <w:szCs w:val="20"/>
                <w:lang w:eastAsia="en-GB"/>
              </w:rPr>
            </w:pPr>
          </w:p>
        </w:tc>
      </w:tr>
    </w:tbl>
    <w:p w14:paraId="33AEF933" w14:textId="77777777" w:rsidR="00110FDB" w:rsidRDefault="00110FDB" w:rsidP="00110FDB"/>
    <w:p w14:paraId="28400659" w14:textId="77777777" w:rsidR="009F73E9" w:rsidRDefault="009F73E9">
      <w:pPr>
        <w:rPr>
          <w:rFonts w:ascii="Verdana" w:eastAsiaTheme="majorEastAsia" w:hAnsi="Verdana" w:cs="Arial"/>
          <w:color w:val="002060"/>
          <w:sz w:val="36"/>
          <w:szCs w:val="36"/>
        </w:rPr>
      </w:pPr>
      <w:r>
        <w:rPr>
          <w:rFonts w:ascii="Verdana" w:hAnsi="Verdana" w:cs="Arial"/>
          <w:color w:val="002060"/>
          <w:sz w:val="36"/>
          <w:szCs w:val="36"/>
        </w:rPr>
        <w:br w:type="page"/>
      </w:r>
    </w:p>
    <w:p w14:paraId="765757BF" w14:textId="1CBC6179" w:rsidR="00B1663D" w:rsidRPr="00612FC3" w:rsidRDefault="00EC3FA9" w:rsidP="003B2F8A">
      <w:pPr>
        <w:pStyle w:val="Heading1"/>
        <w:spacing w:before="0" w:after="120"/>
        <w:rPr>
          <w:rFonts w:ascii="Verdana" w:hAnsi="Verdana" w:cs="Arial"/>
          <w:color w:val="002060"/>
          <w:sz w:val="36"/>
          <w:szCs w:val="36"/>
        </w:rPr>
      </w:pPr>
      <w:bookmarkStart w:id="11" w:name="_Toc211856091"/>
      <w:r w:rsidRPr="00612FC3">
        <w:rPr>
          <w:rFonts w:ascii="Verdana" w:hAnsi="Verdana" w:cs="Arial"/>
          <w:color w:val="002060"/>
          <w:sz w:val="36"/>
          <w:szCs w:val="36"/>
        </w:rPr>
        <w:lastRenderedPageBreak/>
        <w:t>A</w:t>
      </w:r>
      <w:r w:rsidR="0099281E">
        <w:rPr>
          <w:rFonts w:ascii="Verdana" w:hAnsi="Verdana" w:cs="Arial"/>
          <w:color w:val="002060"/>
          <w:sz w:val="36"/>
          <w:szCs w:val="36"/>
        </w:rPr>
        <w:t xml:space="preserve">ppendix </w:t>
      </w:r>
      <w:r w:rsidR="009F73E9">
        <w:rPr>
          <w:rFonts w:ascii="Verdana" w:hAnsi="Verdana" w:cs="Arial"/>
          <w:color w:val="002060"/>
          <w:sz w:val="36"/>
          <w:szCs w:val="36"/>
        </w:rPr>
        <w:t>C</w:t>
      </w:r>
      <w:r w:rsidR="007D214F">
        <w:rPr>
          <w:rFonts w:ascii="Verdana" w:hAnsi="Verdana" w:cs="Arial"/>
          <w:color w:val="002060"/>
          <w:sz w:val="36"/>
          <w:szCs w:val="36"/>
        </w:rPr>
        <w:t>:</w:t>
      </w:r>
      <w:r w:rsidR="0099281E">
        <w:rPr>
          <w:rFonts w:ascii="Verdana" w:hAnsi="Verdana" w:cs="Arial"/>
          <w:color w:val="002060"/>
          <w:sz w:val="36"/>
          <w:szCs w:val="36"/>
        </w:rPr>
        <w:t xml:space="preserve"> </w:t>
      </w:r>
      <w:bookmarkEnd w:id="6"/>
      <w:r w:rsidR="003D3727" w:rsidRPr="003D3727">
        <w:rPr>
          <w:rFonts w:ascii="Verdana" w:hAnsi="Verdana" w:cs="Arial"/>
          <w:color w:val="002060"/>
          <w:sz w:val="36"/>
          <w:szCs w:val="36"/>
        </w:rPr>
        <w:t xml:space="preserve">Assurance Opinion </w:t>
      </w:r>
      <w:r w:rsidR="008B4299">
        <w:rPr>
          <w:rFonts w:ascii="Verdana" w:hAnsi="Verdana" w:cs="Arial"/>
          <w:color w:val="002060"/>
          <w:sz w:val="36"/>
          <w:szCs w:val="36"/>
        </w:rPr>
        <w:t>&amp;</w:t>
      </w:r>
      <w:r w:rsidR="003D3727" w:rsidRPr="003D3727">
        <w:rPr>
          <w:rFonts w:ascii="Verdana" w:hAnsi="Verdana" w:cs="Arial"/>
          <w:color w:val="002060"/>
          <w:sz w:val="36"/>
          <w:szCs w:val="36"/>
        </w:rPr>
        <w:t xml:space="preserve"> Prioritisation of Findings</w:t>
      </w:r>
      <w:bookmarkEnd w:id="11"/>
    </w:p>
    <w:bookmarkEnd w:id="7"/>
    <w:bookmarkEnd w:id="8"/>
    <w:bookmarkEnd w:id="9"/>
    <w:p w14:paraId="48B46C34" w14:textId="70D69D09" w:rsidR="00EC3FA9" w:rsidRPr="00612FC3" w:rsidRDefault="00974E2E" w:rsidP="00B167F9">
      <w:pPr>
        <w:tabs>
          <w:tab w:val="left" w:pos="8364"/>
        </w:tabs>
        <w:spacing w:before="120" w:after="120" w:line="240" w:lineRule="auto"/>
        <w:rPr>
          <w:rFonts w:ascii="Verdana" w:hAnsi="Verdana" w:cs="Arial"/>
          <w:color w:val="002060"/>
          <w:sz w:val="28"/>
          <w:szCs w:val="28"/>
        </w:rPr>
      </w:pPr>
      <w:r w:rsidRPr="00612FC3">
        <w:rPr>
          <w:rFonts w:ascii="Verdana" w:hAnsi="Verdana" w:cs="Arial"/>
          <w:color w:val="002060"/>
          <w:sz w:val="28"/>
          <w:szCs w:val="28"/>
        </w:rPr>
        <w:t>A</w:t>
      </w:r>
      <w:r w:rsidR="0031435A" w:rsidRPr="00612FC3">
        <w:rPr>
          <w:rFonts w:ascii="Verdana" w:hAnsi="Verdana" w:cs="Arial"/>
          <w:color w:val="002060"/>
          <w:sz w:val="28"/>
          <w:szCs w:val="28"/>
        </w:rPr>
        <w:t>ssurance Opinion</w:t>
      </w:r>
      <w:r w:rsidR="003F1763">
        <w:rPr>
          <w:rFonts w:ascii="Verdana" w:hAnsi="Verdana" w:cs="Arial"/>
          <w:color w:val="002060"/>
          <w:sz w:val="28"/>
          <w:szCs w:val="28"/>
        </w:rPr>
        <w:t xml:space="preserve">                                                         </w:t>
      </w:r>
      <w:r w:rsidR="00B167F9">
        <w:rPr>
          <w:rFonts w:ascii="Verdana" w:hAnsi="Verdana" w:cs="Arial"/>
          <w:color w:val="002060"/>
          <w:sz w:val="28"/>
          <w:szCs w:val="28"/>
        </w:rPr>
        <w:tab/>
      </w:r>
      <w:r w:rsidR="003F1763">
        <w:rPr>
          <w:rFonts w:ascii="Verdana" w:hAnsi="Verdana" w:cs="Arial"/>
          <w:color w:val="002060"/>
          <w:sz w:val="28"/>
          <w:szCs w:val="28"/>
        </w:rPr>
        <w:t>Disclaimer</w:t>
      </w:r>
    </w:p>
    <w:tbl>
      <w:tblPr>
        <w:tblStyle w:val="TableGrid4"/>
        <w:tblW w:w="16054" w:type="dxa"/>
        <w:tblInd w:w="-5" w:type="dxa"/>
        <w:tblBorders>
          <w:top w:val="single" w:sz="18" w:space="0" w:color="002060"/>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6"/>
        <w:gridCol w:w="1846"/>
        <w:gridCol w:w="4234"/>
        <w:gridCol w:w="583"/>
        <w:gridCol w:w="7685"/>
      </w:tblGrid>
      <w:tr w:rsidR="0099281E" w:rsidRPr="009E3377" w14:paraId="66AB48E7" w14:textId="3F0D4260" w:rsidTr="003E43C7">
        <w:tc>
          <w:tcPr>
            <w:tcW w:w="1706" w:type="dxa"/>
            <w:shd w:val="clear" w:color="auto" w:fill="FFFFFF" w:themeFill="background1"/>
            <w:vAlign w:val="center"/>
          </w:tcPr>
          <w:p w14:paraId="5FE402FF" w14:textId="14147C0B" w:rsidR="0099281E" w:rsidRPr="009E3377" w:rsidRDefault="003C3739"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70E7762E" wp14:editId="0E087CCA">
                  <wp:extent cx="954000" cy="507600"/>
                  <wp:effectExtent l="0" t="0" r="0" b="6985"/>
                  <wp:docPr id="1354347734" name="Picture 135434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4953CDC6" w14:textId="4B2F01CB" w:rsidR="0099281E" w:rsidRPr="00264E52" w:rsidRDefault="00566EA6" w:rsidP="00CD60DD">
            <w:pPr>
              <w:tabs>
                <w:tab w:val="left" w:pos="9435"/>
              </w:tabs>
              <w:spacing w:before="60" w:after="60"/>
              <w:jc w:val="center"/>
              <w:rPr>
                <w:rFonts w:ascii="Verdana" w:hAnsi="Verdana" w:cs="Arial"/>
                <w:b/>
                <w:color w:val="002060"/>
                <w:sz w:val="20"/>
                <w:szCs w:val="20"/>
              </w:rPr>
            </w:pPr>
            <w:r>
              <w:rPr>
                <w:rFonts w:ascii="Verdana" w:hAnsi="Verdana" w:cs="Arial"/>
                <w:b/>
                <w:color w:val="002060"/>
                <w:sz w:val="20"/>
                <w:szCs w:val="20"/>
              </w:rPr>
              <w:t>Substantial</w:t>
            </w:r>
          </w:p>
        </w:tc>
        <w:tc>
          <w:tcPr>
            <w:tcW w:w="4234" w:type="dxa"/>
            <w:shd w:val="clear" w:color="auto" w:fill="FFFFFF" w:themeFill="background1"/>
          </w:tcPr>
          <w:p w14:paraId="2F09F64E" w14:textId="77777777" w:rsidR="0099281E" w:rsidRPr="003F1763" w:rsidRDefault="0099281E" w:rsidP="0099281E">
            <w:pPr>
              <w:spacing w:before="60" w:after="60"/>
              <w:jc w:val="both"/>
              <w:rPr>
                <w:rFonts w:ascii="Verdana" w:hAnsi="Verdana" w:cs="Arial"/>
                <w:sz w:val="18"/>
                <w:szCs w:val="18"/>
              </w:rPr>
            </w:pPr>
            <w:r w:rsidRPr="003F1763">
              <w:rPr>
                <w:rFonts w:ascii="Verdana" w:hAnsi="Verdana" w:cs="Arial"/>
                <w:sz w:val="18"/>
                <w:szCs w:val="18"/>
              </w:rPr>
              <w:t xml:space="preserve">Few matters require attention and are compliance or advisory in nature. </w:t>
            </w:r>
          </w:p>
          <w:p w14:paraId="2C3ACBDB"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Low impact</w:t>
            </w:r>
            <w:r w:rsidRPr="003F1763">
              <w:rPr>
                <w:rFonts w:ascii="Verdana" w:hAnsi="Verdana" w:cs="Arial"/>
                <w:color w:val="002060"/>
                <w:sz w:val="18"/>
                <w:szCs w:val="18"/>
              </w:rPr>
              <w:t xml:space="preserve"> </w:t>
            </w:r>
            <w:r w:rsidRPr="003F1763">
              <w:rPr>
                <w:rFonts w:ascii="Verdana" w:hAnsi="Verdana" w:cs="Arial"/>
                <w:sz w:val="18"/>
                <w:szCs w:val="18"/>
              </w:rPr>
              <w:t>on residual risk exposure.</w:t>
            </w:r>
          </w:p>
        </w:tc>
        <w:tc>
          <w:tcPr>
            <w:tcW w:w="583" w:type="dxa"/>
            <w:vMerge w:val="restart"/>
            <w:tcBorders>
              <w:top w:val="nil"/>
              <w:bottom w:val="nil"/>
            </w:tcBorders>
          </w:tcPr>
          <w:p w14:paraId="01CCE3F0" w14:textId="77777777" w:rsidR="0099281E" w:rsidRPr="009E3377" w:rsidRDefault="0099281E" w:rsidP="0099281E">
            <w:pPr>
              <w:spacing w:before="60" w:after="60"/>
              <w:jc w:val="both"/>
              <w:rPr>
                <w:rFonts w:ascii="Verdana" w:hAnsi="Verdana" w:cs="Arial"/>
                <w:sz w:val="20"/>
                <w:szCs w:val="20"/>
              </w:rPr>
            </w:pPr>
          </w:p>
        </w:tc>
        <w:tc>
          <w:tcPr>
            <w:tcW w:w="7685" w:type="dxa"/>
            <w:vMerge w:val="restart"/>
            <w:shd w:val="clear" w:color="auto" w:fill="FFFFFF" w:themeFill="background1"/>
          </w:tcPr>
          <w:p w14:paraId="03334DD6" w14:textId="77777777" w:rsidR="0099281E" w:rsidRPr="00ED3AFD" w:rsidRDefault="0099281E" w:rsidP="0099281E">
            <w:pPr>
              <w:spacing w:before="120" w:after="120"/>
              <w:jc w:val="both"/>
              <w:rPr>
                <w:rFonts w:ascii="Verdana" w:hAnsi="Verdana" w:cs="Segoe UI"/>
                <w:sz w:val="18"/>
                <w:szCs w:val="18"/>
              </w:rPr>
            </w:pPr>
            <w:r w:rsidRPr="003F1763">
              <w:rPr>
                <w:rFonts w:ascii="Verdana" w:hAnsi="Verdana" w:cs="Segoe UI"/>
                <w:sz w:val="18"/>
                <w:szCs w:val="18"/>
              </w:rPr>
              <w:t xml:space="preserve">This audit report has been prepared for internal use only. Audit and Assurance Services reports are prepared, in accordance with the agreed audit brief, and the Audit </w:t>
            </w:r>
            <w:r w:rsidRPr="00ED3AFD">
              <w:rPr>
                <w:rFonts w:ascii="Verdana" w:hAnsi="Verdana" w:cs="Segoe UI"/>
                <w:sz w:val="18"/>
                <w:szCs w:val="18"/>
              </w:rPr>
              <w:t>Charter as approved by the Audit Committee.</w:t>
            </w:r>
          </w:p>
          <w:p w14:paraId="623DB394" w14:textId="08AC423A" w:rsidR="0099281E" w:rsidRPr="00ED3AFD" w:rsidRDefault="0099281E" w:rsidP="0099281E">
            <w:pPr>
              <w:spacing w:before="120" w:after="120"/>
              <w:jc w:val="both"/>
              <w:rPr>
                <w:sz w:val="18"/>
                <w:szCs w:val="18"/>
              </w:rPr>
            </w:pPr>
            <w:r w:rsidRPr="00ED3AFD">
              <w:rPr>
                <w:rFonts w:ascii="Verdana" w:hAnsi="Verdana" w:cs="Segoe UI"/>
                <w:sz w:val="18"/>
                <w:szCs w:val="18"/>
              </w:rPr>
              <w:t xml:space="preserve">Audit reports are prepared by the staff of the NHS Wales Audit and Assurance Services and addressed to Independent Members or officers including those designated as Accountable Officer. They are prepared for the sole use of the </w:t>
            </w:r>
            <w:r w:rsidR="00ED3AFD" w:rsidRPr="00ED3AFD">
              <w:rPr>
                <w:rFonts w:ascii="Verdana" w:hAnsi="Verdana" w:cs="Segoe UI"/>
                <w:sz w:val="18"/>
                <w:szCs w:val="18"/>
              </w:rPr>
              <w:t xml:space="preserve">Swansea Bay </w:t>
            </w:r>
            <w:r w:rsidRPr="00ED3AFD">
              <w:rPr>
                <w:rFonts w:ascii="Verdana" w:hAnsi="Verdana" w:cs="Segoe UI"/>
                <w:sz w:val="18"/>
                <w:szCs w:val="18"/>
              </w:rPr>
              <w:t xml:space="preserve">University Health </w:t>
            </w:r>
            <w:proofErr w:type="gramStart"/>
            <w:r w:rsidRPr="00ED3AFD">
              <w:rPr>
                <w:rFonts w:ascii="Verdana" w:hAnsi="Verdana" w:cs="Segoe UI"/>
                <w:sz w:val="18"/>
                <w:szCs w:val="18"/>
              </w:rPr>
              <w:t>Board</w:t>
            </w:r>
            <w:proofErr w:type="gramEnd"/>
            <w:r w:rsidRPr="00ED3AFD">
              <w:rPr>
                <w:rFonts w:ascii="Verdana" w:hAnsi="Verdana" w:cs="Segoe UI"/>
                <w:sz w:val="18"/>
                <w:szCs w:val="18"/>
              </w:rPr>
              <w:t xml:space="preserve"> and no responsibility is taken by the Audit and Assurance Services Internal Auditors to any director or officer in their individual capacity, or to any third party.</w:t>
            </w:r>
            <w:r w:rsidRPr="00ED3AFD">
              <w:rPr>
                <w:sz w:val="18"/>
                <w:szCs w:val="18"/>
              </w:rPr>
              <w:t xml:space="preserve"> </w:t>
            </w:r>
          </w:p>
          <w:p w14:paraId="741F0E61" w14:textId="77777777" w:rsidR="0099281E" w:rsidRPr="00ED3AFD" w:rsidRDefault="0099281E" w:rsidP="0099281E">
            <w:pPr>
              <w:spacing w:before="120" w:after="120"/>
              <w:jc w:val="both"/>
              <w:rPr>
                <w:rFonts w:ascii="Verdana" w:hAnsi="Verdana" w:cs="Segoe UI"/>
                <w:sz w:val="18"/>
                <w:szCs w:val="18"/>
              </w:rPr>
            </w:pPr>
            <w:r w:rsidRPr="00ED3AFD">
              <w:rPr>
                <w:rFonts w:ascii="Verdana" w:hAnsi="Verdana" w:cs="Segoe UI"/>
                <w:sz w:val="18"/>
                <w:szCs w:val="18"/>
              </w:rPr>
              <w:t xml:space="preserve">The report is based on the review work undertaken and is not necessarily a complete statement of all weaknesses that exist or potential improvements.  Whilst every care has been taken to ensure that the information provided in this report is as accurate as possible, no complete guarantee or warranty can be given </w:t>
            </w:r>
            <w:proofErr w:type="gramStart"/>
            <w:r w:rsidRPr="00ED3AFD">
              <w:rPr>
                <w:rFonts w:ascii="Verdana" w:hAnsi="Verdana" w:cs="Segoe UI"/>
                <w:sz w:val="18"/>
                <w:szCs w:val="18"/>
              </w:rPr>
              <w:t>with regard to</w:t>
            </w:r>
            <w:proofErr w:type="gramEnd"/>
            <w:r w:rsidRPr="00ED3AFD">
              <w:rPr>
                <w:rFonts w:ascii="Verdana" w:hAnsi="Verdana" w:cs="Segoe UI"/>
                <w:sz w:val="18"/>
                <w:szCs w:val="18"/>
              </w:rPr>
              <w:t xml:space="preserve"> the advice and information contained. </w:t>
            </w:r>
          </w:p>
          <w:p w14:paraId="6677995F" w14:textId="3FB1CEB3" w:rsidR="0099281E" w:rsidRPr="003F1763" w:rsidRDefault="0099281E" w:rsidP="0099281E">
            <w:pPr>
              <w:spacing w:before="120" w:after="120"/>
              <w:jc w:val="both"/>
              <w:rPr>
                <w:rFonts w:ascii="Verdana" w:hAnsi="Verdana" w:cs="Segoe UI"/>
                <w:sz w:val="18"/>
                <w:szCs w:val="18"/>
              </w:rPr>
            </w:pPr>
            <w:r w:rsidRPr="00ED3AFD">
              <w:rPr>
                <w:rFonts w:ascii="Verdana" w:hAnsi="Verdana" w:cs="Segoe UI"/>
                <w:sz w:val="18"/>
                <w:szCs w:val="18"/>
              </w:rPr>
              <w:t xml:space="preserve">Our work does not provide absolute assurance that material errors, loss or fraud do not exist. Responsibility for a sound system of internal controls and the prevention and detection of fraud and other irregularities rests with management of the </w:t>
            </w:r>
            <w:r w:rsidR="00ED3AFD" w:rsidRPr="00ED3AFD">
              <w:rPr>
                <w:rFonts w:ascii="Verdana" w:hAnsi="Verdana" w:cs="Segoe UI"/>
                <w:sz w:val="18"/>
                <w:szCs w:val="18"/>
              </w:rPr>
              <w:t>Swansea Bay U</w:t>
            </w:r>
            <w:r w:rsidRPr="00ED3AFD">
              <w:rPr>
                <w:rFonts w:ascii="Verdana" w:hAnsi="Verdana" w:cs="Segoe UI"/>
                <w:sz w:val="18"/>
                <w:szCs w:val="18"/>
              </w:rPr>
              <w:t>niversity Health Board.  Work performed by internal audit should not be relied upon to identify all strengths and weaknesses in internal controls, or all circumstances of fraud or irregularity. Effective and timely implementation of recommendations</w:t>
            </w:r>
            <w:r w:rsidRPr="003F1763">
              <w:rPr>
                <w:rFonts w:ascii="Verdana" w:hAnsi="Verdana" w:cs="Segoe UI"/>
                <w:sz w:val="18"/>
                <w:szCs w:val="18"/>
              </w:rPr>
              <w:t xml:space="preserve"> is important for the development and maintenance of a reliable internal control system.</w:t>
            </w:r>
          </w:p>
          <w:p w14:paraId="7AB825C7" w14:textId="77777777" w:rsidR="0099281E" w:rsidRPr="003F1763" w:rsidRDefault="0099281E" w:rsidP="0099281E">
            <w:pPr>
              <w:spacing w:before="60" w:after="60"/>
              <w:jc w:val="both"/>
              <w:rPr>
                <w:rFonts w:ascii="Verdana" w:hAnsi="Verdana" w:cs="Arial"/>
                <w:sz w:val="18"/>
                <w:szCs w:val="18"/>
              </w:rPr>
            </w:pPr>
          </w:p>
        </w:tc>
      </w:tr>
      <w:tr w:rsidR="0099281E" w:rsidRPr="009E3377" w14:paraId="18F58A42" w14:textId="058E3962" w:rsidTr="003E43C7">
        <w:tc>
          <w:tcPr>
            <w:tcW w:w="1706" w:type="dxa"/>
            <w:shd w:val="clear" w:color="auto" w:fill="FFFFFF" w:themeFill="background1"/>
            <w:vAlign w:val="center"/>
          </w:tcPr>
          <w:p w14:paraId="5418B689" w14:textId="51636954" w:rsidR="0099281E" w:rsidRPr="009E3377" w:rsidRDefault="007025CF"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6DCCA024" wp14:editId="786D23EF">
                  <wp:extent cx="954000" cy="507600"/>
                  <wp:effectExtent l="0" t="0" r="0" b="6985"/>
                  <wp:docPr id="538969468" name="Picture 538969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531F7FD5" w14:textId="5778D94B"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Reasonable</w:t>
            </w:r>
          </w:p>
        </w:tc>
        <w:tc>
          <w:tcPr>
            <w:tcW w:w="4234" w:type="dxa"/>
            <w:shd w:val="clear" w:color="auto" w:fill="FFFFFF" w:themeFill="background1"/>
          </w:tcPr>
          <w:p w14:paraId="7A77F4F4"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 xml:space="preserve">Some matters require management attention in control design or compliance. </w:t>
            </w:r>
          </w:p>
          <w:p w14:paraId="66FD2807"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 xml:space="preserve">Low to moderate impact </w:t>
            </w:r>
            <w:r w:rsidRPr="003F1763">
              <w:rPr>
                <w:rFonts w:ascii="Verdana" w:hAnsi="Verdana" w:cs="Arial"/>
                <w:bCs/>
                <w:sz w:val="18"/>
                <w:szCs w:val="18"/>
              </w:rPr>
              <w:t xml:space="preserve">on residual risk </w:t>
            </w:r>
            <w:r w:rsidRPr="003F1763">
              <w:rPr>
                <w:rFonts w:ascii="Verdana" w:hAnsi="Verdana" w:cs="Arial"/>
                <w:sz w:val="18"/>
                <w:szCs w:val="18"/>
              </w:rPr>
              <w:t>exposure until resolved.</w:t>
            </w:r>
          </w:p>
        </w:tc>
        <w:tc>
          <w:tcPr>
            <w:tcW w:w="583" w:type="dxa"/>
            <w:vMerge/>
            <w:tcBorders>
              <w:top w:val="dotted" w:sz="4" w:space="0" w:color="002060"/>
              <w:bottom w:val="nil"/>
            </w:tcBorders>
          </w:tcPr>
          <w:p w14:paraId="3D0FC4C1"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3C3C2245" w14:textId="77777777" w:rsidR="0099281E" w:rsidRPr="009E3377" w:rsidRDefault="0099281E">
            <w:pPr>
              <w:tabs>
                <w:tab w:val="left" w:pos="9435"/>
              </w:tabs>
              <w:spacing w:before="60" w:after="60"/>
              <w:jc w:val="both"/>
              <w:rPr>
                <w:rFonts w:ascii="Verdana" w:hAnsi="Verdana" w:cs="Arial"/>
                <w:sz w:val="20"/>
                <w:szCs w:val="20"/>
              </w:rPr>
            </w:pPr>
          </w:p>
        </w:tc>
      </w:tr>
      <w:tr w:rsidR="0099281E" w:rsidRPr="009E3377" w14:paraId="52D85700" w14:textId="69FB7759" w:rsidTr="003E43C7">
        <w:tc>
          <w:tcPr>
            <w:tcW w:w="1706" w:type="dxa"/>
            <w:shd w:val="clear" w:color="auto" w:fill="FFFFFF" w:themeFill="background1"/>
            <w:vAlign w:val="center"/>
          </w:tcPr>
          <w:p w14:paraId="1EC5C72B" w14:textId="31D6E299" w:rsidR="0099281E" w:rsidRPr="009E3377" w:rsidRDefault="003552FE"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1BBFE731" wp14:editId="165FE8A8">
                  <wp:extent cx="954000" cy="507600"/>
                  <wp:effectExtent l="0" t="0" r="0" b="6985"/>
                  <wp:docPr id="418152023" name="Picture 41815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24767126" w14:textId="4749D465"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Limited</w:t>
            </w:r>
          </w:p>
        </w:tc>
        <w:tc>
          <w:tcPr>
            <w:tcW w:w="4234" w:type="dxa"/>
            <w:shd w:val="clear" w:color="auto" w:fill="FFFFFF" w:themeFill="background1"/>
          </w:tcPr>
          <w:p w14:paraId="6EDF7EF1"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More significant matters require management attention.</w:t>
            </w:r>
          </w:p>
          <w:p w14:paraId="0F15CFFA"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Moderate impact</w:t>
            </w:r>
            <w:r w:rsidRPr="003F1763">
              <w:rPr>
                <w:rFonts w:ascii="Verdana" w:hAnsi="Verdana" w:cs="Arial"/>
                <w:color w:val="002060"/>
                <w:sz w:val="18"/>
                <w:szCs w:val="18"/>
              </w:rPr>
              <w:t xml:space="preserve"> </w:t>
            </w:r>
            <w:r w:rsidRPr="003F1763">
              <w:rPr>
                <w:rFonts w:ascii="Verdana" w:hAnsi="Verdana" w:cs="Arial"/>
                <w:sz w:val="18"/>
                <w:szCs w:val="18"/>
              </w:rPr>
              <w:t>on residual risk</w:t>
            </w:r>
            <w:r w:rsidRPr="003F1763">
              <w:rPr>
                <w:rFonts w:ascii="Verdana" w:hAnsi="Verdana" w:cs="Arial"/>
                <w:b/>
                <w:bCs/>
                <w:sz w:val="18"/>
                <w:szCs w:val="18"/>
              </w:rPr>
              <w:t xml:space="preserve"> </w:t>
            </w:r>
            <w:r w:rsidRPr="003F1763">
              <w:rPr>
                <w:rFonts w:ascii="Verdana" w:hAnsi="Verdana" w:cs="Arial"/>
                <w:sz w:val="18"/>
                <w:szCs w:val="18"/>
              </w:rPr>
              <w:t>exposure until resolved.</w:t>
            </w:r>
          </w:p>
        </w:tc>
        <w:tc>
          <w:tcPr>
            <w:tcW w:w="583" w:type="dxa"/>
            <w:vMerge/>
            <w:tcBorders>
              <w:top w:val="dotted" w:sz="4" w:space="0" w:color="002060"/>
              <w:bottom w:val="nil"/>
            </w:tcBorders>
          </w:tcPr>
          <w:p w14:paraId="7E578FCF"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6F1E79B4" w14:textId="77777777" w:rsidR="0099281E" w:rsidRPr="009E3377" w:rsidRDefault="0099281E">
            <w:pPr>
              <w:tabs>
                <w:tab w:val="left" w:pos="9435"/>
              </w:tabs>
              <w:spacing w:before="60" w:after="60"/>
              <w:jc w:val="both"/>
              <w:rPr>
                <w:rFonts w:ascii="Verdana" w:hAnsi="Verdana" w:cs="Arial"/>
                <w:sz w:val="20"/>
                <w:szCs w:val="20"/>
              </w:rPr>
            </w:pPr>
          </w:p>
        </w:tc>
      </w:tr>
      <w:tr w:rsidR="0099281E" w:rsidRPr="009E3377" w14:paraId="346ED7B2" w14:textId="7F2FEF90" w:rsidTr="003E43C7">
        <w:tc>
          <w:tcPr>
            <w:tcW w:w="1706" w:type="dxa"/>
            <w:shd w:val="clear" w:color="auto" w:fill="FFFFFF" w:themeFill="background1"/>
            <w:vAlign w:val="center"/>
          </w:tcPr>
          <w:p w14:paraId="508E8925" w14:textId="70C3C9C8" w:rsidR="0099281E" w:rsidRPr="009E3377" w:rsidRDefault="00CD60DD"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2220EFD9" wp14:editId="46F3E9DF">
                  <wp:extent cx="954000" cy="507600"/>
                  <wp:effectExtent l="0" t="0" r="0" b="6985"/>
                  <wp:docPr id="1106367187" name="Picture 1106367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5DE41D0D" w14:textId="3FE7AD55"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Unsatisfactory</w:t>
            </w:r>
          </w:p>
        </w:tc>
        <w:tc>
          <w:tcPr>
            <w:tcW w:w="4234" w:type="dxa"/>
            <w:shd w:val="clear" w:color="auto" w:fill="FFFFFF" w:themeFill="background1"/>
          </w:tcPr>
          <w:p w14:paraId="133B62C1"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Action is required to address the whole control framework in this area.</w:t>
            </w:r>
          </w:p>
          <w:p w14:paraId="68483039"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High impact</w:t>
            </w:r>
            <w:r w:rsidRPr="003F1763">
              <w:rPr>
                <w:rFonts w:ascii="Verdana" w:hAnsi="Verdana" w:cs="Arial"/>
                <w:color w:val="002060"/>
                <w:sz w:val="18"/>
                <w:szCs w:val="18"/>
              </w:rPr>
              <w:t xml:space="preserve"> </w:t>
            </w:r>
            <w:r w:rsidRPr="003F1763">
              <w:rPr>
                <w:rFonts w:ascii="Verdana" w:hAnsi="Verdana" w:cs="Arial"/>
                <w:sz w:val="18"/>
                <w:szCs w:val="18"/>
              </w:rPr>
              <w:t>on residual risk</w:t>
            </w:r>
            <w:r w:rsidRPr="003F1763">
              <w:rPr>
                <w:rFonts w:ascii="Verdana" w:hAnsi="Verdana" w:cs="Arial"/>
                <w:b/>
                <w:bCs/>
                <w:sz w:val="18"/>
                <w:szCs w:val="18"/>
              </w:rPr>
              <w:t xml:space="preserve"> </w:t>
            </w:r>
            <w:r w:rsidRPr="003F1763">
              <w:rPr>
                <w:rFonts w:ascii="Verdana" w:hAnsi="Verdana" w:cs="Arial"/>
                <w:sz w:val="18"/>
                <w:szCs w:val="18"/>
              </w:rPr>
              <w:t>exposure until resolved.</w:t>
            </w:r>
          </w:p>
        </w:tc>
        <w:tc>
          <w:tcPr>
            <w:tcW w:w="583" w:type="dxa"/>
            <w:vMerge/>
            <w:tcBorders>
              <w:top w:val="dotted" w:sz="4" w:space="0" w:color="002060"/>
              <w:bottom w:val="nil"/>
            </w:tcBorders>
          </w:tcPr>
          <w:p w14:paraId="09C5E934"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6D066D35" w14:textId="77777777" w:rsidR="0099281E" w:rsidRPr="009E3377" w:rsidRDefault="0099281E">
            <w:pPr>
              <w:tabs>
                <w:tab w:val="left" w:pos="9435"/>
              </w:tabs>
              <w:spacing w:before="60" w:after="60"/>
              <w:jc w:val="both"/>
              <w:rPr>
                <w:rFonts w:ascii="Verdana" w:hAnsi="Verdana" w:cs="Arial"/>
                <w:sz w:val="20"/>
                <w:szCs w:val="20"/>
              </w:rPr>
            </w:pPr>
          </w:p>
        </w:tc>
      </w:tr>
      <w:tr w:rsidR="0099281E" w:rsidRPr="009E3377" w14:paraId="2FFC84B0" w14:textId="2A987ADF" w:rsidTr="003E43C7">
        <w:tc>
          <w:tcPr>
            <w:tcW w:w="1706" w:type="dxa"/>
            <w:shd w:val="clear" w:color="auto" w:fill="FFFFFF" w:themeFill="background1"/>
            <w:vAlign w:val="center"/>
          </w:tcPr>
          <w:p w14:paraId="1B558B1A" w14:textId="77777777" w:rsidR="0099281E" w:rsidRPr="009E3377" w:rsidRDefault="0099281E" w:rsidP="00CD60DD">
            <w:pPr>
              <w:tabs>
                <w:tab w:val="left" w:pos="9435"/>
              </w:tabs>
              <w:spacing w:before="60" w:after="60"/>
              <w:jc w:val="center"/>
              <w:rPr>
                <w:rFonts w:ascii="Verdana" w:hAnsi="Verdana"/>
                <w:sz w:val="20"/>
                <w:szCs w:val="20"/>
              </w:rPr>
            </w:pPr>
            <w:r w:rsidRPr="009E3377">
              <w:rPr>
                <w:rFonts w:ascii="Verdana" w:hAnsi="Verdana"/>
                <w:noProof/>
                <w:sz w:val="20"/>
                <w:szCs w:val="20"/>
                <w:lang w:eastAsia="en-GB"/>
              </w:rPr>
              <w:drawing>
                <wp:inline distT="0" distB="0" distL="0" distR="0" wp14:anchorId="041195D5" wp14:editId="31ADBC7C">
                  <wp:extent cx="952500" cy="5334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png"/>
                          <pic:cNvPicPr/>
                        </pic:nvPicPr>
                        <pic:blipFill>
                          <a:blip r:embed="rId29">
                            <a:extLst>
                              <a:ext uri="{28A0092B-C50C-407E-A947-70E740481C1C}">
                                <a14:useLocalDpi xmlns:a14="http://schemas.microsoft.com/office/drawing/2010/main" val="0"/>
                              </a:ext>
                            </a:extLst>
                          </a:blip>
                          <a:stretch>
                            <a:fillRect/>
                          </a:stretch>
                        </pic:blipFill>
                        <pic:spPr>
                          <a:xfrm>
                            <a:off x="0" y="0"/>
                            <a:ext cx="957259" cy="536065"/>
                          </a:xfrm>
                          <a:prstGeom prst="rect">
                            <a:avLst/>
                          </a:prstGeom>
                        </pic:spPr>
                      </pic:pic>
                    </a:graphicData>
                  </a:graphic>
                </wp:inline>
              </w:drawing>
            </w:r>
          </w:p>
        </w:tc>
        <w:tc>
          <w:tcPr>
            <w:tcW w:w="1846" w:type="dxa"/>
            <w:shd w:val="clear" w:color="auto" w:fill="FFFFFF" w:themeFill="background1"/>
            <w:vAlign w:val="center"/>
          </w:tcPr>
          <w:p w14:paraId="3BC62A34" w14:textId="253E224B"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Advisory</w:t>
            </w:r>
          </w:p>
        </w:tc>
        <w:tc>
          <w:tcPr>
            <w:tcW w:w="4234" w:type="dxa"/>
            <w:shd w:val="clear" w:color="auto" w:fill="FFFFFF" w:themeFill="background1"/>
          </w:tcPr>
          <w:p w14:paraId="3C4DEADA" w14:textId="77777777" w:rsidR="0099281E" w:rsidRPr="003F1763" w:rsidRDefault="0099281E">
            <w:pPr>
              <w:tabs>
                <w:tab w:val="left" w:pos="9435"/>
              </w:tabs>
              <w:spacing w:before="60" w:after="60"/>
              <w:jc w:val="both"/>
              <w:rPr>
                <w:rFonts w:ascii="Verdana" w:hAnsi="Verdana" w:cs="Arial"/>
                <w:bCs/>
                <w:color w:val="3D5A8C"/>
                <w:sz w:val="18"/>
                <w:szCs w:val="18"/>
              </w:rPr>
            </w:pPr>
            <w:r w:rsidRPr="003F1763">
              <w:rPr>
                <w:rFonts w:ascii="Verdana" w:hAnsi="Verdana" w:cs="Arial"/>
                <w:sz w:val="18"/>
                <w:szCs w:val="18"/>
              </w:rPr>
              <w:t xml:space="preserve">Given to reviews and support provided to management which form part of the internal audit plan, to which the assurance definitions are </w:t>
            </w:r>
            <w:r w:rsidRPr="003F1763">
              <w:rPr>
                <w:rFonts w:ascii="Verdana" w:hAnsi="Verdana" w:cs="Arial"/>
                <w:bCs/>
                <w:sz w:val="18"/>
                <w:szCs w:val="18"/>
              </w:rPr>
              <w:t>not appropriate.</w:t>
            </w:r>
          </w:p>
          <w:p w14:paraId="14377E7F"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These reviews are still relevant to the evidence base upon which the overall opinion is formed.</w:t>
            </w:r>
          </w:p>
        </w:tc>
        <w:tc>
          <w:tcPr>
            <w:tcW w:w="583" w:type="dxa"/>
            <w:vMerge/>
            <w:tcBorders>
              <w:top w:val="dotted" w:sz="4" w:space="0" w:color="002060"/>
              <w:bottom w:val="nil"/>
            </w:tcBorders>
          </w:tcPr>
          <w:p w14:paraId="1F7B2CBD"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36AE9727" w14:textId="77777777" w:rsidR="0099281E" w:rsidRPr="009E3377" w:rsidRDefault="0099281E">
            <w:pPr>
              <w:tabs>
                <w:tab w:val="left" w:pos="9435"/>
              </w:tabs>
              <w:spacing w:before="60" w:after="60"/>
              <w:jc w:val="both"/>
              <w:rPr>
                <w:rFonts w:ascii="Verdana" w:hAnsi="Verdana" w:cs="Arial"/>
                <w:sz w:val="20"/>
                <w:szCs w:val="20"/>
              </w:rPr>
            </w:pPr>
          </w:p>
        </w:tc>
      </w:tr>
    </w:tbl>
    <w:tbl>
      <w:tblPr>
        <w:tblStyle w:val="TableGrid5"/>
        <w:tblW w:w="160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5625"/>
        <w:gridCol w:w="567"/>
        <w:gridCol w:w="7654"/>
      </w:tblGrid>
      <w:tr w:rsidR="001C4F2D" w:rsidRPr="00333664" w14:paraId="13C6BBC9" w14:textId="6B6E6299" w:rsidTr="003E43C7">
        <w:trPr>
          <w:trHeight w:hRule="exact" w:val="510"/>
        </w:trPr>
        <w:tc>
          <w:tcPr>
            <w:tcW w:w="7797" w:type="dxa"/>
            <w:gridSpan w:val="2"/>
            <w:tcBorders>
              <w:bottom w:val="single" w:sz="18" w:space="0" w:color="002060"/>
            </w:tcBorders>
            <w:vAlign w:val="center"/>
          </w:tcPr>
          <w:p w14:paraId="3C44A7CF" w14:textId="0F587AB1" w:rsidR="001C4F2D" w:rsidRPr="003F1763" w:rsidRDefault="001C4F2D" w:rsidP="00A96988">
            <w:pPr>
              <w:tabs>
                <w:tab w:val="left" w:pos="9435"/>
              </w:tabs>
              <w:rPr>
                <w:rFonts w:ascii="Verdana" w:hAnsi="Verdana" w:cs="Arial"/>
                <w:color w:val="002060"/>
              </w:rPr>
            </w:pPr>
            <w:r w:rsidRPr="003F1763">
              <w:rPr>
                <w:rFonts w:ascii="Verdana" w:hAnsi="Verdana" w:cs="Arial"/>
                <w:color w:val="002060"/>
                <w:sz w:val="28"/>
                <w:szCs w:val="28"/>
              </w:rPr>
              <w:t>Prioritisation of Findings</w:t>
            </w:r>
          </w:p>
        </w:tc>
        <w:tc>
          <w:tcPr>
            <w:tcW w:w="567" w:type="dxa"/>
            <w:vMerge w:val="restart"/>
          </w:tcPr>
          <w:p w14:paraId="38610C37" w14:textId="77777777" w:rsidR="001C4F2D" w:rsidRPr="00333664" w:rsidRDefault="001C4F2D" w:rsidP="00A96988">
            <w:pPr>
              <w:tabs>
                <w:tab w:val="left" w:pos="9435"/>
              </w:tabs>
              <w:rPr>
                <w:rFonts w:ascii="Verdana" w:hAnsi="Verdana" w:cs="Arial"/>
                <w:b/>
                <w:bCs/>
                <w:color w:val="FFFFFF"/>
              </w:rPr>
            </w:pPr>
          </w:p>
        </w:tc>
        <w:tc>
          <w:tcPr>
            <w:tcW w:w="7654" w:type="dxa"/>
            <w:tcBorders>
              <w:top w:val="single" w:sz="18" w:space="0" w:color="FFFFFF" w:themeColor="background1"/>
              <w:bottom w:val="single" w:sz="18" w:space="0" w:color="002060"/>
            </w:tcBorders>
          </w:tcPr>
          <w:p w14:paraId="04C97817" w14:textId="180FA217" w:rsidR="001C4F2D" w:rsidRPr="003F1763" w:rsidRDefault="001C4F2D" w:rsidP="00A96988">
            <w:pPr>
              <w:tabs>
                <w:tab w:val="left" w:pos="9435"/>
              </w:tabs>
              <w:rPr>
                <w:rFonts w:ascii="Verdana" w:eastAsiaTheme="minorHAnsi" w:hAnsi="Verdana" w:cs="Arial"/>
                <w:color w:val="002060"/>
                <w:sz w:val="28"/>
                <w:szCs w:val="28"/>
              </w:rPr>
            </w:pPr>
            <w:r w:rsidRPr="003F1763">
              <w:rPr>
                <w:rFonts w:ascii="Verdana" w:eastAsiaTheme="minorHAnsi" w:hAnsi="Verdana" w:cs="Arial"/>
                <w:color w:val="002060"/>
                <w:sz w:val="28"/>
                <w:szCs w:val="28"/>
              </w:rPr>
              <w:t>Public Sector Internal Audit Standards</w:t>
            </w:r>
          </w:p>
        </w:tc>
      </w:tr>
      <w:tr w:rsidR="001C4F2D" w:rsidRPr="00333664" w14:paraId="1A3CAE02" w14:textId="77777777" w:rsidTr="003E43C7">
        <w:trPr>
          <w:trHeight w:hRule="exact" w:val="510"/>
        </w:trPr>
        <w:tc>
          <w:tcPr>
            <w:tcW w:w="2172" w:type="dxa"/>
            <w:tcBorders>
              <w:top w:val="single" w:sz="18" w:space="0" w:color="002060"/>
              <w:bottom w:val="single" w:sz="4" w:space="0" w:color="002060"/>
            </w:tcBorders>
            <w:shd w:val="clear" w:color="auto" w:fill="FFFFFF" w:themeFill="background1"/>
            <w:vAlign w:val="center"/>
          </w:tcPr>
          <w:p w14:paraId="4493E1B5" w14:textId="50678435" w:rsidR="001C4F2D" w:rsidRPr="003F1763" w:rsidRDefault="001C4F2D" w:rsidP="00506B65">
            <w:pPr>
              <w:tabs>
                <w:tab w:val="left" w:pos="9435"/>
              </w:tabs>
              <w:jc w:val="center"/>
              <w:rPr>
                <w:rFonts w:ascii="Verdana" w:hAnsi="Verdana" w:cs="Arial"/>
                <w:color w:val="002060"/>
                <w:sz w:val="28"/>
                <w:szCs w:val="28"/>
              </w:rPr>
            </w:pPr>
            <w:r w:rsidRPr="003F1763">
              <w:rPr>
                <w:rFonts w:ascii="Verdana" w:hAnsi="Verdana" w:cs="Arial"/>
                <w:color w:val="002060"/>
              </w:rPr>
              <w:t>Priority</w:t>
            </w:r>
          </w:p>
        </w:tc>
        <w:tc>
          <w:tcPr>
            <w:tcW w:w="5625" w:type="dxa"/>
            <w:tcBorders>
              <w:top w:val="single" w:sz="18" w:space="0" w:color="002060"/>
              <w:bottom w:val="single" w:sz="4" w:space="0" w:color="002060"/>
            </w:tcBorders>
            <w:shd w:val="clear" w:color="auto" w:fill="FFFFFF" w:themeFill="background1"/>
            <w:vAlign w:val="center"/>
          </w:tcPr>
          <w:p w14:paraId="7846A56E" w14:textId="5176A364" w:rsidR="001C4F2D" w:rsidRPr="003F1763" w:rsidRDefault="001C4F2D" w:rsidP="00A96988">
            <w:pPr>
              <w:tabs>
                <w:tab w:val="left" w:pos="9435"/>
              </w:tabs>
              <w:rPr>
                <w:rFonts w:ascii="Verdana" w:hAnsi="Verdana" w:cs="Arial"/>
                <w:color w:val="002060"/>
              </w:rPr>
            </w:pPr>
            <w:r w:rsidRPr="003F1763">
              <w:rPr>
                <w:rFonts w:ascii="Verdana" w:hAnsi="Verdana" w:cs="Arial"/>
                <w:color w:val="002060"/>
              </w:rPr>
              <w:t>Explanation</w:t>
            </w:r>
          </w:p>
        </w:tc>
        <w:tc>
          <w:tcPr>
            <w:tcW w:w="567" w:type="dxa"/>
            <w:vMerge/>
            <w:tcBorders>
              <w:top w:val="single" w:sz="18" w:space="0" w:color="FFFFFF" w:themeColor="background1"/>
            </w:tcBorders>
          </w:tcPr>
          <w:p w14:paraId="49457482" w14:textId="77777777" w:rsidR="001C4F2D" w:rsidRPr="00333664" w:rsidRDefault="001C4F2D" w:rsidP="00A96988">
            <w:pPr>
              <w:tabs>
                <w:tab w:val="left" w:pos="9435"/>
              </w:tabs>
              <w:rPr>
                <w:rFonts w:ascii="Verdana" w:hAnsi="Verdana" w:cs="Arial"/>
                <w:b/>
                <w:bCs/>
                <w:color w:val="FFFFFF"/>
              </w:rPr>
            </w:pPr>
          </w:p>
        </w:tc>
        <w:tc>
          <w:tcPr>
            <w:tcW w:w="7654" w:type="dxa"/>
            <w:vMerge w:val="restart"/>
            <w:tcBorders>
              <w:top w:val="single" w:sz="18" w:space="0" w:color="FFFFFF" w:themeColor="background1"/>
            </w:tcBorders>
            <w:shd w:val="clear" w:color="auto" w:fill="FFFFFF" w:themeFill="background1"/>
            <w:vAlign w:val="center"/>
          </w:tcPr>
          <w:p w14:paraId="08936956" w14:textId="030E433C" w:rsidR="001C4F2D" w:rsidRPr="003F1763" w:rsidRDefault="00A940F5" w:rsidP="007A4918">
            <w:pPr>
              <w:spacing w:before="120" w:after="120"/>
              <w:ind w:left="31"/>
              <w:jc w:val="both"/>
              <w:rPr>
                <w:rFonts w:ascii="Verdana" w:hAnsi="Verdana" w:cs="Arial"/>
                <w:color w:val="002060"/>
                <w:sz w:val="28"/>
                <w:szCs w:val="28"/>
              </w:rPr>
            </w:pPr>
            <w:r w:rsidRPr="00BD2583">
              <w:rPr>
                <w:noProof/>
              </w:rPr>
              <w:drawing>
                <wp:anchor distT="0" distB="0" distL="114300" distR="114300" simplePos="0" relativeHeight="251658241" behindDoc="0" locked="0" layoutInCell="1" allowOverlap="1" wp14:anchorId="6905332C" wp14:editId="5CAE1B72">
                  <wp:simplePos x="0" y="0"/>
                  <wp:positionH relativeFrom="column">
                    <wp:posOffset>3761105</wp:posOffset>
                  </wp:positionH>
                  <wp:positionV relativeFrom="paragraph">
                    <wp:posOffset>-13335</wp:posOffset>
                  </wp:positionV>
                  <wp:extent cx="920115" cy="913130"/>
                  <wp:effectExtent l="0" t="0" r="0" b="127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30" cstate="print">
                            <a:extLst>
                              <a:ext uri="{28A0092B-C50C-407E-A947-70E740481C1C}">
                                <a14:useLocalDpi xmlns:a14="http://schemas.microsoft.com/office/drawing/2010/main" val="0"/>
                              </a:ext>
                            </a:extLst>
                          </a:blip>
                          <a:srcRect l="90184"/>
                          <a:stretch/>
                        </pic:blipFill>
                        <pic:spPr bwMode="auto">
                          <a:xfrm>
                            <a:off x="0" y="0"/>
                            <a:ext cx="920115" cy="913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C4F2D" w:rsidRPr="003F1763">
              <w:rPr>
                <w:rFonts w:ascii="Verdana" w:hAnsi="Verdana"/>
                <w:sz w:val="18"/>
                <w:szCs w:val="18"/>
              </w:rPr>
              <w:t>Audit work undertaken by NHS Wales Audit and Assurance Services conforms with the International Standards for the Professional Practice of Internal Auditing and associated Public Sector Internal Audit Standards as validated through the external quality assessment undertaken by the Chartered Institute of Public Finance &amp; Accountancy in April 2023.</w:t>
            </w:r>
            <w:r w:rsidRPr="00BD2583">
              <w:rPr>
                <w:noProof/>
              </w:rPr>
              <w:t xml:space="preserve"> </w:t>
            </w:r>
          </w:p>
        </w:tc>
      </w:tr>
      <w:tr w:rsidR="001C4F2D" w:rsidRPr="00333664" w14:paraId="7551B2E0" w14:textId="4010C6D3" w:rsidTr="003E43C7">
        <w:tc>
          <w:tcPr>
            <w:tcW w:w="2172" w:type="dxa"/>
            <w:tcBorders>
              <w:top w:val="single" w:sz="4" w:space="0" w:color="002060"/>
              <w:bottom w:val="dashed" w:sz="4" w:space="0" w:color="auto"/>
            </w:tcBorders>
            <w:shd w:val="clear" w:color="auto" w:fill="FF0000"/>
            <w:vAlign w:val="center"/>
          </w:tcPr>
          <w:p w14:paraId="4A1ED8F3" w14:textId="77777777" w:rsidR="001C4F2D" w:rsidRPr="007A4918" w:rsidRDefault="001C4F2D" w:rsidP="00333664">
            <w:pPr>
              <w:tabs>
                <w:tab w:val="left" w:pos="9435"/>
              </w:tabs>
              <w:spacing w:before="60" w:after="60"/>
              <w:jc w:val="center"/>
              <w:rPr>
                <w:rFonts w:ascii="Verdana" w:hAnsi="Verdana" w:cs="Arial"/>
                <w:b/>
              </w:rPr>
            </w:pPr>
            <w:r w:rsidRPr="007A4918">
              <w:rPr>
                <w:rFonts w:ascii="Verdana" w:hAnsi="Verdana" w:cs="Arial"/>
                <w:b/>
                <w:color w:val="FFFFFF" w:themeColor="background1"/>
              </w:rPr>
              <w:t>High</w:t>
            </w:r>
          </w:p>
        </w:tc>
        <w:tc>
          <w:tcPr>
            <w:tcW w:w="5625" w:type="dxa"/>
            <w:tcBorders>
              <w:top w:val="single" w:sz="4" w:space="0" w:color="002060"/>
              <w:bottom w:val="dashed" w:sz="4" w:space="0" w:color="auto"/>
            </w:tcBorders>
            <w:shd w:val="clear" w:color="auto" w:fill="FFFFFF" w:themeFill="background1"/>
          </w:tcPr>
          <w:p w14:paraId="69ADB45D" w14:textId="12959DFD" w:rsidR="001C4F2D" w:rsidRPr="003F1763" w:rsidRDefault="001C4F2D" w:rsidP="008F3239">
            <w:pPr>
              <w:spacing w:before="60" w:after="60"/>
              <w:jc w:val="both"/>
              <w:rPr>
                <w:rFonts w:ascii="Verdana" w:hAnsi="Verdana" w:cs="Arial"/>
                <w:sz w:val="18"/>
                <w:szCs w:val="18"/>
              </w:rPr>
            </w:pPr>
            <w:r w:rsidRPr="003F1763">
              <w:rPr>
                <w:rFonts w:ascii="Verdana" w:hAnsi="Verdana" w:cs="Arial"/>
                <w:sz w:val="18"/>
                <w:szCs w:val="18"/>
              </w:rPr>
              <w:t>Significant risk to achievement of a system objective OR evidence present of material loss, error, or misstatement.</w:t>
            </w:r>
            <w:r w:rsidR="00CC3D82">
              <w:rPr>
                <w:rFonts w:ascii="Verdana" w:hAnsi="Verdana" w:cs="Arial"/>
                <w:sz w:val="18"/>
                <w:szCs w:val="18"/>
              </w:rPr>
              <w:t xml:space="preserve"> </w:t>
            </w:r>
            <w:r w:rsidR="00CC3D82" w:rsidRPr="003F1763">
              <w:rPr>
                <w:rFonts w:ascii="Verdana" w:hAnsi="Verdana" w:cs="Arial"/>
                <w:sz w:val="18"/>
                <w:szCs w:val="18"/>
              </w:rPr>
              <w:t>Poor system design OR widespread non-compliance.</w:t>
            </w:r>
          </w:p>
        </w:tc>
        <w:tc>
          <w:tcPr>
            <w:tcW w:w="567" w:type="dxa"/>
            <w:vMerge/>
            <w:tcBorders>
              <w:top w:val="single" w:sz="18" w:space="0" w:color="FFFFFF" w:themeColor="background1"/>
            </w:tcBorders>
          </w:tcPr>
          <w:p w14:paraId="70BE576D" w14:textId="77777777" w:rsidR="001C4F2D" w:rsidRPr="003F1763" w:rsidRDefault="001C4F2D" w:rsidP="008F3239">
            <w:pPr>
              <w:spacing w:before="60" w:after="60"/>
              <w:jc w:val="both"/>
              <w:rPr>
                <w:rFonts w:ascii="Verdana" w:hAnsi="Verdana" w:cs="Arial"/>
                <w:sz w:val="18"/>
                <w:szCs w:val="18"/>
              </w:rPr>
            </w:pPr>
          </w:p>
        </w:tc>
        <w:tc>
          <w:tcPr>
            <w:tcW w:w="7654" w:type="dxa"/>
            <w:vMerge/>
            <w:shd w:val="clear" w:color="auto" w:fill="FFFFFF" w:themeFill="background1"/>
          </w:tcPr>
          <w:p w14:paraId="5EA85688" w14:textId="6BC110D3" w:rsidR="001C4F2D" w:rsidRPr="003F1763" w:rsidRDefault="001C4F2D" w:rsidP="003F1763">
            <w:pPr>
              <w:jc w:val="both"/>
              <w:rPr>
                <w:rFonts w:ascii="Verdana" w:hAnsi="Verdana"/>
                <w:sz w:val="20"/>
                <w:szCs w:val="20"/>
              </w:rPr>
            </w:pPr>
          </w:p>
        </w:tc>
      </w:tr>
      <w:tr w:rsidR="001C4F2D" w:rsidRPr="00333664" w14:paraId="33C488B2" w14:textId="7B0C7CFD" w:rsidTr="003E43C7">
        <w:tc>
          <w:tcPr>
            <w:tcW w:w="2172" w:type="dxa"/>
            <w:tcBorders>
              <w:top w:val="dashed" w:sz="4" w:space="0" w:color="auto"/>
              <w:bottom w:val="single" w:sz="4" w:space="0" w:color="auto"/>
            </w:tcBorders>
            <w:shd w:val="clear" w:color="auto" w:fill="FFFF00"/>
            <w:vAlign w:val="center"/>
          </w:tcPr>
          <w:p w14:paraId="5A48294B" w14:textId="77777777" w:rsidR="001C4F2D" w:rsidRPr="007A4918" w:rsidRDefault="001C4F2D" w:rsidP="00333664">
            <w:pPr>
              <w:tabs>
                <w:tab w:val="left" w:pos="9435"/>
              </w:tabs>
              <w:spacing w:before="60" w:after="60"/>
              <w:jc w:val="center"/>
              <w:rPr>
                <w:rFonts w:ascii="Verdana" w:hAnsi="Verdana" w:cs="Arial"/>
                <w:b/>
              </w:rPr>
            </w:pPr>
            <w:r w:rsidRPr="007A4918">
              <w:rPr>
                <w:rFonts w:ascii="Verdana" w:hAnsi="Verdana" w:cs="Arial"/>
                <w:b/>
              </w:rPr>
              <w:t>Medium</w:t>
            </w:r>
          </w:p>
        </w:tc>
        <w:tc>
          <w:tcPr>
            <w:tcW w:w="5625" w:type="dxa"/>
            <w:tcBorders>
              <w:top w:val="dashed" w:sz="4" w:space="0" w:color="auto"/>
              <w:bottom w:val="single" w:sz="4" w:space="0" w:color="auto"/>
            </w:tcBorders>
            <w:shd w:val="clear" w:color="auto" w:fill="FFFFFF" w:themeFill="background1"/>
          </w:tcPr>
          <w:p w14:paraId="48D98AA0" w14:textId="21826FED" w:rsidR="001C4F2D" w:rsidRPr="003F1763" w:rsidRDefault="001C4F2D" w:rsidP="008F3239">
            <w:pPr>
              <w:spacing w:before="60" w:after="60"/>
              <w:jc w:val="both"/>
              <w:rPr>
                <w:rFonts w:ascii="Verdana" w:hAnsi="Verdana" w:cs="Arial"/>
                <w:sz w:val="18"/>
                <w:szCs w:val="18"/>
              </w:rPr>
            </w:pPr>
            <w:r w:rsidRPr="003F1763">
              <w:rPr>
                <w:rFonts w:ascii="Verdana" w:hAnsi="Verdana" w:cs="Arial"/>
                <w:sz w:val="18"/>
                <w:szCs w:val="18"/>
              </w:rPr>
              <w:t>Some risk to achievement of a system objective.</w:t>
            </w:r>
            <w:r w:rsidR="00CC3D82" w:rsidRPr="003F1763">
              <w:rPr>
                <w:rFonts w:ascii="Verdana" w:hAnsi="Verdana" w:cs="Arial"/>
                <w:sz w:val="18"/>
                <w:szCs w:val="18"/>
              </w:rPr>
              <w:t xml:space="preserve"> Minor weakness in system design OR limited non-compliance.</w:t>
            </w:r>
          </w:p>
        </w:tc>
        <w:tc>
          <w:tcPr>
            <w:tcW w:w="567" w:type="dxa"/>
            <w:vMerge/>
            <w:tcBorders>
              <w:top w:val="single" w:sz="18" w:space="0" w:color="FFFFFF" w:themeColor="background1"/>
            </w:tcBorders>
          </w:tcPr>
          <w:p w14:paraId="406FE4A3" w14:textId="77777777" w:rsidR="001C4F2D" w:rsidRPr="003F1763" w:rsidRDefault="001C4F2D" w:rsidP="008F3239">
            <w:pPr>
              <w:spacing w:before="60" w:after="60"/>
              <w:jc w:val="both"/>
              <w:rPr>
                <w:rFonts w:ascii="Verdana" w:hAnsi="Verdana" w:cs="Arial"/>
                <w:sz w:val="18"/>
                <w:szCs w:val="18"/>
              </w:rPr>
            </w:pPr>
          </w:p>
        </w:tc>
        <w:tc>
          <w:tcPr>
            <w:tcW w:w="7654" w:type="dxa"/>
            <w:vMerge/>
            <w:tcBorders>
              <w:bottom w:val="single" w:sz="4" w:space="0" w:color="auto"/>
            </w:tcBorders>
            <w:shd w:val="clear" w:color="auto" w:fill="FFFFFF" w:themeFill="background1"/>
          </w:tcPr>
          <w:p w14:paraId="2923F118" w14:textId="77777777" w:rsidR="001C4F2D" w:rsidRPr="003F1763" w:rsidRDefault="001C4F2D" w:rsidP="008F3239">
            <w:pPr>
              <w:spacing w:before="60" w:after="60"/>
              <w:jc w:val="both"/>
              <w:rPr>
                <w:rFonts w:ascii="Verdana" w:hAnsi="Verdana" w:cs="Arial"/>
                <w:sz w:val="18"/>
                <w:szCs w:val="18"/>
              </w:rPr>
            </w:pPr>
          </w:p>
        </w:tc>
      </w:tr>
    </w:tbl>
    <w:p w14:paraId="50573D1A" w14:textId="77777777" w:rsidR="00896E64" w:rsidRDefault="00896E64" w:rsidP="00EA6B44">
      <w:pPr>
        <w:rPr>
          <w:rFonts w:ascii="Verdana" w:eastAsia="Calibri" w:hAnsi="Verdana" w:cs="Arial"/>
          <w:sz w:val="20"/>
          <w:szCs w:val="20"/>
        </w:rPr>
      </w:pPr>
    </w:p>
    <w:p w14:paraId="58194FCF" w14:textId="5920231E" w:rsidR="008E2395" w:rsidRDefault="005A6F02" w:rsidP="00E201E1">
      <w:r w:rsidRPr="00333664">
        <w:rPr>
          <w:rFonts w:ascii="Verdana" w:eastAsia="Calibri" w:hAnsi="Verdana" w:cs="Arial"/>
          <w:sz w:val="20"/>
          <w:szCs w:val="20"/>
        </w:rPr>
        <w:t xml:space="preserve">Website: </w:t>
      </w:r>
      <w:hyperlink r:id="rId31" w:history="1">
        <w:r w:rsidRPr="00333664">
          <w:rPr>
            <w:rFonts w:ascii="Verdana" w:hAnsi="Verdana" w:cs="Arial"/>
            <w:color w:val="0000FF"/>
            <w:sz w:val="20"/>
            <w:szCs w:val="20"/>
            <w:u w:val="single"/>
          </w:rPr>
          <w:t>Audit &amp; Assurance Services - NHS Wales Shared Services Partnership</w:t>
        </w:r>
      </w:hyperlink>
    </w:p>
    <w:sectPr w:rsidR="008E2395" w:rsidSect="00250D44">
      <w:headerReference w:type="default" r:id="rId32"/>
      <w:footerReference w:type="default" r:id="rId33"/>
      <w:pgSz w:w="16838" w:h="11906" w:orient="landscape"/>
      <w:pgMar w:top="264" w:right="284" w:bottom="284" w:left="284" w:header="284" w:footer="13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5E29B9" w14:textId="77777777" w:rsidR="004C3443" w:rsidRDefault="004C3443" w:rsidP="00BD2583">
      <w:pPr>
        <w:spacing w:after="0" w:line="240" w:lineRule="auto"/>
      </w:pPr>
      <w:r>
        <w:separator/>
      </w:r>
    </w:p>
  </w:endnote>
  <w:endnote w:type="continuationSeparator" w:id="0">
    <w:p w14:paraId="207E054B" w14:textId="77777777" w:rsidR="004C3443" w:rsidRDefault="004C3443" w:rsidP="00BD2583">
      <w:pPr>
        <w:spacing w:after="0" w:line="240" w:lineRule="auto"/>
      </w:pPr>
      <w:r>
        <w:continuationSeparator/>
      </w:r>
    </w:p>
  </w:endnote>
  <w:endnote w:type="continuationNotice" w:id="1">
    <w:p w14:paraId="4BEEFBE8" w14:textId="77777777" w:rsidR="004C3443" w:rsidRDefault="004C34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94B17" w14:textId="326C49DC" w:rsidR="00B5219C" w:rsidRDefault="005F7207">
    <w:pPr>
      <w:pStyle w:val="Footer"/>
    </w:pPr>
    <w:r>
      <w:rPr>
        <w:noProof/>
        <w:color w:val="2B579A"/>
        <w:shd w:val="clear" w:color="auto" w:fill="E6E6E6"/>
        <w:lang w:eastAsia="en-GB"/>
      </w:rPr>
      <w:drawing>
        <wp:anchor distT="0" distB="0" distL="114300" distR="114300" simplePos="0" relativeHeight="251657728" behindDoc="1" locked="0" layoutInCell="1" allowOverlap="1" wp14:anchorId="6E696116" wp14:editId="31282C57">
          <wp:simplePos x="0" y="0"/>
          <wp:positionH relativeFrom="column">
            <wp:posOffset>6764655</wp:posOffset>
          </wp:positionH>
          <wp:positionV relativeFrom="paragraph">
            <wp:posOffset>3810</wp:posOffset>
          </wp:positionV>
          <wp:extent cx="2869565" cy="697230"/>
          <wp:effectExtent l="0" t="0" r="6985" b="7620"/>
          <wp:wrapNone/>
          <wp:docPr id="526345138" name="Picture 526345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69565" cy="697230"/>
                  </a:xfrm>
                  <a:prstGeom prst="rect">
                    <a:avLst/>
                  </a:prstGeom>
                  <a:noFill/>
                </pic:spPr>
              </pic:pic>
            </a:graphicData>
          </a:graphic>
          <wp14:sizeRelH relativeFrom="margin">
            <wp14:pctWidth>0</wp14:pctWidth>
          </wp14:sizeRelH>
          <wp14:sizeRelV relativeFrom="margin">
            <wp14:pctHeight>0</wp14:pctHeight>
          </wp14:sizeRelV>
        </wp:anchor>
      </w:drawing>
    </w:r>
  </w:p>
  <w:p w14:paraId="44C79A4F" w14:textId="3A17967A" w:rsidR="00BD2583" w:rsidRDefault="00BD25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5BB04D" w14:textId="77777777" w:rsidR="003019F0" w:rsidRDefault="003019F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rPr>
      <w:id w:val="1803426328"/>
      <w:docPartObj>
        <w:docPartGallery w:val="Page Numbers (Bottom of Page)"/>
        <w:docPartUnique/>
      </w:docPartObj>
    </w:sdtPr>
    <w:sdtEndPr/>
    <w:sdtContent>
      <w:p w14:paraId="768273F4" w14:textId="77777777" w:rsidR="003019F0" w:rsidRPr="009A0912" w:rsidRDefault="003019F0" w:rsidP="00C06578">
        <w:pPr>
          <w:jc w:val="right"/>
          <w:rPr>
            <w:rFonts w:asciiTheme="majorHAnsi" w:eastAsiaTheme="majorEastAsia" w:hAnsiTheme="majorHAnsi" w:cstheme="majorBidi"/>
          </w:rPr>
        </w:pPr>
        <w:r>
          <w:rPr>
            <w:noProof/>
          </w:rPr>
          <mc:AlternateContent>
            <mc:Choice Requires="wps">
              <w:drawing>
                <wp:anchor distT="0" distB="0" distL="114300" distR="114300" simplePos="0" relativeHeight="251656704" behindDoc="0" locked="0" layoutInCell="1" allowOverlap="1" wp14:anchorId="5556171E" wp14:editId="62C1C1E6">
                  <wp:simplePos x="0" y="0"/>
                  <wp:positionH relativeFrom="leftMargin">
                    <wp:posOffset>9994900</wp:posOffset>
                  </wp:positionH>
                  <wp:positionV relativeFrom="bottomMargin">
                    <wp:posOffset>41910</wp:posOffset>
                  </wp:positionV>
                  <wp:extent cx="565785" cy="191770"/>
                  <wp:effectExtent l="0" t="0" r="0" b="0"/>
                  <wp:wrapNone/>
                  <wp:docPr id="58648189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2B28B7A9" w14:textId="77777777" w:rsidR="003019F0" w:rsidRPr="00B167F9" w:rsidRDefault="003019F0">
                              <w:pPr>
                                <w:pBdr>
                                  <w:top w:val="single" w:sz="4" w:space="1" w:color="7F7F7F" w:themeColor="background1" w:themeShade="7F"/>
                                </w:pBdr>
                                <w:jc w:val="center"/>
                                <w:rPr>
                                  <w:b/>
                                  <w:bCs/>
                                  <w:color w:val="002060"/>
                                </w:rPr>
                              </w:pPr>
                              <w:r w:rsidRPr="00B167F9">
                                <w:rPr>
                                  <w:b/>
                                  <w:bCs/>
                                  <w:color w:val="002060"/>
                                </w:rPr>
                                <w:fldChar w:fldCharType="begin"/>
                              </w:r>
                              <w:r w:rsidRPr="00B167F9">
                                <w:rPr>
                                  <w:b/>
                                  <w:bCs/>
                                  <w:color w:val="002060"/>
                                </w:rPr>
                                <w:instrText xml:space="preserve"> PAGE   \* MERGEFORMAT </w:instrText>
                              </w:r>
                              <w:r w:rsidRPr="00B167F9">
                                <w:rPr>
                                  <w:b/>
                                  <w:bCs/>
                                  <w:color w:val="002060"/>
                                </w:rPr>
                                <w:fldChar w:fldCharType="separate"/>
                              </w:r>
                              <w:r w:rsidRPr="00B167F9">
                                <w:rPr>
                                  <w:b/>
                                  <w:bCs/>
                                  <w:noProof/>
                                  <w:color w:val="002060"/>
                                </w:rPr>
                                <w:t>2</w:t>
                              </w:r>
                              <w:r w:rsidRPr="00B167F9">
                                <w:rPr>
                                  <w:b/>
                                  <w:bCs/>
                                  <w:noProof/>
                                  <w:color w:val="002060"/>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5556171E" id="Rectangle 4" o:spid="_x0000_s1029" style="position:absolute;left:0;text-align:left;margin-left:787pt;margin-top:3.3pt;width:44.55pt;height:15.1pt;rotation:180;flip:x;z-index:25165670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" filled="f" fillcolor="#c0504d" stroked="f" strokecolor="#5c83b4" strokeweight="2.25pt">
                  <v:textbox inset=",0,,0">
                    <w:txbxContent>
                      <w:p w14:paraId="2B28B7A9" w14:textId="77777777" w:rsidR="003019F0" w:rsidRPr="00B167F9" w:rsidRDefault="003019F0">
                        <w:pPr>
                          <w:pBdr>
                            <w:top w:val="single" w:sz="4" w:space="1" w:color="7F7F7F" w:themeColor="background1" w:themeShade="7F"/>
                          </w:pBdr>
                          <w:jc w:val="center"/>
                          <w:rPr>
                            <w:b/>
                            <w:bCs/>
                            <w:color w:val="002060"/>
                          </w:rPr>
                        </w:pPr>
                        <w:r w:rsidRPr="00B167F9">
                          <w:rPr>
                            <w:b/>
                            <w:bCs/>
                            <w:color w:val="002060"/>
                          </w:rPr>
                          <w:fldChar w:fldCharType="begin"/>
                        </w:r>
                        <w:r w:rsidRPr="00B167F9">
                          <w:rPr>
                            <w:b/>
                            <w:bCs/>
                            <w:color w:val="002060"/>
                          </w:rPr>
                          <w:instrText xml:space="preserve"> PAGE   \* MERGEFORMAT </w:instrText>
                        </w:r>
                        <w:r w:rsidRPr="00B167F9">
                          <w:rPr>
                            <w:b/>
                            <w:bCs/>
                            <w:color w:val="002060"/>
                          </w:rPr>
                          <w:fldChar w:fldCharType="separate"/>
                        </w:r>
                        <w:r w:rsidRPr="00B167F9">
                          <w:rPr>
                            <w:b/>
                            <w:bCs/>
                            <w:noProof/>
                            <w:color w:val="002060"/>
                          </w:rPr>
                          <w:t>2</w:t>
                        </w:r>
                        <w:r w:rsidRPr="00B167F9">
                          <w:rPr>
                            <w:b/>
                            <w:bCs/>
                            <w:noProof/>
                            <w:color w:val="002060"/>
                          </w:rPr>
                          <w:fldChar w:fldCharType="end"/>
                        </w:r>
                      </w:p>
                    </w:txbxContent>
                  </v:textbox>
                  <w10:wrap anchorx="margin" anchory="margin"/>
                </v:rect>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D962F" w14:textId="77777777" w:rsidR="003019F0" w:rsidRDefault="003019F0">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440E3" w14:textId="28DBB412" w:rsidR="002F036E" w:rsidRDefault="00F004C2" w:rsidP="00FD0807">
    <w:pPr>
      <w:pStyle w:val="Footer"/>
      <w:ind w:right="394"/>
      <w:jc w:val="right"/>
    </w:pPr>
    <w:r>
      <w:rPr>
        <w:noProof/>
      </w:rPr>
      <w:drawing>
        <wp:inline distT="0" distB="0" distL="0" distR="0" wp14:anchorId="26FC6FE6" wp14:editId="223C6CAE">
          <wp:extent cx="1454150" cy="444863"/>
          <wp:effectExtent l="0" t="0" r="0" b="0"/>
          <wp:docPr id="20203924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5829" cy="448436"/>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4DA767" w14:textId="77777777" w:rsidR="004C3443" w:rsidRDefault="004C3443" w:rsidP="00BD2583">
      <w:pPr>
        <w:spacing w:after="0" w:line="240" w:lineRule="auto"/>
      </w:pPr>
      <w:r>
        <w:separator/>
      </w:r>
    </w:p>
  </w:footnote>
  <w:footnote w:type="continuationSeparator" w:id="0">
    <w:p w14:paraId="7E633F9C" w14:textId="77777777" w:rsidR="004C3443" w:rsidRDefault="004C3443" w:rsidP="00BD2583">
      <w:pPr>
        <w:spacing w:after="0" w:line="240" w:lineRule="auto"/>
      </w:pPr>
      <w:r>
        <w:continuationSeparator/>
      </w:r>
    </w:p>
  </w:footnote>
  <w:footnote w:type="continuationNotice" w:id="1">
    <w:p w14:paraId="60AD1331" w14:textId="77777777" w:rsidR="004C3443" w:rsidRDefault="004C3443">
      <w:pPr>
        <w:spacing w:after="0" w:line="240" w:lineRule="auto"/>
      </w:pPr>
    </w:p>
  </w:footnote>
  <w:footnote w:id="2">
    <w:p w14:paraId="7A1D2B13" w14:textId="535BB629" w:rsidR="002C350E" w:rsidRDefault="002C350E">
      <w:pPr>
        <w:pStyle w:val="FootnoteText"/>
      </w:pPr>
      <w:r>
        <w:rPr>
          <w:rStyle w:val="FootnoteReference"/>
        </w:rPr>
        <w:footnoteRef/>
      </w:r>
      <w:r>
        <w:t xml:space="preserve"> </w:t>
      </w:r>
      <w:r w:rsidRPr="002C350E">
        <w:t>The health board remains under Targeted Intervention in relation to Finance and Strategy &amp; Planning. These areas are linked through the de-escalation criteria set by Welsh Government, which include the requirement for the submission of a balanced and credible three-year medium-term plan, or an acceptable annual plan in line with the current planning framework.</w:t>
      </w:r>
      <w:r w:rsidR="00BD3AF9">
        <w:t xml:space="preserve"> Noting the health board was in receipt of external support to address its financial </w:t>
      </w:r>
      <w:r w:rsidR="002873F0">
        <w:t xml:space="preserve">status at the time of fieldwork our review has concentrated on actions to address </w:t>
      </w:r>
      <w:r w:rsidR="009A2A26">
        <w:t>escalation within the</w:t>
      </w:r>
      <w:r w:rsidR="00E950F3">
        <w:t xml:space="preserve"> Performance and </w:t>
      </w:r>
      <w:r w:rsidR="009A2A26">
        <w:t>Outcomes domain</w:t>
      </w:r>
      <w:r w:rsidR="002873F0">
        <w:t>.</w:t>
      </w:r>
      <w:r w:rsidR="009F5124">
        <w:t xml:space="preserve"> </w:t>
      </w:r>
      <w:r w:rsidR="009F5124" w:rsidRPr="00415F65">
        <w:t xml:space="preserve">The </w:t>
      </w:r>
      <w:r w:rsidR="009F5124">
        <w:t>h</w:t>
      </w:r>
      <w:r w:rsidR="009F5124" w:rsidRPr="00415F65">
        <w:t xml:space="preserve">ealth </w:t>
      </w:r>
      <w:r w:rsidR="009F5124">
        <w:t>b</w:t>
      </w:r>
      <w:r w:rsidR="009F5124" w:rsidRPr="00415F65">
        <w:t xml:space="preserve">oard’s Maternity and Neonatal Services were escalated from Enhanced Monitoring to Targeted Intervention following the publication of an Independent Review in July 2025. At the time of our fieldwork, the </w:t>
      </w:r>
      <w:r w:rsidR="009F5124">
        <w:t>h</w:t>
      </w:r>
      <w:r w:rsidR="009F5124" w:rsidRPr="00415F65">
        <w:t xml:space="preserve">ealth </w:t>
      </w:r>
      <w:r w:rsidR="009F5124">
        <w:t>b</w:t>
      </w:r>
      <w:r w:rsidR="009F5124" w:rsidRPr="00415F65">
        <w:t xml:space="preserve">oard had not yet received </w:t>
      </w:r>
      <w:r w:rsidR="009F5124">
        <w:t>the</w:t>
      </w:r>
      <w:r w:rsidR="009F5124" w:rsidRPr="00415F65">
        <w:t xml:space="preserve"> Escalation Framework or the associated de-escalation criteria</w:t>
      </w:r>
      <w:r w:rsidR="009F5124">
        <w:t>. T</w:t>
      </w:r>
      <w:r w:rsidR="009F5124" w:rsidRPr="00415F65">
        <w:t>hese services were excluded from our sample of actions</w:t>
      </w:r>
      <w:r w:rsidR="009F5124">
        <w:t>, but we did consider the related governance established within Audit Objective 1.</w:t>
      </w:r>
    </w:p>
  </w:footnote>
  <w:footnote w:id="3">
    <w:p w14:paraId="28F444E3" w14:textId="77777777" w:rsidR="00110FDB" w:rsidRDefault="00110FDB" w:rsidP="00110FDB">
      <w:pPr>
        <w:pStyle w:val="FootnoteText"/>
      </w:pPr>
      <w:r>
        <w:rPr>
          <w:rStyle w:val="FootnoteReference"/>
        </w:rPr>
        <w:footnoteRef/>
      </w:r>
      <w:r>
        <w:t xml:space="preserve"> August 2025 performance data reported within September 2025 unless noted otherwise (CAMHS)</w:t>
      </w:r>
    </w:p>
    <w:p w14:paraId="3E037B3A" w14:textId="77777777" w:rsidR="00110FDB" w:rsidRDefault="00110FDB" w:rsidP="00110FDB">
      <w:pPr>
        <w:pStyle w:val="FootnoteText"/>
      </w:pPr>
    </w:p>
  </w:footnote>
  <w:footnote w:id="4">
    <w:p w14:paraId="269B33D8" w14:textId="1FF1310D" w:rsidR="00110FDB" w:rsidRDefault="00110FDB" w:rsidP="00110FDB">
      <w:pPr>
        <w:pStyle w:val="FootnoteText"/>
      </w:pPr>
      <w:r>
        <w:rPr>
          <w:rStyle w:val="FootnoteReference"/>
        </w:rPr>
        <w:footnoteRef/>
      </w:r>
      <w:r>
        <w:t xml:space="preserve"> Since December 2024</w:t>
      </w:r>
      <w:r w:rsidR="002F6C38">
        <w:t>,</w:t>
      </w:r>
      <w:r>
        <w:t xml:space="preserve"> health board reporting against this indicator has been for </w:t>
      </w:r>
      <w:r w:rsidRPr="00E27726">
        <w:t>total</w:t>
      </w:r>
      <w:r>
        <w:t xml:space="preserve"> number of </w:t>
      </w:r>
      <w:r w:rsidRPr="00E27726">
        <w:t xml:space="preserve">handover hours </w:t>
      </w:r>
      <w:r>
        <w:t>rather than the % reduction.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A2028" w14:textId="10FFDC68" w:rsidR="00BD2583" w:rsidRDefault="00830437">
    <w:pPr>
      <w:pStyle w:val="Header"/>
    </w:pPr>
    <w:r>
      <w:rPr>
        <w:color w:val="2B579A"/>
        <w:shd w:val="clear" w:color="auto" w:fill="E6E6E6"/>
      </w:rPr>
      <w:pict w14:anchorId="2DD058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4913376" o:spid="_x0000_s1025" type="#_x0000_t75" style="position:absolute;margin-left:-43.7pt;margin-top:-145.75pt;width:841.7pt;height:841.85pt;z-index:-251657728;mso-position-horizontal-relative:margin;mso-position-vertical-relative:margin" o:allowincell="f">
          <v:imagedata r:id="rId1" o:title="Backgroun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FF588" w14:textId="77777777" w:rsidR="003019F0" w:rsidRDefault="003019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0E17CF" w14:textId="77777777" w:rsidR="003019F0" w:rsidRPr="00333664" w:rsidRDefault="003019F0">
    <w:pPr>
      <w:pStyle w:val="Header"/>
      <w:rPr>
        <w:rFonts w:ascii="Verdana" w:hAnsi="Verdana"/>
        <w:sz w:val="28"/>
        <w:szCs w:val="2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FA3C9" w14:textId="77777777" w:rsidR="003019F0" w:rsidRDefault="003019F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296B9" w14:textId="5A31B465" w:rsidR="00A0028F" w:rsidRPr="00A0028F" w:rsidRDefault="00A0028F">
    <w:pPr>
      <w:pStyle w:val="Header"/>
      <w:rPr>
        <w:rFonts w:ascii="Verdana" w:hAnsi="Verdana"/>
        <w:sz w:val="36"/>
        <w:szCs w:val="3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E2BE5"/>
    <w:multiLevelType w:val="hybridMultilevel"/>
    <w:tmpl w:val="3872F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62469"/>
    <w:multiLevelType w:val="hybridMultilevel"/>
    <w:tmpl w:val="FA0C6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7F0654"/>
    <w:multiLevelType w:val="hybridMultilevel"/>
    <w:tmpl w:val="01708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2571B"/>
    <w:multiLevelType w:val="multilevel"/>
    <w:tmpl w:val="FA5643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DE1B0B"/>
    <w:multiLevelType w:val="multilevel"/>
    <w:tmpl w:val="5830A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2170A81"/>
    <w:multiLevelType w:val="hybridMultilevel"/>
    <w:tmpl w:val="A8AE9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857F67"/>
    <w:multiLevelType w:val="multilevel"/>
    <w:tmpl w:val="D4EE4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D7651AD"/>
    <w:multiLevelType w:val="hybridMultilevel"/>
    <w:tmpl w:val="316C42A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8" w15:restartNumberingAfterBreak="0">
    <w:nsid w:val="2FF457D4"/>
    <w:multiLevelType w:val="hybridMultilevel"/>
    <w:tmpl w:val="CD0A7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A5197D"/>
    <w:multiLevelType w:val="hybridMultilevel"/>
    <w:tmpl w:val="796E03DA"/>
    <w:lvl w:ilvl="0" w:tplc="327654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0224E8"/>
    <w:multiLevelType w:val="hybridMultilevel"/>
    <w:tmpl w:val="10387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DB97095"/>
    <w:multiLevelType w:val="multilevel"/>
    <w:tmpl w:val="CDB63F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0E53739"/>
    <w:multiLevelType w:val="hybridMultilevel"/>
    <w:tmpl w:val="9500C4E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3" w15:restartNumberingAfterBreak="0">
    <w:nsid w:val="55CD618C"/>
    <w:multiLevelType w:val="multilevel"/>
    <w:tmpl w:val="E73A4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3B569FE"/>
    <w:multiLevelType w:val="multilevel"/>
    <w:tmpl w:val="E820A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D174D54"/>
    <w:multiLevelType w:val="hybridMultilevel"/>
    <w:tmpl w:val="8D546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46003879">
    <w:abstractNumId w:val="11"/>
  </w:num>
  <w:num w:numId="2" w16cid:durableId="1170408484">
    <w:abstractNumId w:val="3"/>
  </w:num>
  <w:num w:numId="3" w16cid:durableId="484780442">
    <w:abstractNumId w:val="6"/>
  </w:num>
  <w:num w:numId="4" w16cid:durableId="662971006">
    <w:abstractNumId w:val="4"/>
  </w:num>
  <w:num w:numId="5" w16cid:durableId="515583297">
    <w:abstractNumId w:val="14"/>
  </w:num>
  <w:num w:numId="6" w16cid:durableId="422922260">
    <w:abstractNumId w:val="13"/>
  </w:num>
  <w:num w:numId="7" w16cid:durableId="1880388957">
    <w:abstractNumId w:val="12"/>
  </w:num>
  <w:num w:numId="8" w16cid:durableId="186255129">
    <w:abstractNumId w:val="1"/>
  </w:num>
  <w:num w:numId="9" w16cid:durableId="1303268058">
    <w:abstractNumId w:val="10"/>
  </w:num>
  <w:num w:numId="10" w16cid:durableId="1702626638">
    <w:abstractNumId w:val="7"/>
  </w:num>
  <w:num w:numId="11" w16cid:durableId="1394351448">
    <w:abstractNumId w:val="0"/>
  </w:num>
  <w:num w:numId="12" w16cid:durableId="1489399591">
    <w:abstractNumId w:val="15"/>
  </w:num>
  <w:num w:numId="13" w16cid:durableId="1837454832">
    <w:abstractNumId w:val="5"/>
  </w:num>
  <w:num w:numId="14" w16cid:durableId="26831716">
    <w:abstractNumId w:val="8"/>
  </w:num>
  <w:num w:numId="15" w16cid:durableId="17509823">
    <w:abstractNumId w:val="9"/>
  </w:num>
  <w:num w:numId="16" w16cid:durableId="323819711">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displayBackgroundShape/>
  <w:proofState w:spelling="clean" w:grammar="clean"/>
  <w:defaultTabStop w:val="720"/>
  <w:characterSpacingControl w:val="doNotCompress"/>
  <w:hdrShapeDefaults>
    <o:shapedefaults v:ext="edit" spidmax="2050">
      <o:colormru v:ext="edit" colors="#f0f5fa"/>
    </o:shapedefaults>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2583"/>
    <w:rsid w:val="0000007D"/>
    <w:rsid w:val="000003DC"/>
    <w:rsid w:val="0000044E"/>
    <w:rsid w:val="00000808"/>
    <w:rsid w:val="000013DA"/>
    <w:rsid w:val="000020D5"/>
    <w:rsid w:val="00002730"/>
    <w:rsid w:val="00002817"/>
    <w:rsid w:val="0000304D"/>
    <w:rsid w:val="00003AA0"/>
    <w:rsid w:val="00004111"/>
    <w:rsid w:val="00004779"/>
    <w:rsid w:val="0000482E"/>
    <w:rsid w:val="000048A8"/>
    <w:rsid w:val="00004951"/>
    <w:rsid w:val="00004995"/>
    <w:rsid w:val="00004A2D"/>
    <w:rsid w:val="000053A4"/>
    <w:rsid w:val="00005516"/>
    <w:rsid w:val="000055D9"/>
    <w:rsid w:val="0000563E"/>
    <w:rsid w:val="00005B0C"/>
    <w:rsid w:val="00005F69"/>
    <w:rsid w:val="00006190"/>
    <w:rsid w:val="00006543"/>
    <w:rsid w:val="00006895"/>
    <w:rsid w:val="000071F3"/>
    <w:rsid w:val="00007791"/>
    <w:rsid w:val="000077A5"/>
    <w:rsid w:val="000077C9"/>
    <w:rsid w:val="00007A67"/>
    <w:rsid w:val="00007C12"/>
    <w:rsid w:val="000105DA"/>
    <w:rsid w:val="00010654"/>
    <w:rsid w:val="00010758"/>
    <w:rsid w:val="00010782"/>
    <w:rsid w:val="00010910"/>
    <w:rsid w:val="00010DD9"/>
    <w:rsid w:val="00010E13"/>
    <w:rsid w:val="00010FAC"/>
    <w:rsid w:val="00011629"/>
    <w:rsid w:val="0001176C"/>
    <w:rsid w:val="00011DFC"/>
    <w:rsid w:val="00012457"/>
    <w:rsid w:val="0001297A"/>
    <w:rsid w:val="00012CFD"/>
    <w:rsid w:val="00012FD8"/>
    <w:rsid w:val="00013407"/>
    <w:rsid w:val="00013866"/>
    <w:rsid w:val="00013D57"/>
    <w:rsid w:val="00014060"/>
    <w:rsid w:val="00014635"/>
    <w:rsid w:val="00014D06"/>
    <w:rsid w:val="00014F32"/>
    <w:rsid w:val="000165B8"/>
    <w:rsid w:val="000168F7"/>
    <w:rsid w:val="0001693B"/>
    <w:rsid w:val="000202CA"/>
    <w:rsid w:val="00020E14"/>
    <w:rsid w:val="000210E7"/>
    <w:rsid w:val="00021AB1"/>
    <w:rsid w:val="00021DB4"/>
    <w:rsid w:val="0002220C"/>
    <w:rsid w:val="0002228F"/>
    <w:rsid w:val="000222D4"/>
    <w:rsid w:val="000224EB"/>
    <w:rsid w:val="000226F4"/>
    <w:rsid w:val="000228AF"/>
    <w:rsid w:val="00022A82"/>
    <w:rsid w:val="00022B08"/>
    <w:rsid w:val="00023326"/>
    <w:rsid w:val="00023345"/>
    <w:rsid w:val="0002362F"/>
    <w:rsid w:val="00023777"/>
    <w:rsid w:val="00023957"/>
    <w:rsid w:val="00023CBD"/>
    <w:rsid w:val="00023E48"/>
    <w:rsid w:val="0002428D"/>
    <w:rsid w:val="000245A2"/>
    <w:rsid w:val="00024AB0"/>
    <w:rsid w:val="00024C7A"/>
    <w:rsid w:val="000252CD"/>
    <w:rsid w:val="00025355"/>
    <w:rsid w:val="0002584D"/>
    <w:rsid w:val="00025A46"/>
    <w:rsid w:val="00026444"/>
    <w:rsid w:val="000264A9"/>
    <w:rsid w:val="00026A3E"/>
    <w:rsid w:val="00026FE1"/>
    <w:rsid w:val="000277E9"/>
    <w:rsid w:val="00027A45"/>
    <w:rsid w:val="00027D88"/>
    <w:rsid w:val="00027E6B"/>
    <w:rsid w:val="000304A5"/>
    <w:rsid w:val="0003055E"/>
    <w:rsid w:val="0003069E"/>
    <w:rsid w:val="00030A3B"/>
    <w:rsid w:val="00030B59"/>
    <w:rsid w:val="00030C49"/>
    <w:rsid w:val="000311B6"/>
    <w:rsid w:val="00031266"/>
    <w:rsid w:val="000312A8"/>
    <w:rsid w:val="00031A06"/>
    <w:rsid w:val="00031AA7"/>
    <w:rsid w:val="00031FD9"/>
    <w:rsid w:val="00032229"/>
    <w:rsid w:val="000323C7"/>
    <w:rsid w:val="00033092"/>
    <w:rsid w:val="00033A0E"/>
    <w:rsid w:val="00033A87"/>
    <w:rsid w:val="00034154"/>
    <w:rsid w:val="000347B4"/>
    <w:rsid w:val="00034AEF"/>
    <w:rsid w:val="00034F83"/>
    <w:rsid w:val="00035120"/>
    <w:rsid w:val="00035DEC"/>
    <w:rsid w:val="00036434"/>
    <w:rsid w:val="000365CE"/>
    <w:rsid w:val="00036D3E"/>
    <w:rsid w:val="000371B9"/>
    <w:rsid w:val="000373AE"/>
    <w:rsid w:val="000377E5"/>
    <w:rsid w:val="00037827"/>
    <w:rsid w:val="00037EFF"/>
    <w:rsid w:val="000402BF"/>
    <w:rsid w:val="00040433"/>
    <w:rsid w:val="00040DF6"/>
    <w:rsid w:val="00040EBF"/>
    <w:rsid w:val="00040F59"/>
    <w:rsid w:val="0004102C"/>
    <w:rsid w:val="0004152B"/>
    <w:rsid w:val="00041613"/>
    <w:rsid w:val="00041A54"/>
    <w:rsid w:val="00041D01"/>
    <w:rsid w:val="00041FE9"/>
    <w:rsid w:val="000422D0"/>
    <w:rsid w:val="000423C1"/>
    <w:rsid w:val="00042EE1"/>
    <w:rsid w:val="00043160"/>
    <w:rsid w:val="000432BF"/>
    <w:rsid w:val="0004394C"/>
    <w:rsid w:val="00044797"/>
    <w:rsid w:val="000448E4"/>
    <w:rsid w:val="00044A0C"/>
    <w:rsid w:val="00044BF4"/>
    <w:rsid w:val="000454D4"/>
    <w:rsid w:val="00045604"/>
    <w:rsid w:val="0004674A"/>
    <w:rsid w:val="0004677C"/>
    <w:rsid w:val="000467AC"/>
    <w:rsid w:val="00046F36"/>
    <w:rsid w:val="00047030"/>
    <w:rsid w:val="00047457"/>
    <w:rsid w:val="00047778"/>
    <w:rsid w:val="00047A2F"/>
    <w:rsid w:val="00047D68"/>
    <w:rsid w:val="00050ADB"/>
    <w:rsid w:val="00050E71"/>
    <w:rsid w:val="00051264"/>
    <w:rsid w:val="000512D6"/>
    <w:rsid w:val="0005139B"/>
    <w:rsid w:val="00051AB4"/>
    <w:rsid w:val="00051F74"/>
    <w:rsid w:val="00051FB1"/>
    <w:rsid w:val="0005261B"/>
    <w:rsid w:val="000528D5"/>
    <w:rsid w:val="00052A94"/>
    <w:rsid w:val="00053134"/>
    <w:rsid w:val="000534AA"/>
    <w:rsid w:val="00053505"/>
    <w:rsid w:val="000535A0"/>
    <w:rsid w:val="000539AB"/>
    <w:rsid w:val="00053B89"/>
    <w:rsid w:val="00053DEB"/>
    <w:rsid w:val="00054273"/>
    <w:rsid w:val="00054886"/>
    <w:rsid w:val="000548C7"/>
    <w:rsid w:val="00055547"/>
    <w:rsid w:val="00055815"/>
    <w:rsid w:val="00055B83"/>
    <w:rsid w:val="00055CE2"/>
    <w:rsid w:val="00055EA9"/>
    <w:rsid w:val="00056083"/>
    <w:rsid w:val="000565A6"/>
    <w:rsid w:val="00056FA6"/>
    <w:rsid w:val="00057139"/>
    <w:rsid w:val="00057556"/>
    <w:rsid w:val="00057701"/>
    <w:rsid w:val="00057B30"/>
    <w:rsid w:val="00060654"/>
    <w:rsid w:val="000609D2"/>
    <w:rsid w:val="00060A56"/>
    <w:rsid w:val="00060BF4"/>
    <w:rsid w:val="00060C1F"/>
    <w:rsid w:val="00060CD2"/>
    <w:rsid w:val="00060D5F"/>
    <w:rsid w:val="00061991"/>
    <w:rsid w:val="00061FB3"/>
    <w:rsid w:val="0006223C"/>
    <w:rsid w:val="00062634"/>
    <w:rsid w:val="00062AEF"/>
    <w:rsid w:val="00063324"/>
    <w:rsid w:val="0006345B"/>
    <w:rsid w:val="00063E51"/>
    <w:rsid w:val="00063F27"/>
    <w:rsid w:val="000646E8"/>
    <w:rsid w:val="000647D5"/>
    <w:rsid w:val="00064A04"/>
    <w:rsid w:val="00064B96"/>
    <w:rsid w:val="0006548A"/>
    <w:rsid w:val="000657D7"/>
    <w:rsid w:val="00065CC2"/>
    <w:rsid w:val="00065D1A"/>
    <w:rsid w:val="0006681A"/>
    <w:rsid w:val="00066841"/>
    <w:rsid w:val="00066960"/>
    <w:rsid w:val="00066AF3"/>
    <w:rsid w:val="00066C4A"/>
    <w:rsid w:val="00067B8D"/>
    <w:rsid w:val="00067C06"/>
    <w:rsid w:val="00070206"/>
    <w:rsid w:val="00070393"/>
    <w:rsid w:val="000708D3"/>
    <w:rsid w:val="00070A27"/>
    <w:rsid w:val="00070F61"/>
    <w:rsid w:val="00071308"/>
    <w:rsid w:val="0007133B"/>
    <w:rsid w:val="000715C1"/>
    <w:rsid w:val="0007164C"/>
    <w:rsid w:val="00071939"/>
    <w:rsid w:val="00071D16"/>
    <w:rsid w:val="00071E61"/>
    <w:rsid w:val="00071FBF"/>
    <w:rsid w:val="0007254A"/>
    <w:rsid w:val="000725B4"/>
    <w:rsid w:val="0007284E"/>
    <w:rsid w:val="0007293C"/>
    <w:rsid w:val="000729AA"/>
    <w:rsid w:val="000729D6"/>
    <w:rsid w:val="00072B9A"/>
    <w:rsid w:val="00072E04"/>
    <w:rsid w:val="00072F38"/>
    <w:rsid w:val="000733BF"/>
    <w:rsid w:val="00073725"/>
    <w:rsid w:val="0007390C"/>
    <w:rsid w:val="00073AAF"/>
    <w:rsid w:val="00073E75"/>
    <w:rsid w:val="00074E56"/>
    <w:rsid w:val="00074FB3"/>
    <w:rsid w:val="00074FF4"/>
    <w:rsid w:val="00075B5C"/>
    <w:rsid w:val="00075E88"/>
    <w:rsid w:val="00075F01"/>
    <w:rsid w:val="0007637F"/>
    <w:rsid w:val="00076472"/>
    <w:rsid w:val="00076BAA"/>
    <w:rsid w:val="00077632"/>
    <w:rsid w:val="00077670"/>
    <w:rsid w:val="00080530"/>
    <w:rsid w:val="0008090B"/>
    <w:rsid w:val="0008096E"/>
    <w:rsid w:val="000809FA"/>
    <w:rsid w:val="00080AA1"/>
    <w:rsid w:val="00080D54"/>
    <w:rsid w:val="0008111E"/>
    <w:rsid w:val="00081849"/>
    <w:rsid w:val="0008190B"/>
    <w:rsid w:val="00081B58"/>
    <w:rsid w:val="000822DC"/>
    <w:rsid w:val="000825A4"/>
    <w:rsid w:val="00082982"/>
    <w:rsid w:val="00082EEB"/>
    <w:rsid w:val="000832AA"/>
    <w:rsid w:val="00083C30"/>
    <w:rsid w:val="00083E12"/>
    <w:rsid w:val="000846E2"/>
    <w:rsid w:val="00084BAB"/>
    <w:rsid w:val="00084C96"/>
    <w:rsid w:val="00084E85"/>
    <w:rsid w:val="0008533B"/>
    <w:rsid w:val="00085514"/>
    <w:rsid w:val="000865EA"/>
    <w:rsid w:val="00086655"/>
    <w:rsid w:val="00086ACC"/>
    <w:rsid w:val="00086BF3"/>
    <w:rsid w:val="00087206"/>
    <w:rsid w:val="00090045"/>
    <w:rsid w:val="00090270"/>
    <w:rsid w:val="000908C0"/>
    <w:rsid w:val="00090D4E"/>
    <w:rsid w:val="00091497"/>
    <w:rsid w:val="0009179E"/>
    <w:rsid w:val="00092341"/>
    <w:rsid w:val="00092720"/>
    <w:rsid w:val="000929B0"/>
    <w:rsid w:val="00092D8C"/>
    <w:rsid w:val="00092FCB"/>
    <w:rsid w:val="0009318D"/>
    <w:rsid w:val="0009335B"/>
    <w:rsid w:val="000933EE"/>
    <w:rsid w:val="000939CE"/>
    <w:rsid w:val="00093AA5"/>
    <w:rsid w:val="00093B62"/>
    <w:rsid w:val="00093C87"/>
    <w:rsid w:val="00093C92"/>
    <w:rsid w:val="00093CA6"/>
    <w:rsid w:val="00094169"/>
    <w:rsid w:val="000943F2"/>
    <w:rsid w:val="000946FB"/>
    <w:rsid w:val="00094847"/>
    <w:rsid w:val="00094F9C"/>
    <w:rsid w:val="00095072"/>
    <w:rsid w:val="0009627B"/>
    <w:rsid w:val="00096FFF"/>
    <w:rsid w:val="00097286"/>
    <w:rsid w:val="000972CE"/>
    <w:rsid w:val="000979D8"/>
    <w:rsid w:val="000A06B0"/>
    <w:rsid w:val="000A09C5"/>
    <w:rsid w:val="000A0AAF"/>
    <w:rsid w:val="000A0F0B"/>
    <w:rsid w:val="000A1063"/>
    <w:rsid w:val="000A114D"/>
    <w:rsid w:val="000A13EC"/>
    <w:rsid w:val="000A15DA"/>
    <w:rsid w:val="000A1658"/>
    <w:rsid w:val="000A1B87"/>
    <w:rsid w:val="000A1C32"/>
    <w:rsid w:val="000A2345"/>
    <w:rsid w:val="000A2892"/>
    <w:rsid w:val="000A2B6B"/>
    <w:rsid w:val="000A2CDA"/>
    <w:rsid w:val="000A2D16"/>
    <w:rsid w:val="000A2DB2"/>
    <w:rsid w:val="000A377C"/>
    <w:rsid w:val="000A3D16"/>
    <w:rsid w:val="000A3EBA"/>
    <w:rsid w:val="000A4318"/>
    <w:rsid w:val="000A43EE"/>
    <w:rsid w:val="000A4621"/>
    <w:rsid w:val="000A4BA0"/>
    <w:rsid w:val="000A505C"/>
    <w:rsid w:val="000A5570"/>
    <w:rsid w:val="000A5911"/>
    <w:rsid w:val="000A5C99"/>
    <w:rsid w:val="000A5DEB"/>
    <w:rsid w:val="000A6A60"/>
    <w:rsid w:val="000A6E36"/>
    <w:rsid w:val="000A6F86"/>
    <w:rsid w:val="000A70E0"/>
    <w:rsid w:val="000A7446"/>
    <w:rsid w:val="000A7527"/>
    <w:rsid w:val="000A7AA8"/>
    <w:rsid w:val="000A7B2A"/>
    <w:rsid w:val="000A7F27"/>
    <w:rsid w:val="000B00AC"/>
    <w:rsid w:val="000B0499"/>
    <w:rsid w:val="000B07B3"/>
    <w:rsid w:val="000B09C2"/>
    <w:rsid w:val="000B0F00"/>
    <w:rsid w:val="000B1340"/>
    <w:rsid w:val="000B1645"/>
    <w:rsid w:val="000B17DF"/>
    <w:rsid w:val="000B19C6"/>
    <w:rsid w:val="000B1A03"/>
    <w:rsid w:val="000B1F1D"/>
    <w:rsid w:val="000B2086"/>
    <w:rsid w:val="000B23B8"/>
    <w:rsid w:val="000B2616"/>
    <w:rsid w:val="000B2E09"/>
    <w:rsid w:val="000B3109"/>
    <w:rsid w:val="000B34D1"/>
    <w:rsid w:val="000B398F"/>
    <w:rsid w:val="000B472E"/>
    <w:rsid w:val="000B50CB"/>
    <w:rsid w:val="000B5248"/>
    <w:rsid w:val="000B54D2"/>
    <w:rsid w:val="000B567A"/>
    <w:rsid w:val="000B5A72"/>
    <w:rsid w:val="000B603E"/>
    <w:rsid w:val="000B6932"/>
    <w:rsid w:val="000B699C"/>
    <w:rsid w:val="000B6EDD"/>
    <w:rsid w:val="000B7054"/>
    <w:rsid w:val="000B73C3"/>
    <w:rsid w:val="000B7543"/>
    <w:rsid w:val="000B7E4F"/>
    <w:rsid w:val="000C001A"/>
    <w:rsid w:val="000C0278"/>
    <w:rsid w:val="000C06C9"/>
    <w:rsid w:val="000C097C"/>
    <w:rsid w:val="000C0D9E"/>
    <w:rsid w:val="000C1601"/>
    <w:rsid w:val="000C1A00"/>
    <w:rsid w:val="000C1CF2"/>
    <w:rsid w:val="000C207D"/>
    <w:rsid w:val="000C20B2"/>
    <w:rsid w:val="000C2BE7"/>
    <w:rsid w:val="000C2C31"/>
    <w:rsid w:val="000C37BD"/>
    <w:rsid w:val="000C38D0"/>
    <w:rsid w:val="000C3AC9"/>
    <w:rsid w:val="000C3FAF"/>
    <w:rsid w:val="000C43DB"/>
    <w:rsid w:val="000C45A3"/>
    <w:rsid w:val="000C49D0"/>
    <w:rsid w:val="000C4A52"/>
    <w:rsid w:val="000C4A75"/>
    <w:rsid w:val="000C4F5D"/>
    <w:rsid w:val="000C505A"/>
    <w:rsid w:val="000C5150"/>
    <w:rsid w:val="000C5384"/>
    <w:rsid w:val="000C5E72"/>
    <w:rsid w:val="000C5F45"/>
    <w:rsid w:val="000C604D"/>
    <w:rsid w:val="000C6C12"/>
    <w:rsid w:val="000C6C6A"/>
    <w:rsid w:val="000C72CF"/>
    <w:rsid w:val="000C743F"/>
    <w:rsid w:val="000C75FD"/>
    <w:rsid w:val="000C77C6"/>
    <w:rsid w:val="000C7836"/>
    <w:rsid w:val="000C799E"/>
    <w:rsid w:val="000C7BBF"/>
    <w:rsid w:val="000D05E2"/>
    <w:rsid w:val="000D0BFD"/>
    <w:rsid w:val="000D0ECA"/>
    <w:rsid w:val="000D0FAE"/>
    <w:rsid w:val="000D1051"/>
    <w:rsid w:val="000D1052"/>
    <w:rsid w:val="000D12A8"/>
    <w:rsid w:val="000D12BC"/>
    <w:rsid w:val="000D1995"/>
    <w:rsid w:val="000D1FFB"/>
    <w:rsid w:val="000D2148"/>
    <w:rsid w:val="000D21EA"/>
    <w:rsid w:val="000D22BA"/>
    <w:rsid w:val="000D25BF"/>
    <w:rsid w:val="000D29C0"/>
    <w:rsid w:val="000D2B1C"/>
    <w:rsid w:val="000D2EFE"/>
    <w:rsid w:val="000D31F4"/>
    <w:rsid w:val="000D3510"/>
    <w:rsid w:val="000D389F"/>
    <w:rsid w:val="000D3FBD"/>
    <w:rsid w:val="000D402A"/>
    <w:rsid w:val="000D4031"/>
    <w:rsid w:val="000D4038"/>
    <w:rsid w:val="000D40A9"/>
    <w:rsid w:val="000D4A5F"/>
    <w:rsid w:val="000D4AC9"/>
    <w:rsid w:val="000D4B00"/>
    <w:rsid w:val="000D4D63"/>
    <w:rsid w:val="000D4EA7"/>
    <w:rsid w:val="000D4EC3"/>
    <w:rsid w:val="000D4F10"/>
    <w:rsid w:val="000D5321"/>
    <w:rsid w:val="000D6A35"/>
    <w:rsid w:val="000D6B45"/>
    <w:rsid w:val="000D73EA"/>
    <w:rsid w:val="000D76DF"/>
    <w:rsid w:val="000D77E5"/>
    <w:rsid w:val="000D7A67"/>
    <w:rsid w:val="000D7BD5"/>
    <w:rsid w:val="000D7C15"/>
    <w:rsid w:val="000D7C16"/>
    <w:rsid w:val="000D7EAD"/>
    <w:rsid w:val="000E0355"/>
    <w:rsid w:val="000E03D6"/>
    <w:rsid w:val="000E0791"/>
    <w:rsid w:val="000E080F"/>
    <w:rsid w:val="000E087D"/>
    <w:rsid w:val="000E0904"/>
    <w:rsid w:val="000E09E1"/>
    <w:rsid w:val="000E0A46"/>
    <w:rsid w:val="000E0A64"/>
    <w:rsid w:val="000E14E3"/>
    <w:rsid w:val="000E1B3A"/>
    <w:rsid w:val="000E1C3F"/>
    <w:rsid w:val="000E1CFF"/>
    <w:rsid w:val="000E1F4F"/>
    <w:rsid w:val="000E20D9"/>
    <w:rsid w:val="000E21E4"/>
    <w:rsid w:val="000E25D0"/>
    <w:rsid w:val="000E2A83"/>
    <w:rsid w:val="000E2DBD"/>
    <w:rsid w:val="000E2F35"/>
    <w:rsid w:val="000E3127"/>
    <w:rsid w:val="000E34E8"/>
    <w:rsid w:val="000E36D2"/>
    <w:rsid w:val="000E3A44"/>
    <w:rsid w:val="000E3B8A"/>
    <w:rsid w:val="000E4DC3"/>
    <w:rsid w:val="000E52A3"/>
    <w:rsid w:val="000E594D"/>
    <w:rsid w:val="000E596C"/>
    <w:rsid w:val="000E5BBF"/>
    <w:rsid w:val="000E5DB4"/>
    <w:rsid w:val="000E5FAE"/>
    <w:rsid w:val="000E6046"/>
    <w:rsid w:val="000E61CB"/>
    <w:rsid w:val="000E63A8"/>
    <w:rsid w:val="000E6B6C"/>
    <w:rsid w:val="000E6CA4"/>
    <w:rsid w:val="000E6F89"/>
    <w:rsid w:val="000E710D"/>
    <w:rsid w:val="000E71C6"/>
    <w:rsid w:val="000E76B2"/>
    <w:rsid w:val="000F07B3"/>
    <w:rsid w:val="000F154C"/>
    <w:rsid w:val="000F1980"/>
    <w:rsid w:val="000F1CF3"/>
    <w:rsid w:val="000F1E4E"/>
    <w:rsid w:val="000F2301"/>
    <w:rsid w:val="000F256B"/>
    <w:rsid w:val="000F266C"/>
    <w:rsid w:val="000F2D20"/>
    <w:rsid w:val="000F2ECF"/>
    <w:rsid w:val="000F33C6"/>
    <w:rsid w:val="000F35FA"/>
    <w:rsid w:val="000F3CA6"/>
    <w:rsid w:val="000F3E51"/>
    <w:rsid w:val="000F4F83"/>
    <w:rsid w:val="000F517C"/>
    <w:rsid w:val="000F58F4"/>
    <w:rsid w:val="000F6376"/>
    <w:rsid w:val="000F64C4"/>
    <w:rsid w:val="000F654F"/>
    <w:rsid w:val="000F6B03"/>
    <w:rsid w:val="000F7078"/>
    <w:rsid w:val="000F730C"/>
    <w:rsid w:val="000F793D"/>
    <w:rsid w:val="000F7BE3"/>
    <w:rsid w:val="001006C3"/>
    <w:rsid w:val="0010073B"/>
    <w:rsid w:val="00100879"/>
    <w:rsid w:val="00101454"/>
    <w:rsid w:val="001017D0"/>
    <w:rsid w:val="00101827"/>
    <w:rsid w:val="00101C46"/>
    <w:rsid w:val="00102235"/>
    <w:rsid w:val="001022FF"/>
    <w:rsid w:val="001026AA"/>
    <w:rsid w:val="00102B27"/>
    <w:rsid w:val="001033C1"/>
    <w:rsid w:val="0010343D"/>
    <w:rsid w:val="00103769"/>
    <w:rsid w:val="00103989"/>
    <w:rsid w:val="00103A6E"/>
    <w:rsid w:val="00103F5A"/>
    <w:rsid w:val="001047BD"/>
    <w:rsid w:val="00104E03"/>
    <w:rsid w:val="001052A8"/>
    <w:rsid w:val="001053E4"/>
    <w:rsid w:val="00105AD2"/>
    <w:rsid w:val="00105FD8"/>
    <w:rsid w:val="001064DB"/>
    <w:rsid w:val="001067E1"/>
    <w:rsid w:val="00106896"/>
    <w:rsid w:val="001068BE"/>
    <w:rsid w:val="00106F4E"/>
    <w:rsid w:val="00107659"/>
    <w:rsid w:val="00107B4E"/>
    <w:rsid w:val="00107F05"/>
    <w:rsid w:val="00107F66"/>
    <w:rsid w:val="00107FC7"/>
    <w:rsid w:val="00110060"/>
    <w:rsid w:val="00110385"/>
    <w:rsid w:val="001108A1"/>
    <w:rsid w:val="001109C3"/>
    <w:rsid w:val="00110B96"/>
    <w:rsid w:val="00110D30"/>
    <w:rsid w:val="00110E7E"/>
    <w:rsid w:val="00110F6A"/>
    <w:rsid w:val="00110FDB"/>
    <w:rsid w:val="00111342"/>
    <w:rsid w:val="001113F7"/>
    <w:rsid w:val="0011144A"/>
    <w:rsid w:val="001120B0"/>
    <w:rsid w:val="001122CA"/>
    <w:rsid w:val="0011233B"/>
    <w:rsid w:val="00112435"/>
    <w:rsid w:val="00112437"/>
    <w:rsid w:val="0011245F"/>
    <w:rsid w:val="00112B6D"/>
    <w:rsid w:val="00112C2F"/>
    <w:rsid w:val="00112FEB"/>
    <w:rsid w:val="001131F2"/>
    <w:rsid w:val="00113308"/>
    <w:rsid w:val="00113490"/>
    <w:rsid w:val="00113BDA"/>
    <w:rsid w:val="00113F34"/>
    <w:rsid w:val="00114C10"/>
    <w:rsid w:val="00114EF9"/>
    <w:rsid w:val="00114F58"/>
    <w:rsid w:val="00115295"/>
    <w:rsid w:val="00115414"/>
    <w:rsid w:val="00115451"/>
    <w:rsid w:val="001154A3"/>
    <w:rsid w:val="00115C2C"/>
    <w:rsid w:val="00115E0D"/>
    <w:rsid w:val="00115E76"/>
    <w:rsid w:val="00115ECB"/>
    <w:rsid w:val="0011636E"/>
    <w:rsid w:val="001164E2"/>
    <w:rsid w:val="00116569"/>
    <w:rsid w:val="00116E19"/>
    <w:rsid w:val="001174E1"/>
    <w:rsid w:val="001176CA"/>
    <w:rsid w:val="0012021E"/>
    <w:rsid w:val="00120361"/>
    <w:rsid w:val="001207C2"/>
    <w:rsid w:val="001207C6"/>
    <w:rsid w:val="00120BF9"/>
    <w:rsid w:val="00120F70"/>
    <w:rsid w:val="00121009"/>
    <w:rsid w:val="001210BF"/>
    <w:rsid w:val="0012143C"/>
    <w:rsid w:val="0012144E"/>
    <w:rsid w:val="00121B90"/>
    <w:rsid w:val="00121E64"/>
    <w:rsid w:val="001221BD"/>
    <w:rsid w:val="0012240B"/>
    <w:rsid w:val="001225E2"/>
    <w:rsid w:val="0012260F"/>
    <w:rsid w:val="00122731"/>
    <w:rsid w:val="0012275B"/>
    <w:rsid w:val="0012302E"/>
    <w:rsid w:val="001232D6"/>
    <w:rsid w:val="00123353"/>
    <w:rsid w:val="001234E2"/>
    <w:rsid w:val="001235F9"/>
    <w:rsid w:val="001236AE"/>
    <w:rsid w:val="001236E2"/>
    <w:rsid w:val="00123792"/>
    <w:rsid w:val="00124BCD"/>
    <w:rsid w:val="00124E22"/>
    <w:rsid w:val="001255EF"/>
    <w:rsid w:val="0012582B"/>
    <w:rsid w:val="00125E36"/>
    <w:rsid w:val="0012673A"/>
    <w:rsid w:val="001268B2"/>
    <w:rsid w:val="00126DA6"/>
    <w:rsid w:val="00126F97"/>
    <w:rsid w:val="0012767F"/>
    <w:rsid w:val="00127BC0"/>
    <w:rsid w:val="00127D51"/>
    <w:rsid w:val="00127D5C"/>
    <w:rsid w:val="0013031D"/>
    <w:rsid w:val="00130984"/>
    <w:rsid w:val="00130E1A"/>
    <w:rsid w:val="00131376"/>
    <w:rsid w:val="00131951"/>
    <w:rsid w:val="00131989"/>
    <w:rsid w:val="00131A02"/>
    <w:rsid w:val="00131F76"/>
    <w:rsid w:val="00132073"/>
    <w:rsid w:val="00132161"/>
    <w:rsid w:val="001326C2"/>
    <w:rsid w:val="00132F66"/>
    <w:rsid w:val="00133013"/>
    <w:rsid w:val="00133191"/>
    <w:rsid w:val="00133615"/>
    <w:rsid w:val="00133B6D"/>
    <w:rsid w:val="00134197"/>
    <w:rsid w:val="001349D1"/>
    <w:rsid w:val="00135517"/>
    <w:rsid w:val="00135CA0"/>
    <w:rsid w:val="00135CAF"/>
    <w:rsid w:val="00136661"/>
    <w:rsid w:val="00136B3C"/>
    <w:rsid w:val="001371DD"/>
    <w:rsid w:val="001371FD"/>
    <w:rsid w:val="00137221"/>
    <w:rsid w:val="001374C9"/>
    <w:rsid w:val="001379C0"/>
    <w:rsid w:val="001400A1"/>
    <w:rsid w:val="00140438"/>
    <w:rsid w:val="00140A1F"/>
    <w:rsid w:val="00140B6A"/>
    <w:rsid w:val="00140DFC"/>
    <w:rsid w:val="00140E37"/>
    <w:rsid w:val="00141091"/>
    <w:rsid w:val="001412DD"/>
    <w:rsid w:val="00141F43"/>
    <w:rsid w:val="00142303"/>
    <w:rsid w:val="001423D7"/>
    <w:rsid w:val="001423ED"/>
    <w:rsid w:val="001426E2"/>
    <w:rsid w:val="00142FE5"/>
    <w:rsid w:val="001432A4"/>
    <w:rsid w:val="00143AC3"/>
    <w:rsid w:val="00143F32"/>
    <w:rsid w:val="00144169"/>
    <w:rsid w:val="0014426E"/>
    <w:rsid w:val="00144292"/>
    <w:rsid w:val="001443C7"/>
    <w:rsid w:val="00144413"/>
    <w:rsid w:val="00144879"/>
    <w:rsid w:val="00144920"/>
    <w:rsid w:val="00144FBB"/>
    <w:rsid w:val="001454A5"/>
    <w:rsid w:val="001459B7"/>
    <w:rsid w:val="00145B24"/>
    <w:rsid w:val="0014624E"/>
    <w:rsid w:val="0014690A"/>
    <w:rsid w:val="0014693A"/>
    <w:rsid w:val="00146D8B"/>
    <w:rsid w:val="00146F4D"/>
    <w:rsid w:val="00147014"/>
    <w:rsid w:val="001478B6"/>
    <w:rsid w:val="00147DC9"/>
    <w:rsid w:val="00150153"/>
    <w:rsid w:val="001505C3"/>
    <w:rsid w:val="00150927"/>
    <w:rsid w:val="00150B4B"/>
    <w:rsid w:val="00150EB9"/>
    <w:rsid w:val="001513B1"/>
    <w:rsid w:val="001517DA"/>
    <w:rsid w:val="00151C0E"/>
    <w:rsid w:val="00151D9A"/>
    <w:rsid w:val="001524B6"/>
    <w:rsid w:val="001529C3"/>
    <w:rsid w:val="00152B24"/>
    <w:rsid w:val="00152C31"/>
    <w:rsid w:val="00152D66"/>
    <w:rsid w:val="00152DCB"/>
    <w:rsid w:val="0015331B"/>
    <w:rsid w:val="001535CF"/>
    <w:rsid w:val="001536A2"/>
    <w:rsid w:val="001536B6"/>
    <w:rsid w:val="00153833"/>
    <w:rsid w:val="0015387E"/>
    <w:rsid w:val="001541DE"/>
    <w:rsid w:val="00154221"/>
    <w:rsid w:val="00154444"/>
    <w:rsid w:val="0015447A"/>
    <w:rsid w:val="0015466D"/>
    <w:rsid w:val="001549A4"/>
    <w:rsid w:val="00154BB7"/>
    <w:rsid w:val="00154BC4"/>
    <w:rsid w:val="0015553F"/>
    <w:rsid w:val="00155BCA"/>
    <w:rsid w:val="00155D50"/>
    <w:rsid w:val="00155D75"/>
    <w:rsid w:val="00156052"/>
    <w:rsid w:val="00156396"/>
    <w:rsid w:val="0015641E"/>
    <w:rsid w:val="00156489"/>
    <w:rsid w:val="001564F7"/>
    <w:rsid w:val="00156875"/>
    <w:rsid w:val="0015699B"/>
    <w:rsid w:val="00157111"/>
    <w:rsid w:val="001572BA"/>
    <w:rsid w:val="0015750B"/>
    <w:rsid w:val="001576F7"/>
    <w:rsid w:val="00160BF9"/>
    <w:rsid w:val="00160D3A"/>
    <w:rsid w:val="001613A6"/>
    <w:rsid w:val="001613D4"/>
    <w:rsid w:val="00161841"/>
    <w:rsid w:val="00161F01"/>
    <w:rsid w:val="00162269"/>
    <w:rsid w:val="00162601"/>
    <w:rsid w:val="001629BA"/>
    <w:rsid w:val="00162C62"/>
    <w:rsid w:val="00163855"/>
    <w:rsid w:val="001639BF"/>
    <w:rsid w:val="001639CF"/>
    <w:rsid w:val="0016478A"/>
    <w:rsid w:val="00164C75"/>
    <w:rsid w:val="00165B7F"/>
    <w:rsid w:val="00166225"/>
    <w:rsid w:val="00166476"/>
    <w:rsid w:val="00166701"/>
    <w:rsid w:val="001672BA"/>
    <w:rsid w:val="001673C7"/>
    <w:rsid w:val="001678EF"/>
    <w:rsid w:val="00167F2C"/>
    <w:rsid w:val="0017052B"/>
    <w:rsid w:val="00170787"/>
    <w:rsid w:val="00170D22"/>
    <w:rsid w:val="00170E44"/>
    <w:rsid w:val="001717C4"/>
    <w:rsid w:val="00171B48"/>
    <w:rsid w:val="00171C02"/>
    <w:rsid w:val="00171C0E"/>
    <w:rsid w:val="00171D74"/>
    <w:rsid w:val="0017235A"/>
    <w:rsid w:val="0017267E"/>
    <w:rsid w:val="001726F2"/>
    <w:rsid w:val="00172B37"/>
    <w:rsid w:val="00172D8D"/>
    <w:rsid w:val="001734BC"/>
    <w:rsid w:val="00173771"/>
    <w:rsid w:val="00173804"/>
    <w:rsid w:val="001738B7"/>
    <w:rsid w:val="00173A1E"/>
    <w:rsid w:val="00173D90"/>
    <w:rsid w:val="001741B3"/>
    <w:rsid w:val="00174592"/>
    <w:rsid w:val="00174A0F"/>
    <w:rsid w:val="00175284"/>
    <w:rsid w:val="0017532B"/>
    <w:rsid w:val="0017544C"/>
    <w:rsid w:val="0017575E"/>
    <w:rsid w:val="00175B0F"/>
    <w:rsid w:val="00176044"/>
    <w:rsid w:val="001761FF"/>
    <w:rsid w:val="00176907"/>
    <w:rsid w:val="00176952"/>
    <w:rsid w:val="00176D4A"/>
    <w:rsid w:val="00176D9A"/>
    <w:rsid w:val="0017712C"/>
    <w:rsid w:val="0017722B"/>
    <w:rsid w:val="00177917"/>
    <w:rsid w:val="001779A2"/>
    <w:rsid w:val="00177E25"/>
    <w:rsid w:val="001809EA"/>
    <w:rsid w:val="0018139D"/>
    <w:rsid w:val="0018180B"/>
    <w:rsid w:val="00181B14"/>
    <w:rsid w:val="001822C5"/>
    <w:rsid w:val="0018268E"/>
    <w:rsid w:val="00182816"/>
    <w:rsid w:val="001829EB"/>
    <w:rsid w:val="00182CD3"/>
    <w:rsid w:val="00183A18"/>
    <w:rsid w:val="00183A49"/>
    <w:rsid w:val="00183AC7"/>
    <w:rsid w:val="00183D36"/>
    <w:rsid w:val="00183D7B"/>
    <w:rsid w:val="0018464F"/>
    <w:rsid w:val="0018475E"/>
    <w:rsid w:val="00184BB2"/>
    <w:rsid w:val="001852E4"/>
    <w:rsid w:val="00185BFB"/>
    <w:rsid w:val="00185EFA"/>
    <w:rsid w:val="001863F8"/>
    <w:rsid w:val="00186A89"/>
    <w:rsid w:val="00186AF1"/>
    <w:rsid w:val="001872DD"/>
    <w:rsid w:val="001874F6"/>
    <w:rsid w:val="001905C8"/>
    <w:rsid w:val="00190B8A"/>
    <w:rsid w:val="00190C4F"/>
    <w:rsid w:val="00190CB8"/>
    <w:rsid w:val="00191224"/>
    <w:rsid w:val="00191687"/>
    <w:rsid w:val="001917FB"/>
    <w:rsid w:val="00191D0B"/>
    <w:rsid w:val="00191DB0"/>
    <w:rsid w:val="001920A8"/>
    <w:rsid w:val="00192122"/>
    <w:rsid w:val="00192829"/>
    <w:rsid w:val="00192D3C"/>
    <w:rsid w:val="00193247"/>
    <w:rsid w:val="001944D3"/>
    <w:rsid w:val="00194A8A"/>
    <w:rsid w:val="00194B30"/>
    <w:rsid w:val="00194C8C"/>
    <w:rsid w:val="00194F28"/>
    <w:rsid w:val="001951F8"/>
    <w:rsid w:val="001953A2"/>
    <w:rsid w:val="001955D7"/>
    <w:rsid w:val="00195C15"/>
    <w:rsid w:val="00195E92"/>
    <w:rsid w:val="00195EBF"/>
    <w:rsid w:val="0019615B"/>
    <w:rsid w:val="001961FE"/>
    <w:rsid w:val="00196743"/>
    <w:rsid w:val="00196966"/>
    <w:rsid w:val="00196D8F"/>
    <w:rsid w:val="00196E33"/>
    <w:rsid w:val="0019710A"/>
    <w:rsid w:val="00197688"/>
    <w:rsid w:val="0019791A"/>
    <w:rsid w:val="001A05B7"/>
    <w:rsid w:val="001A1075"/>
    <w:rsid w:val="001A12FE"/>
    <w:rsid w:val="001A1BD5"/>
    <w:rsid w:val="001A24AB"/>
    <w:rsid w:val="001A2533"/>
    <w:rsid w:val="001A31A3"/>
    <w:rsid w:val="001A334E"/>
    <w:rsid w:val="001A3732"/>
    <w:rsid w:val="001A3D62"/>
    <w:rsid w:val="001A4331"/>
    <w:rsid w:val="001A48C4"/>
    <w:rsid w:val="001A4A08"/>
    <w:rsid w:val="001A5160"/>
    <w:rsid w:val="001A5453"/>
    <w:rsid w:val="001A55A3"/>
    <w:rsid w:val="001A59C6"/>
    <w:rsid w:val="001A5C1D"/>
    <w:rsid w:val="001A648A"/>
    <w:rsid w:val="001A6D7C"/>
    <w:rsid w:val="001A7159"/>
    <w:rsid w:val="001A7377"/>
    <w:rsid w:val="001A7539"/>
    <w:rsid w:val="001A76AD"/>
    <w:rsid w:val="001A775A"/>
    <w:rsid w:val="001A7B9D"/>
    <w:rsid w:val="001B0003"/>
    <w:rsid w:val="001B0456"/>
    <w:rsid w:val="001B12B1"/>
    <w:rsid w:val="001B1363"/>
    <w:rsid w:val="001B17BC"/>
    <w:rsid w:val="001B1A8F"/>
    <w:rsid w:val="001B1DC8"/>
    <w:rsid w:val="001B2289"/>
    <w:rsid w:val="001B24B9"/>
    <w:rsid w:val="001B2858"/>
    <w:rsid w:val="001B28E1"/>
    <w:rsid w:val="001B2AE6"/>
    <w:rsid w:val="001B2CF5"/>
    <w:rsid w:val="001B2EAD"/>
    <w:rsid w:val="001B3583"/>
    <w:rsid w:val="001B35C0"/>
    <w:rsid w:val="001B37A4"/>
    <w:rsid w:val="001B3A9F"/>
    <w:rsid w:val="001B3BCC"/>
    <w:rsid w:val="001B3E75"/>
    <w:rsid w:val="001B43B1"/>
    <w:rsid w:val="001B43B3"/>
    <w:rsid w:val="001B4878"/>
    <w:rsid w:val="001B4AEF"/>
    <w:rsid w:val="001B4C63"/>
    <w:rsid w:val="001B4DB9"/>
    <w:rsid w:val="001B4F28"/>
    <w:rsid w:val="001B5190"/>
    <w:rsid w:val="001B51F8"/>
    <w:rsid w:val="001B530B"/>
    <w:rsid w:val="001B547E"/>
    <w:rsid w:val="001B5D4C"/>
    <w:rsid w:val="001B654E"/>
    <w:rsid w:val="001B664A"/>
    <w:rsid w:val="001B67B2"/>
    <w:rsid w:val="001B6F1E"/>
    <w:rsid w:val="001B6F2E"/>
    <w:rsid w:val="001B71C4"/>
    <w:rsid w:val="001B720C"/>
    <w:rsid w:val="001B7592"/>
    <w:rsid w:val="001B76EA"/>
    <w:rsid w:val="001B7905"/>
    <w:rsid w:val="001B7E22"/>
    <w:rsid w:val="001C0A5E"/>
    <w:rsid w:val="001C0ED1"/>
    <w:rsid w:val="001C0F44"/>
    <w:rsid w:val="001C13D8"/>
    <w:rsid w:val="001C15B9"/>
    <w:rsid w:val="001C19A9"/>
    <w:rsid w:val="001C1CFE"/>
    <w:rsid w:val="001C1D34"/>
    <w:rsid w:val="001C21F2"/>
    <w:rsid w:val="001C221E"/>
    <w:rsid w:val="001C27AD"/>
    <w:rsid w:val="001C27B1"/>
    <w:rsid w:val="001C2A2B"/>
    <w:rsid w:val="001C2A7A"/>
    <w:rsid w:val="001C2D2E"/>
    <w:rsid w:val="001C31E9"/>
    <w:rsid w:val="001C34E6"/>
    <w:rsid w:val="001C35FA"/>
    <w:rsid w:val="001C3A7E"/>
    <w:rsid w:val="001C3C75"/>
    <w:rsid w:val="001C3E9E"/>
    <w:rsid w:val="001C4AC5"/>
    <w:rsid w:val="001C4F2D"/>
    <w:rsid w:val="001C5092"/>
    <w:rsid w:val="001C6043"/>
    <w:rsid w:val="001C64C8"/>
    <w:rsid w:val="001C66D1"/>
    <w:rsid w:val="001C6AA8"/>
    <w:rsid w:val="001C6AE5"/>
    <w:rsid w:val="001C6DA4"/>
    <w:rsid w:val="001C6E11"/>
    <w:rsid w:val="001C7131"/>
    <w:rsid w:val="001C7287"/>
    <w:rsid w:val="001C728D"/>
    <w:rsid w:val="001C7469"/>
    <w:rsid w:val="001C7A8F"/>
    <w:rsid w:val="001C7AFC"/>
    <w:rsid w:val="001D00A3"/>
    <w:rsid w:val="001D013F"/>
    <w:rsid w:val="001D01C1"/>
    <w:rsid w:val="001D02CA"/>
    <w:rsid w:val="001D0516"/>
    <w:rsid w:val="001D05BE"/>
    <w:rsid w:val="001D0724"/>
    <w:rsid w:val="001D0A2C"/>
    <w:rsid w:val="001D0C6A"/>
    <w:rsid w:val="001D0F6A"/>
    <w:rsid w:val="001D112F"/>
    <w:rsid w:val="001D138A"/>
    <w:rsid w:val="001D1BC8"/>
    <w:rsid w:val="001D1C02"/>
    <w:rsid w:val="001D214A"/>
    <w:rsid w:val="001D22A5"/>
    <w:rsid w:val="001D355D"/>
    <w:rsid w:val="001D359C"/>
    <w:rsid w:val="001D3E4F"/>
    <w:rsid w:val="001D3F7B"/>
    <w:rsid w:val="001D433A"/>
    <w:rsid w:val="001D473A"/>
    <w:rsid w:val="001D4DD1"/>
    <w:rsid w:val="001D50F0"/>
    <w:rsid w:val="001D5290"/>
    <w:rsid w:val="001D5645"/>
    <w:rsid w:val="001D5B79"/>
    <w:rsid w:val="001D63D7"/>
    <w:rsid w:val="001D66A5"/>
    <w:rsid w:val="001D6D55"/>
    <w:rsid w:val="001D6D5A"/>
    <w:rsid w:val="001D72D2"/>
    <w:rsid w:val="001D771C"/>
    <w:rsid w:val="001D78CA"/>
    <w:rsid w:val="001D7F41"/>
    <w:rsid w:val="001E02CE"/>
    <w:rsid w:val="001E0911"/>
    <w:rsid w:val="001E0A6F"/>
    <w:rsid w:val="001E0F0F"/>
    <w:rsid w:val="001E1190"/>
    <w:rsid w:val="001E1310"/>
    <w:rsid w:val="001E1329"/>
    <w:rsid w:val="001E16DC"/>
    <w:rsid w:val="001E1733"/>
    <w:rsid w:val="001E19BD"/>
    <w:rsid w:val="001E1BD0"/>
    <w:rsid w:val="001E20EB"/>
    <w:rsid w:val="001E20F7"/>
    <w:rsid w:val="001E22D0"/>
    <w:rsid w:val="001E2538"/>
    <w:rsid w:val="001E2632"/>
    <w:rsid w:val="001E2834"/>
    <w:rsid w:val="001E2A03"/>
    <w:rsid w:val="001E2B51"/>
    <w:rsid w:val="001E2C32"/>
    <w:rsid w:val="001E2D95"/>
    <w:rsid w:val="001E3112"/>
    <w:rsid w:val="001E3572"/>
    <w:rsid w:val="001E386C"/>
    <w:rsid w:val="001E3E35"/>
    <w:rsid w:val="001E405C"/>
    <w:rsid w:val="001E40AB"/>
    <w:rsid w:val="001E429C"/>
    <w:rsid w:val="001E437E"/>
    <w:rsid w:val="001E4787"/>
    <w:rsid w:val="001E49D1"/>
    <w:rsid w:val="001E52AC"/>
    <w:rsid w:val="001E53EB"/>
    <w:rsid w:val="001E54F1"/>
    <w:rsid w:val="001E550D"/>
    <w:rsid w:val="001E58A5"/>
    <w:rsid w:val="001E5C49"/>
    <w:rsid w:val="001E67CA"/>
    <w:rsid w:val="001E6C41"/>
    <w:rsid w:val="001E6CC4"/>
    <w:rsid w:val="001E6EE3"/>
    <w:rsid w:val="001E7331"/>
    <w:rsid w:val="001E7384"/>
    <w:rsid w:val="001E7835"/>
    <w:rsid w:val="001E79DF"/>
    <w:rsid w:val="001E7CBA"/>
    <w:rsid w:val="001E7EC9"/>
    <w:rsid w:val="001E7EE4"/>
    <w:rsid w:val="001F0AE0"/>
    <w:rsid w:val="001F117D"/>
    <w:rsid w:val="001F15F9"/>
    <w:rsid w:val="001F1743"/>
    <w:rsid w:val="001F193C"/>
    <w:rsid w:val="001F1E72"/>
    <w:rsid w:val="001F1ED3"/>
    <w:rsid w:val="001F217C"/>
    <w:rsid w:val="001F2574"/>
    <w:rsid w:val="001F282F"/>
    <w:rsid w:val="001F2918"/>
    <w:rsid w:val="001F29B8"/>
    <w:rsid w:val="001F2C3F"/>
    <w:rsid w:val="001F2D4E"/>
    <w:rsid w:val="001F3097"/>
    <w:rsid w:val="001F30E7"/>
    <w:rsid w:val="001F335C"/>
    <w:rsid w:val="001F33ED"/>
    <w:rsid w:val="001F36AF"/>
    <w:rsid w:val="001F3B04"/>
    <w:rsid w:val="001F437B"/>
    <w:rsid w:val="001F44EA"/>
    <w:rsid w:val="001F4AC7"/>
    <w:rsid w:val="001F4C61"/>
    <w:rsid w:val="001F506D"/>
    <w:rsid w:val="001F5447"/>
    <w:rsid w:val="001F58EA"/>
    <w:rsid w:val="001F592F"/>
    <w:rsid w:val="001F5A8B"/>
    <w:rsid w:val="001F5B4B"/>
    <w:rsid w:val="001F5BF0"/>
    <w:rsid w:val="001F5FA7"/>
    <w:rsid w:val="001F6160"/>
    <w:rsid w:val="001F670D"/>
    <w:rsid w:val="001F6F27"/>
    <w:rsid w:val="001F7178"/>
    <w:rsid w:val="001F784D"/>
    <w:rsid w:val="001F78FD"/>
    <w:rsid w:val="001F7B87"/>
    <w:rsid w:val="001F7C07"/>
    <w:rsid w:val="001F7F2F"/>
    <w:rsid w:val="00200083"/>
    <w:rsid w:val="00200909"/>
    <w:rsid w:val="00200E10"/>
    <w:rsid w:val="00201005"/>
    <w:rsid w:val="00201687"/>
    <w:rsid w:val="0020182B"/>
    <w:rsid w:val="00201951"/>
    <w:rsid w:val="00202259"/>
    <w:rsid w:val="00202B04"/>
    <w:rsid w:val="00202C06"/>
    <w:rsid w:val="002037B7"/>
    <w:rsid w:val="00203803"/>
    <w:rsid w:val="002038F8"/>
    <w:rsid w:val="00204275"/>
    <w:rsid w:val="00204B17"/>
    <w:rsid w:val="00205453"/>
    <w:rsid w:val="00205579"/>
    <w:rsid w:val="002056F2"/>
    <w:rsid w:val="00205C4A"/>
    <w:rsid w:val="00205DFC"/>
    <w:rsid w:val="00205F6C"/>
    <w:rsid w:val="002060D1"/>
    <w:rsid w:val="002060DB"/>
    <w:rsid w:val="0020615E"/>
    <w:rsid w:val="0020697F"/>
    <w:rsid w:val="002072A3"/>
    <w:rsid w:val="00207745"/>
    <w:rsid w:val="0020799E"/>
    <w:rsid w:val="00207B6D"/>
    <w:rsid w:val="00207D3B"/>
    <w:rsid w:val="00207F23"/>
    <w:rsid w:val="00210008"/>
    <w:rsid w:val="00210062"/>
    <w:rsid w:val="0021019C"/>
    <w:rsid w:val="00210359"/>
    <w:rsid w:val="0021059F"/>
    <w:rsid w:val="002107F0"/>
    <w:rsid w:val="00210908"/>
    <w:rsid w:val="00210C7B"/>
    <w:rsid w:val="00210EED"/>
    <w:rsid w:val="002110CA"/>
    <w:rsid w:val="00211317"/>
    <w:rsid w:val="002118E0"/>
    <w:rsid w:val="0021215D"/>
    <w:rsid w:val="002123AC"/>
    <w:rsid w:val="0021243B"/>
    <w:rsid w:val="0021267A"/>
    <w:rsid w:val="0021273A"/>
    <w:rsid w:val="00212B8C"/>
    <w:rsid w:val="00212BF8"/>
    <w:rsid w:val="00212D1C"/>
    <w:rsid w:val="0021314A"/>
    <w:rsid w:val="00213511"/>
    <w:rsid w:val="0021372B"/>
    <w:rsid w:val="00213902"/>
    <w:rsid w:val="00214415"/>
    <w:rsid w:val="0021446C"/>
    <w:rsid w:val="00214558"/>
    <w:rsid w:val="0021456B"/>
    <w:rsid w:val="002145CB"/>
    <w:rsid w:val="00214794"/>
    <w:rsid w:val="002152C9"/>
    <w:rsid w:val="0021561C"/>
    <w:rsid w:val="002158FF"/>
    <w:rsid w:val="00215D10"/>
    <w:rsid w:val="00217162"/>
    <w:rsid w:val="0021717E"/>
    <w:rsid w:val="00217205"/>
    <w:rsid w:val="002172B9"/>
    <w:rsid w:val="002172E5"/>
    <w:rsid w:val="0021739E"/>
    <w:rsid w:val="002176D0"/>
    <w:rsid w:val="00217877"/>
    <w:rsid w:val="00220243"/>
    <w:rsid w:val="002203B9"/>
    <w:rsid w:val="00220D63"/>
    <w:rsid w:val="00220D90"/>
    <w:rsid w:val="002214D6"/>
    <w:rsid w:val="00221645"/>
    <w:rsid w:val="0022165F"/>
    <w:rsid w:val="00221871"/>
    <w:rsid w:val="00221EB4"/>
    <w:rsid w:val="00222069"/>
    <w:rsid w:val="00222B41"/>
    <w:rsid w:val="00223015"/>
    <w:rsid w:val="00223356"/>
    <w:rsid w:val="002233B7"/>
    <w:rsid w:val="00223ED2"/>
    <w:rsid w:val="002240FD"/>
    <w:rsid w:val="0022422D"/>
    <w:rsid w:val="0022431A"/>
    <w:rsid w:val="00224454"/>
    <w:rsid w:val="00224980"/>
    <w:rsid w:val="00224DCA"/>
    <w:rsid w:val="00224F48"/>
    <w:rsid w:val="002252E6"/>
    <w:rsid w:val="00225366"/>
    <w:rsid w:val="00225388"/>
    <w:rsid w:val="00225505"/>
    <w:rsid w:val="002257ED"/>
    <w:rsid w:val="002258D6"/>
    <w:rsid w:val="00225C4B"/>
    <w:rsid w:val="00225E09"/>
    <w:rsid w:val="002261D3"/>
    <w:rsid w:val="002261EA"/>
    <w:rsid w:val="0022662D"/>
    <w:rsid w:val="002267AD"/>
    <w:rsid w:val="0022701F"/>
    <w:rsid w:val="00227045"/>
    <w:rsid w:val="0022765C"/>
    <w:rsid w:val="00227C74"/>
    <w:rsid w:val="00230063"/>
    <w:rsid w:val="002303AB"/>
    <w:rsid w:val="0023070A"/>
    <w:rsid w:val="00230906"/>
    <w:rsid w:val="00230A19"/>
    <w:rsid w:val="00230D40"/>
    <w:rsid w:val="0023158F"/>
    <w:rsid w:val="00231700"/>
    <w:rsid w:val="0023197F"/>
    <w:rsid w:val="0023199B"/>
    <w:rsid w:val="00231B41"/>
    <w:rsid w:val="002326C7"/>
    <w:rsid w:val="0023292B"/>
    <w:rsid w:val="00233193"/>
    <w:rsid w:val="002332DF"/>
    <w:rsid w:val="00233606"/>
    <w:rsid w:val="002338D1"/>
    <w:rsid w:val="00234327"/>
    <w:rsid w:val="0023490A"/>
    <w:rsid w:val="00235029"/>
    <w:rsid w:val="002353C7"/>
    <w:rsid w:val="002354C6"/>
    <w:rsid w:val="00235551"/>
    <w:rsid w:val="0023589B"/>
    <w:rsid w:val="0023594A"/>
    <w:rsid w:val="00235A63"/>
    <w:rsid w:val="00236060"/>
    <w:rsid w:val="00236234"/>
    <w:rsid w:val="002367F3"/>
    <w:rsid w:val="00236C7A"/>
    <w:rsid w:val="00236E10"/>
    <w:rsid w:val="002371AF"/>
    <w:rsid w:val="002372D9"/>
    <w:rsid w:val="002374E2"/>
    <w:rsid w:val="00237511"/>
    <w:rsid w:val="00237729"/>
    <w:rsid w:val="00237AB0"/>
    <w:rsid w:val="00237AD5"/>
    <w:rsid w:val="00237F22"/>
    <w:rsid w:val="0024024A"/>
    <w:rsid w:val="002402AE"/>
    <w:rsid w:val="00240605"/>
    <w:rsid w:val="00240963"/>
    <w:rsid w:val="002409B3"/>
    <w:rsid w:val="00240C04"/>
    <w:rsid w:val="00240D4F"/>
    <w:rsid w:val="00240DE4"/>
    <w:rsid w:val="00241467"/>
    <w:rsid w:val="00241468"/>
    <w:rsid w:val="00241668"/>
    <w:rsid w:val="00241756"/>
    <w:rsid w:val="00241B55"/>
    <w:rsid w:val="00241DF4"/>
    <w:rsid w:val="00241E89"/>
    <w:rsid w:val="00242127"/>
    <w:rsid w:val="0024233B"/>
    <w:rsid w:val="00242364"/>
    <w:rsid w:val="00242501"/>
    <w:rsid w:val="0024273C"/>
    <w:rsid w:val="00242A5E"/>
    <w:rsid w:val="00242ACA"/>
    <w:rsid w:val="002435DB"/>
    <w:rsid w:val="00243AD2"/>
    <w:rsid w:val="0024448C"/>
    <w:rsid w:val="002444FC"/>
    <w:rsid w:val="002448B3"/>
    <w:rsid w:val="00244BFF"/>
    <w:rsid w:val="00244EE6"/>
    <w:rsid w:val="002453C2"/>
    <w:rsid w:val="00245516"/>
    <w:rsid w:val="0024607E"/>
    <w:rsid w:val="002460B7"/>
    <w:rsid w:val="00246389"/>
    <w:rsid w:val="00246824"/>
    <w:rsid w:val="00246EFD"/>
    <w:rsid w:val="002473A6"/>
    <w:rsid w:val="00247673"/>
    <w:rsid w:val="00247D66"/>
    <w:rsid w:val="002508BC"/>
    <w:rsid w:val="00250C05"/>
    <w:rsid w:val="00250D44"/>
    <w:rsid w:val="00250DAD"/>
    <w:rsid w:val="0025145E"/>
    <w:rsid w:val="0025159D"/>
    <w:rsid w:val="00251CA4"/>
    <w:rsid w:val="00252CCE"/>
    <w:rsid w:val="00252CD3"/>
    <w:rsid w:val="00252DFA"/>
    <w:rsid w:val="00252EA2"/>
    <w:rsid w:val="00253122"/>
    <w:rsid w:val="002532B2"/>
    <w:rsid w:val="0025344A"/>
    <w:rsid w:val="0025374C"/>
    <w:rsid w:val="002538BA"/>
    <w:rsid w:val="00253A94"/>
    <w:rsid w:val="00253CDA"/>
    <w:rsid w:val="00253E04"/>
    <w:rsid w:val="00254367"/>
    <w:rsid w:val="00254BFC"/>
    <w:rsid w:val="00254C06"/>
    <w:rsid w:val="00254D62"/>
    <w:rsid w:val="00254EB0"/>
    <w:rsid w:val="00255034"/>
    <w:rsid w:val="002550D5"/>
    <w:rsid w:val="002552C1"/>
    <w:rsid w:val="00255ADE"/>
    <w:rsid w:val="00255DB2"/>
    <w:rsid w:val="00255E7B"/>
    <w:rsid w:val="002565C3"/>
    <w:rsid w:val="00256602"/>
    <w:rsid w:val="00256766"/>
    <w:rsid w:val="002568E3"/>
    <w:rsid w:val="00256E3F"/>
    <w:rsid w:val="00256F51"/>
    <w:rsid w:val="00257074"/>
    <w:rsid w:val="00257705"/>
    <w:rsid w:val="00257B9F"/>
    <w:rsid w:val="00257C9B"/>
    <w:rsid w:val="00260092"/>
    <w:rsid w:val="00260101"/>
    <w:rsid w:val="002602C3"/>
    <w:rsid w:val="002602FC"/>
    <w:rsid w:val="0026108F"/>
    <w:rsid w:val="002619D7"/>
    <w:rsid w:val="00261D69"/>
    <w:rsid w:val="00262667"/>
    <w:rsid w:val="00262679"/>
    <w:rsid w:val="002627E5"/>
    <w:rsid w:val="00262863"/>
    <w:rsid w:val="00262C7A"/>
    <w:rsid w:val="00262CCC"/>
    <w:rsid w:val="00262CCF"/>
    <w:rsid w:val="00262E92"/>
    <w:rsid w:val="00262FB7"/>
    <w:rsid w:val="00263643"/>
    <w:rsid w:val="00263703"/>
    <w:rsid w:val="00263FB2"/>
    <w:rsid w:val="002640E2"/>
    <w:rsid w:val="00264529"/>
    <w:rsid w:val="002645B1"/>
    <w:rsid w:val="002648B8"/>
    <w:rsid w:val="00264902"/>
    <w:rsid w:val="002649A7"/>
    <w:rsid w:val="00264CD7"/>
    <w:rsid w:val="00264E52"/>
    <w:rsid w:val="00264F49"/>
    <w:rsid w:val="00265162"/>
    <w:rsid w:val="002651AA"/>
    <w:rsid w:val="0026627A"/>
    <w:rsid w:val="00266292"/>
    <w:rsid w:val="002662C6"/>
    <w:rsid w:val="002664FF"/>
    <w:rsid w:val="002666E9"/>
    <w:rsid w:val="00266A26"/>
    <w:rsid w:val="00266A7E"/>
    <w:rsid w:val="00266B07"/>
    <w:rsid w:val="00266F18"/>
    <w:rsid w:val="00267179"/>
    <w:rsid w:val="002673F7"/>
    <w:rsid w:val="002677D8"/>
    <w:rsid w:val="002703D6"/>
    <w:rsid w:val="0027040C"/>
    <w:rsid w:val="00270532"/>
    <w:rsid w:val="00270AEF"/>
    <w:rsid w:val="00270F0B"/>
    <w:rsid w:val="00271899"/>
    <w:rsid w:val="00271A84"/>
    <w:rsid w:val="00271A85"/>
    <w:rsid w:val="00271B20"/>
    <w:rsid w:val="00271C4E"/>
    <w:rsid w:val="00271F9F"/>
    <w:rsid w:val="00272407"/>
    <w:rsid w:val="002725F2"/>
    <w:rsid w:val="00272A97"/>
    <w:rsid w:val="00272F41"/>
    <w:rsid w:val="002730D5"/>
    <w:rsid w:val="002739FA"/>
    <w:rsid w:val="002739FF"/>
    <w:rsid w:val="00273DBF"/>
    <w:rsid w:val="00274089"/>
    <w:rsid w:val="0027434C"/>
    <w:rsid w:val="00274481"/>
    <w:rsid w:val="0027517B"/>
    <w:rsid w:val="00275199"/>
    <w:rsid w:val="00275200"/>
    <w:rsid w:val="002755DC"/>
    <w:rsid w:val="00275DC8"/>
    <w:rsid w:val="00275EE1"/>
    <w:rsid w:val="00276432"/>
    <w:rsid w:val="00276443"/>
    <w:rsid w:val="0027712E"/>
    <w:rsid w:val="00277842"/>
    <w:rsid w:val="00277B59"/>
    <w:rsid w:val="00277EAD"/>
    <w:rsid w:val="00277F43"/>
    <w:rsid w:val="00280EA8"/>
    <w:rsid w:val="00280EBA"/>
    <w:rsid w:val="00280FDA"/>
    <w:rsid w:val="00281029"/>
    <w:rsid w:val="002811D0"/>
    <w:rsid w:val="00281660"/>
    <w:rsid w:val="0028195E"/>
    <w:rsid w:val="00281E7B"/>
    <w:rsid w:val="002823CA"/>
    <w:rsid w:val="002824A5"/>
    <w:rsid w:val="002824E9"/>
    <w:rsid w:val="00282680"/>
    <w:rsid w:val="00282731"/>
    <w:rsid w:val="00282AA7"/>
    <w:rsid w:val="00282FBC"/>
    <w:rsid w:val="00283690"/>
    <w:rsid w:val="00283969"/>
    <w:rsid w:val="00283D36"/>
    <w:rsid w:val="0028443E"/>
    <w:rsid w:val="00284942"/>
    <w:rsid w:val="00284A12"/>
    <w:rsid w:val="00284ABC"/>
    <w:rsid w:val="0028509B"/>
    <w:rsid w:val="00285348"/>
    <w:rsid w:val="002853BF"/>
    <w:rsid w:val="002855FE"/>
    <w:rsid w:val="00285972"/>
    <w:rsid w:val="00285AEC"/>
    <w:rsid w:val="00286212"/>
    <w:rsid w:val="00286C0C"/>
    <w:rsid w:val="00286E4C"/>
    <w:rsid w:val="0028729B"/>
    <w:rsid w:val="002873F0"/>
    <w:rsid w:val="00287470"/>
    <w:rsid w:val="00287679"/>
    <w:rsid w:val="002877A6"/>
    <w:rsid w:val="00287974"/>
    <w:rsid w:val="00287A28"/>
    <w:rsid w:val="00287B4B"/>
    <w:rsid w:val="00287BDB"/>
    <w:rsid w:val="00287FB3"/>
    <w:rsid w:val="00290276"/>
    <w:rsid w:val="0029027F"/>
    <w:rsid w:val="0029045F"/>
    <w:rsid w:val="002908F5"/>
    <w:rsid w:val="002909C0"/>
    <w:rsid w:val="002912CE"/>
    <w:rsid w:val="002913C6"/>
    <w:rsid w:val="00291608"/>
    <w:rsid w:val="00291876"/>
    <w:rsid w:val="00291BC5"/>
    <w:rsid w:val="00291C06"/>
    <w:rsid w:val="002921BE"/>
    <w:rsid w:val="002921DB"/>
    <w:rsid w:val="00292731"/>
    <w:rsid w:val="002929D5"/>
    <w:rsid w:val="00292AF5"/>
    <w:rsid w:val="00292EA7"/>
    <w:rsid w:val="00293164"/>
    <w:rsid w:val="002936F9"/>
    <w:rsid w:val="002940ED"/>
    <w:rsid w:val="0029483C"/>
    <w:rsid w:val="002948DF"/>
    <w:rsid w:val="00294C99"/>
    <w:rsid w:val="00294DF2"/>
    <w:rsid w:val="00295121"/>
    <w:rsid w:val="002953DA"/>
    <w:rsid w:val="002954A6"/>
    <w:rsid w:val="00295602"/>
    <w:rsid w:val="00295641"/>
    <w:rsid w:val="00295658"/>
    <w:rsid w:val="002956D1"/>
    <w:rsid w:val="00295F41"/>
    <w:rsid w:val="0029651D"/>
    <w:rsid w:val="00296740"/>
    <w:rsid w:val="00296EC2"/>
    <w:rsid w:val="0029702C"/>
    <w:rsid w:val="00297092"/>
    <w:rsid w:val="0029749A"/>
    <w:rsid w:val="00297DCD"/>
    <w:rsid w:val="002A0213"/>
    <w:rsid w:val="002A05D0"/>
    <w:rsid w:val="002A0A84"/>
    <w:rsid w:val="002A0D43"/>
    <w:rsid w:val="002A1E77"/>
    <w:rsid w:val="002A242A"/>
    <w:rsid w:val="002A26A3"/>
    <w:rsid w:val="002A2A38"/>
    <w:rsid w:val="002A2C8C"/>
    <w:rsid w:val="002A3570"/>
    <w:rsid w:val="002A39EF"/>
    <w:rsid w:val="002A3D03"/>
    <w:rsid w:val="002A477C"/>
    <w:rsid w:val="002A4AE7"/>
    <w:rsid w:val="002A5115"/>
    <w:rsid w:val="002A511D"/>
    <w:rsid w:val="002A521E"/>
    <w:rsid w:val="002A53AD"/>
    <w:rsid w:val="002A5AB0"/>
    <w:rsid w:val="002A5F4E"/>
    <w:rsid w:val="002A5F76"/>
    <w:rsid w:val="002A63A4"/>
    <w:rsid w:val="002A6B15"/>
    <w:rsid w:val="002A6B42"/>
    <w:rsid w:val="002A6CA2"/>
    <w:rsid w:val="002A75AC"/>
    <w:rsid w:val="002A75C8"/>
    <w:rsid w:val="002A79B7"/>
    <w:rsid w:val="002A7A70"/>
    <w:rsid w:val="002B08A6"/>
    <w:rsid w:val="002B0FE2"/>
    <w:rsid w:val="002B1710"/>
    <w:rsid w:val="002B183D"/>
    <w:rsid w:val="002B1C03"/>
    <w:rsid w:val="002B1E70"/>
    <w:rsid w:val="002B1FD1"/>
    <w:rsid w:val="002B24B4"/>
    <w:rsid w:val="002B303F"/>
    <w:rsid w:val="002B3366"/>
    <w:rsid w:val="002B37E4"/>
    <w:rsid w:val="002B3AEB"/>
    <w:rsid w:val="002B424E"/>
    <w:rsid w:val="002B44B7"/>
    <w:rsid w:val="002B5552"/>
    <w:rsid w:val="002B5568"/>
    <w:rsid w:val="002B55FB"/>
    <w:rsid w:val="002B5626"/>
    <w:rsid w:val="002B57BF"/>
    <w:rsid w:val="002B5A92"/>
    <w:rsid w:val="002B6459"/>
    <w:rsid w:val="002B649C"/>
    <w:rsid w:val="002B6595"/>
    <w:rsid w:val="002B6734"/>
    <w:rsid w:val="002B6E5D"/>
    <w:rsid w:val="002B71C2"/>
    <w:rsid w:val="002B7DB2"/>
    <w:rsid w:val="002C0217"/>
    <w:rsid w:val="002C037A"/>
    <w:rsid w:val="002C0FC9"/>
    <w:rsid w:val="002C1141"/>
    <w:rsid w:val="002C13A8"/>
    <w:rsid w:val="002C1960"/>
    <w:rsid w:val="002C1B4F"/>
    <w:rsid w:val="002C214B"/>
    <w:rsid w:val="002C24DD"/>
    <w:rsid w:val="002C29C2"/>
    <w:rsid w:val="002C2D16"/>
    <w:rsid w:val="002C2DDE"/>
    <w:rsid w:val="002C33B8"/>
    <w:rsid w:val="002C350E"/>
    <w:rsid w:val="002C3517"/>
    <w:rsid w:val="002C393D"/>
    <w:rsid w:val="002C396A"/>
    <w:rsid w:val="002C3A4D"/>
    <w:rsid w:val="002C3D07"/>
    <w:rsid w:val="002C4185"/>
    <w:rsid w:val="002C4230"/>
    <w:rsid w:val="002C4359"/>
    <w:rsid w:val="002C4C3C"/>
    <w:rsid w:val="002C4E65"/>
    <w:rsid w:val="002C4E99"/>
    <w:rsid w:val="002C4EFE"/>
    <w:rsid w:val="002C52B2"/>
    <w:rsid w:val="002C62B8"/>
    <w:rsid w:val="002C6360"/>
    <w:rsid w:val="002C6F7E"/>
    <w:rsid w:val="002C7055"/>
    <w:rsid w:val="002C7878"/>
    <w:rsid w:val="002C7C6C"/>
    <w:rsid w:val="002C7FE6"/>
    <w:rsid w:val="002D0021"/>
    <w:rsid w:val="002D019A"/>
    <w:rsid w:val="002D0CBF"/>
    <w:rsid w:val="002D0CE3"/>
    <w:rsid w:val="002D0EAD"/>
    <w:rsid w:val="002D1601"/>
    <w:rsid w:val="002D16D4"/>
    <w:rsid w:val="002D177E"/>
    <w:rsid w:val="002D1A44"/>
    <w:rsid w:val="002D1AC4"/>
    <w:rsid w:val="002D21D5"/>
    <w:rsid w:val="002D23D1"/>
    <w:rsid w:val="002D241C"/>
    <w:rsid w:val="002D2816"/>
    <w:rsid w:val="002D28EE"/>
    <w:rsid w:val="002D2B44"/>
    <w:rsid w:val="002D2D1C"/>
    <w:rsid w:val="002D317A"/>
    <w:rsid w:val="002D3230"/>
    <w:rsid w:val="002D33AF"/>
    <w:rsid w:val="002D37FE"/>
    <w:rsid w:val="002D3A95"/>
    <w:rsid w:val="002D3BB7"/>
    <w:rsid w:val="002D3C9D"/>
    <w:rsid w:val="002D3DF7"/>
    <w:rsid w:val="002D3DFD"/>
    <w:rsid w:val="002D4281"/>
    <w:rsid w:val="002D43DE"/>
    <w:rsid w:val="002D461B"/>
    <w:rsid w:val="002D4D36"/>
    <w:rsid w:val="002D4DD5"/>
    <w:rsid w:val="002D5151"/>
    <w:rsid w:val="002D51BF"/>
    <w:rsid w:val="002D5853"/>
    <w:rsid w:val="002D5A0B"/>
    <w:rsid w:val="002D5A35"/>
    <w:rsid w:val="002D5BB3"/>
    <w:rsid w:val="002D5C03"/>
    <w:rsid w:val="002D5F81"/>
    <w:rsid w:val="002D62DA"/>
    <w:rsid w:val="002D66D5"/>
    <w:rsid w:val="002D6C38"/>
    <w:rsid w:val="002D751E"/>
    <w:rsid w:val="002D774E"/>
    <w:rsid w:val="002D777A"/>
    <w:rsid w:val="002D799A"/>
    <w:rsid w:val="002D7B23"/>
    <w:rsid w:val="002E0046"/>
    <w:rsid w:val="002E06ED"/>
    <w:rsid w:val="002E0BD2"/>
    <w:rsid w:val="002E0D68"/>
    <w:rsid w:val="002E0EAA"/>
    <w:rsid w:val="002E0EAF"/>
    <w:rsid w:val="002E17E5"/>
    <w:rsid w:val="002E18C2"/>
    <w:rsid w:val="002E26B1"/>
    <w:rsid w:val="002E33F0"/>
    <w:rsid w:val="002E35CE"/>
    <w:rsid w:val="002E3880"/>
    <w:rsid w:val="002E38E1"/>
    <w:rsid w:val="002E3905"/>
    <w:rsid w:val="002E3ACE"/>
    <w:rsid w:val="002E3C45"/>
    <w:rsid w:val="002E460F"/>
    <w:rsid w:val="002E4833"/>
    <w:rsid w:val="002E498F"/>
    <w:rsid w:val="002E4B04"/>
    <w:rsid w:val="002E4CDD"/>
    <w:rsid w:val="002E5B75"/>
    <w:rsid w:val="002E5C65"/>
    <w:rsid w:val="002E5E09"/>
    <w:rsid w:val="002E5EF7"/>
    <w:rsid w:val="002E6483"/>
    <w:rsid w:val="002E648A"/>
    <w:rsid w:val="002E6504"/>
    <w:rsid w:val="002E6C1E"/>
    <w:rsid w:val="002E6CC0"/>
    <w:rsid w:val="002E6F8D"/>
    <w:rsid w:val="002E71B5"/>
    <w:rsid w:val="002E75C8"/>
    <w:rsid w:val="002E772D"/>
    <w:rsid w:val="002E7978"/>
    <w:rsid w:val="002E7D0C"/>
    <w:rsid w:val="002E7E13"/>
    <w:rsid w:val="002F036E"/>
    <w:rsid w:val="002F0800"/>
    <w:rsid w:val="002F08C3"/>
    <w:rsid w:val="002F0C66"/>
    <w:rsid w:val="002F0D7C"/>
    <w:rsid w:val="002F0FDC"/>
    <w:rsid w:val="002F109D"/>
    <w:rsid w:val="002F12DF"/>
    <w:rsid w:val="002F130E"/>
    <w:rsid w:val="002F158A"/>
    <w:rsid w:val="002F1A1A"/>
    <w:rsid w:val="002F1B3C"/>
    <w:rsid w:val="002F1C9E"/>
    <w:rsid w:val="002F1DC7"/>
    <w:rsid w:val="002F20DC"/>
    <w:rsid w:val="002F262F"/>
    <w:rsid w:val="002F2F4C"/>
    <w:rsid w:val="002F3163"/>
    <w:rsid w:val="002F3981"/>
    <w:rsid w:val="002F39A4"/>
    <w:rsid w:val="002F3B28"/>
    <w:rsid w:val="002F406A"/>
    <w:rsid w:val="002F441D"/>
    <w:rsid w:val="002F4420"/>
    <w:rsid w:val="002F4C81"/>
    <w:rsid w:val="002F4D51"/>
    <w:rsid w:val="002F4FA1"/>
    <w:rsid w:val="002F4FE9"/>
    <w:rsid w:val="002F5364"/>
    <w:rsid w:val="002F5781"/>
    <w:rsid w:val="002F59DC"/>
    <w:rsid w:val="002F5C86"/>
    <w:rsid w:val="002F68EB"/>
    <w:rsid w:val="002F69CD"/>
    <w:rsid w:val="002F6C38"/>
    <w:rsid w:val="002F6E36"/>
    <w:rsid w:val="002F7733"/>
    <w:rsid w:val="002F77F2"/>
    <w:rsid w:val="002F7ED2"/>
    <w:rsid w:val="00300586"/>
    <w:rsid w:val="00300A9F"/>
    <w:rsid w:val="00300D09"/>
    <w:rsid w:val="00301298"/>
    <w:rsid w:val="003017E1"/>
    <w:rsid w:val="003019F0"/>
    <w:rsid w:val="00301A47"/>
    <w:rsid w:val="00301A5A"/>
    <w:rsid w:val="00301A6E"/>
    <w:rsid w:val="00301F92"/>
    <w:rsid w:val="003025E1"/>
    <w:rsid w:val="00302CAA"/>
    <w:rsid w:val="00303448"/>
    <w:rsid w:val="003035E2"/>
    <w:rsid w:val="00304350"/>
    <w:rsid w:val="0030465D"/>
    <w:rsid w:val="003047A6"/>
    <w:rsid w:val="0030484F"/>
    <w:rsid w:val="0030497A"/>
    <w:rsid w:val="00304E26"/>
    <w:rsid w:val="00304F03"/>
    <w:rsid w:val="0030518C"/>
    <w:rsid w:val="00305645"/>
    <w:rsid w:val="00305BB1"/>
    <w:rsid w:val="00305D93"/>
    <w:rsid w:val="0030639F"/>
    <w:rsid w:val="0030652E"/>
    <w:rsid w:val="00306D1F"/>
    <w:rsid w:val="0030700A"/>
    <w:rsid w:val="00307090"/>
    <w:rsid w:val="00307215"/>
    <w:rsid w:val="00307244"/>
    <w:rsid w:val="003077C2"/>
    <w:rsid w:val="00310402"/>
    <w:rsid w:val="003106CB"/>
    <w:rsid w:val="0031078C"/>
    <w:rsid w:val="00310D23"/>
    <w:rsid w:val="00310E90"/>
    <w:rsid w:val="00311544"/>
    <w:rsid w:val="00312210"/>
    <w:rsid w:val="00312308"/>
    <w:rsid w:val="0031282E"/>
    <w:rsid w:val="003128F4"/>
    <w:rsid w:val="00312B51"/>
    <w:rsid w:val="00312B64"/>
    <w:rsid w:val="00312E6A"/>
    <w:rsid w:val="00312EB8"/>
    <w:rsid w:val="00313760"/>
    <w:rsid w:val="003140C1"/>
    <w:rsid w:val="0031435A"/>
    <w:rsid w:val="0031451B"/>
    <w:rsid w:val="00314E5F"/>
    <w:rsid w:val="003152AF"/>
    <w:rsid w:val="0031534F"/>
    <w:rsid w:val="003158F4"/>
    <w:rsid w:val="003159BE"/>
    <w:rsid w:val="00315C5A"/>
    <w:rsid w:val="00316412"/>
    <w:rsid w:val="00316AAB"/>
    <w:rsid w:val="00317290"/>
    <w:rsid w:val="003173D3"/>
    <w:rsid w:val="00317DF4"/>
    <w:rsid w:val="00317FD8"/>
    <w:rsid w:val="003200C4"/>
    <w:rsid w:val="003202B8"/>
    <w:rsid w:val="003208D1"/>
    <w:rsid w:val="003212B5"/>
    <w:rsid w:val="00321386"/>
    <w:rsid w:val="0032162F"/>
    <w:rsid w:val="0032164E"/>
    <w:rsid w:val="003216D8"/>
    <w:rsid w:val="003217DC"/>
    <w:rsid w:val="00321877"/>
    <w:rsid w:val="003218E0"/>
    <w:rsid w:val="00321B7D"/>
    <w:rsid w:val="00321B8D"/>
    <w:rsid w:val="00321D98"/>
    <w:rsid w:val="00321EF5"/>
    <w:rsid w:val="003228B5"/>
    <w:rsid w:val="0032299A"/>
    <w:rsid w:val="00322AE9"/>
    <w:rsid w:val="00322B14"/>
    <w:rsid w:val="00322C23"/>
    <w:rsid w:val="00322D01"/>
    <w:rsid w:val="00322D8D"/>
    <w:rsid w:val="00322E2D"/>
    <w:rsid w:val="003233A7"/>
    <w:rsid w:val="0032368F"/>
    <w:rsid w:val="00323735"/>
    <w:rsid w:val="003239AA"/>
    <w:rsid w:val="00323B63"/>
    <w:rsid w:val="00323BB3"/>
    <w:rsid w:val="003240A7"/>
    <w:rsid w:val="003240D0"/>
    <w:rsid w:val="003242B4"/>
    <w:rsid w:val="00324804"/>
    <w:rsid w:val="00324C12"/>
    <w:rsid w:val="00324DB1"/>
    <w:rsid w:val="00324EC8"/>
    <w:rsid w:val="003257A7"/>
    <w:rsid w:val="00325DD6"/>
    <w:rsid w:val="0032602F"/>
    <w:rsid w:val="003269BE"/>
    <w:rsid w:val="00326BC2"/>
    <w:rsid w:val="00327576"/>
    <w:rsid w:val="003278C9"/>
    <w:rsid w:val="00327B20"/>
    <w:rsid w:val="00327B5B"/>
    <w:rsid w:val="00327DA5"/>
    <w:rsid w:val="00327FBC"/>
    <w:rsid w:val="00330366"/>
    <w:rsid w:val="003304AC"/>
    <w:rsid w:val="003304C0"/>
    <w:rsid w:val="00330B4B"/>
    <w:rsid w:val="00331150"/>
    <w:rsid w:val="003313CE"/>
    <w:rsid w:val="00331724"/>
    <w:rsid w:val="00331A14"/>
    <w:rsid w:val="00331CF5"/>
    <w:rsid w:val="0033231E"/>
    <w:rsid w:val="0033234B"/>
    <w:rsid w:val="003323BC"/>
    <w:rsid w:val="00332553"/>
    <w:rsid w:val="00332666"/>
    <w:rsid w:val="0033292E"/>
    <w:rsid w:val="00332AFA"/>
    <w:rsid w:val="00332B57"/>
    <w:rsid w:val="003334FE"/>
    <w:rsid w:val="0033352E"/>
    <w:rsid w:val="00333664"/>
    <w:rsid w:val="0033394A"/>
    <w:rsid w:val="0033396A"/>
    <w:rsid w:val="00334065"/>
    <w:rsid w:val="0033434A"/>
    <w:rsid w:val="0033459C"/>
    <w:rsid w:val="00334722"/>
    <w:rsid w:val="003348DB"/>
    <w:rsid w:val="00334EAC"/>
    <w:rsid w:val="00335421"/>
    <w:rsid w:val="00335CC6"/>
    <w:rsid w:val="00336077"/>
    <w:rsid w:val="00336321"/>
    <w:rsid w:val="00336BF2"/>
    <w:rsid w:val="00336E1D"/>
    <w:rsid w:val="00337031"/>
    <w:rsid w:val="003375A9"/>
    <w:rsid w:val="0033798F"/>
    <w:rsid w:val="00337A15"/>
    <w:rsid w:val="00337F35"/>
    <w:rsid w:val="00337F73"/>
    <w:rsid w:val="003406EF"/>
    <w:rsid w:val="00340C55"/>
    <w:rsid w:val="00340D22"/>
    <w:rsid w:val="00340E53"/>
    <w:rsid w:val="003412C1"/>
    <w:rsid w:val="0034164D"/>
    <w:rsid w:val="003416F9"/>
    <w:rsid w:val="003417C5"/>
    <w:rsid w:val="003419A8"/>
    <w:rsid w:val="00341C3A"/>
    <w:rsid w:val="00342040"/>
    <w:rsid w:val="003420EE"/>
    <w:rsid w:val="003424C1"/>
    <w:rsid w:val="003425F8"/>
    <w:rsid w:val="00342651"/>
    <w:rsid w:val="00342770"/>
    <w:rsid w:val="00342BA7"/>
    <w:rsid w:val="00342C57"/>
    <w:rsid w:val="00342C92"/>
    <w:rsid w:val="00342CDD"/>
    <w:rsid w:val="00342FA2"/>
    <w:rsid w:val="00343303"/>
    <w:rsid w:val="00343BB0"/>
    <w:rsid w:val="00343C6D"/>
    <w:rsid w:val="00343D14"/>
    <w:rsid w:val="00344074"/>
    <w:rsid w:val="00344ABB"/>
    <w:rsid w:val="00345381"/>
    <w:rsid w:val="0034547F"/>
    <w:rsid w:val="003454B1"/>
    <w:rsid w:val="003458B8"/>
    <w:rsid w:val="00345ADE"/>
    <w:rsid w:val="0034613C"/>
    <w:rsid w:val="003472A7"/>
    <w:rsid w:val="003477D3"/>
    <w:rsid w:val="00347B42"/>
    <w:rsid w:val="00347E17"/>
    <w:rsid w:val="003503DD"/>
    <w:rsid w:val="003504AF"/>
    <w:rsid w:val="003504E5"/>
    <w:rsid w:val="003508B7"/>
    <w:rsid w:val="00350924"/>
    <w:rsid w:val="00350AF0"/>
    <w:rsid w:val="00350E31"/>
    <w:rsid w:val="003511B9"/>
    <w:rsid w:val="00351879"/>
    <w:rsid w:val="00351A94"/>
    <w:rsid w:val="00351EAF"/>
    <w:rsid w:val="003520E7"/>
    <w:rsid w:val="003521E5"/>
    <w:rsid w:val="0035256E"/>
    <w:rsid w:val="003526D4"/>
    <w:rsid w:val="003527E9"/>
    <w:rsid w:val="0035289F"/>
    <w:rsid w:val="0035295E"/>
    <w:rsid w:val="00352992"/>
    <w:rsid w:val="00352A24"/>
    <w:rsid w:val="00352AD8"/>
    <w:rsid w:val="00352CF2"/>
    <w:rsid w:val="0035308F"/>
    <w:rsid w:val="00353470"/>
    <w:rsid w:val="0035348D"/>
    <w:rsid w:val="003535A1"/>
    <w:rsid w:val="003537AE"/>
    <w:rsid w:val="003537F0"/>
    <w:rsid w:val="00353E55"/>
    <w:rsid w:val="00353F34"/>
    <w:rsid w:val="00353FCD"/>
    <w:rsid w:val="00354117"/>
    <w:rsid w:val="0035433B"/>
    <w:rsid w:val="0035438C"/>
    <w:rsid w:val="003546D6"/>
    <w:rsid w:val="00354BD8"/>
    <w:rsid w:val="00354CA5"/>
    <w:rsid w:val="003551CD"/>
    <w:rsid w:val="003552FE"/>
    <w:rsid w:val="00355770"/>
    <w:rsid w:val="003559FD"/>
    <w:rsid w:val="00355A56"/>
    <w:rsid w:val="00355E3B"/>
    <w:rsid w:val="00355F1C"/>
    <w:rsid w:val="00356440"/>
    <w:rsid w:val="00356849"/>
    <w:rsid w:val="00356917"/>
    <w:rsid w:val="003569AA"/>
    <w:rsid w:val="00356F9C"/>
    <w:rsid w:val="00357064"/>
    <w:rsid w:val="00357591"/>
    <w:rsid w:val="00357DC8"/>
    <w:rsid w:val="003600CE"/>
    <w:rsid w:val="00360155"/>
    <w:rsid w:val="003601F2"/>
    <w:rsid w:val="003608C4"/>
    <w:rsid w:val="00360A95"/>
    <w:rsid w:val="00360D70"/>
    <w:rsid w:val="00361224"/>
    <w:rsid w:val="003621B3"/>
    <w:rsid w:val="00362779"/>
    <w:rsid w:val="00362977"/>
    <w:rsid w:val="003629FF"/>
    <w:rsid w:val="00362AB7"/>
    <w:rsid w:val="00362CFD"/>
    <w:rsid w:val="003634B9"/>
    <w:rsid w:val="003634D9"/>
    <w:rsid w:val="00363691"/>
    <w:rsid w:val="003636A7"/>
    <w:rsid w:val="0036400F"/>
    <w:rsid w:val="003641FA"/>
    <w:rsid w:val="003642B1"/>
    <w:rsid w:val="0036466B"/>
    <w:rsid w:val="0036467B"/>
    <w:rsid w:val="0036468F"/>
    <w:rsid w:val="00365444"/>
    <w:rsid w:val="003654D2"/>
    <w:rsid w:val="00365692"/>
    <w:rsid w:val="00365809"/>
    <w:rsid w:val="00365853"/>
    <w:rsid w:val="00365954"/>
    <w:rsid w:val="003659FD"/>
    <w:rsid w:val="003664C9"/>
    <w:rsid w:val="0036676A"/>
    <w:rsid w:val="00366AF6"/>
    <w:rsid w:val="00366B5A"/>
    <w:rsid w:val="003670DE"/>
    <w:rsid w:val="0036768D"/>
    <w:rsid w:val="00367DC7"/>
    <w:rsid w:val="00367DDC"/>
    <w:rsid w:val="00370111"/>
    <w:rsid w:val="00370877"/>
    <w:rsid w:val="00370879"/>
    <w:rsid w:val="00370E23"/>
    <w:rsid w:val="00370EE9"/>
    <w:rsid w:val="00370F49"/>
    <w:rsid w:val="00371C62"/>
    <w:rsid w:val="00371CCA"/>
    <w:rsid w:val="0037278E"/>
    <w:rsid w:val="00372A0C"/>
    <w:rsid w:val="00372A6A"/>
    <w:rsid w:val="00372FB3"/>
    <w:rsid w:val="00373645"/>
    <w:rsid w:val="00373913"/>
    <w:rsid w:val="00373950"/>
    <w:rsid w:val="00373D06"/>
    <w:rsid w:val="00373E22"/>
    <w:rsid w:val="00373EA1"/>
    <w:rsid w:val="00373EA4"/>
    <w:rsid w:val="00373EDF"/>
    <w:rsid w:val="0037467E"/>
    <w:rsid w:val="003748E7"/>
    <w:rsid w:val="00374A0E"/>
    <w:rsid w:val="00374AF3"/>
    <w:rsid w:val="00375201"/>
    <w:rsid w:val="00375236"/>
    <w:rsid w:val="003757E3"/>
    <w:rsid w:val="00375AD6"/>
    <w:rsid w:val="00376743"/>
    <w:rsid w:val="00376786"/>
    <w:rsid w:val="00376799"/>
    <w:rsid w:val="003774E0"/>
    <w:rsid w:val="00377BAE"/>
    <w:rsid w:val="00377C05"/>
    <w:rsid w:val="00377EE7"/>
    <w:rsid w:val="00377FC3"/>
    <w:rsid w:val="00380720"/>
    <w:rsid w:val="003807F6"/>
    <w:rsid w:val="00380B6F"/>
    <w:rsid w:val="00380CD3"/>
    <w:rsid w:val="00380D1C"/>
    <w:rsid w:val="00380E6B"/>
    <w:rsid w:val="003811F5"/>
    <w:rsid w:val="00381521"/>
    <w:rsid w:val="00381881"/>
    <w:rsid w:val="00381A82"/>
    <w:rsid w:val="00381E5B"/>
    <w:rsid w:val="00382484"/>
    <w:rsid w:val="0038280F"/>
    <w:rsid w:val="003828F5"/>
    <w:rsid w:val="003830BD"/>
    <w:rsid w:val="00383288"/>
    <w:rsid w:val="003833B1"/>
    <w:rsid w:val="00383490"/>
    <w:rsid w:val="00383ACC"/>
    <w:rsid w:val="003840AD"/>
    <w:rsid w:val="00384601"/>
    <w:rsid w:val="00384BEA"/>
    <w:rsid w:val="003850C3"/>
    <w:rsid w:val="003853F0"/>
    <w:rsid w:val="00385936"/>
    <w:rsid w:val="00386BB7"/>
    <w:rsid w:val="00387116"/>
    <w:rsid w:val="0038724D"/>
    <w:rsid w:val="003873F9"/>
    <w:rsid w:val="00387461"/>
    <w:rsid w:val="00387847"/>
    <w:rsid w:val="00387CBD"/>
    <w:rsid w:val="00387EFC"/>
    <w:rsid w:val="00390593"/>
    <w:rsid w:val="00390770"/>
    <w:rsid w:val="0039079E"/>
    <w:rsid w:val="00390C50"/>
    <w:rsid w:val="00391433"/>
    <w:rsid w:val="00391469"/>
    <w:rsid w:val="00391480"/>
    <w:rsid w:val="00391544"/>
    <w:rsid w:val="0039162F"/>
    <w:rsid w:val="00391842"/>
    <w:rsid w:val="00392351"/>
    <w:rsid w:val="003926ED"/>
    <w:rsid w:val="00392AA2"/>
    <w:rsid w:val="00392B97"/>
    <w:rsid w:val="00392F15"/>
    <w:rsid w:val="003930E3"/>
    <w:rsid w:val="00393196"/>
    <w:rsid w:val="00393206"/>
    <w:rsid w:val="003933BF"/>
    <w:rsid w:val="00393625"/>
    <w:rsid w:val="00394013"/>
    <w:rsid w:val="00394193"/>
    <w:rsid w:val="0039482F"/>
    <w:rsid w:val="00394AD5"/>
    <w:rsid w:val="00394E2A"/>
    <w:rsid w:val="003950CA"/>
    <w:rsid w:val="00395968"/>
    <w:rsid w:val="00395B1B"/>
    <w:rsid w:val="00395E2F"/>
    <w:rsid w:val="00395FD6"/>
    <w:rsid w:val="00396150"/>
    <w:rsid w:val="00396606"/>
    <w:rsid w:val="00396AF4"/>
    <w:rsid w:val="00396B71"/>
    <w:rsid w:val="003971A0"/>
    <w:rsid w:val="00397AEB"/>
    <w:rsid w:val="00397AFF"/>
    <w:rsid w:val="00397C84"/>
    <w:rsid w:val="00397F9A"/>
    <w:rsid w:val="003A00DA"/>
    <w:rsid w:val="003A08DF"/>
    <w:rsid w:val="003A0A33"/>
    <w:rsid w:val="003A0F9C"/>
    <w:rsid w:val="003A112D"/>
    <w:rsid w:val="003A123C"/>
    <w:rsid w:val="003A12C4"/>
    <w:rsid w:val="003A152F"/>
    <w:rsid w:val="003A1567"/>
    <w:rsid w:val="003A1687"/>
    <w:rsid w:val="003A1CAC"/>
    <w:rsid w:val="003A1CF3"/>
    <w:rsid w:val="003A2029"/>
    <w:rsid w:val="003A20AB"/>
    <w:rsid w:val="003A2345"/>
    <w:rsid w:val="003A2527"/>
    <w:rsid w:val="003A2C06"/>
    <w:rsid w:val="003A3314"/>
    <w:rsid w:val="003A3431"/>
    <w:rsid w:val="003A3785"/>
    <w:rsid w:val="003A3CCC"/>
    <w:rsid w:val="003A3F85"/>
    <w:rsid w:val="003A400C"/>
    <w:rsid w:val="003A40AB"/>
    <w:rsid w:val="003A4151"/>
    <w:rsid w:val="003A42E0"/>
    <w:rsid w:val="003A438A"/>
    <w:rsid w:val="003A4F6A"/>
    <w:rsid w:val="003A5088"/>
    <w:rsid w:val="003A5270"/>
    <w:rsid w:val="003A5564"/>
    <w:rsid w:val="003A5B5C"/>
    <w:rsid w:val="003A5BC1"/>
    <w:rsid w:val="003A5EE2"/>
    <w:rsid w:val="003A68E6"/>
    <w:rsid w:val="003A69A2"/>
    <w:rsid w:val="003A6FDE"/>
    <w:rsid w:val="003A7459"/>
    <w:rsid w:val="003A77CA"/>
    <w:rsid w:val="003A7807"/>
    <w:rsid w:val="003A79CE"/>
    <w:rsid w:val="003A7F6C"/>
    <w:rsid w:val="003B02CE"/>
    <w:rsid w:val="003B05D4"/>
    <w:rsid w:val="003B07DD"/>
    <w:rsid w:val="003B0F25"/>
    <w:rsid w:val="003B148F"/>
    <w:rsid w:val="003B151B"/>
    <w:rsid w:val="003B20AD"/>
    <w:rsid w:val="003B21F5"/>
    <w:rsid w:val="003B2325"/>
    <w:rsid w:val="003B23B6"/>
    <w:rsid w:val="003B25BF"/>
    <w:rsid w:val="003B292C"/>
    <w:rsid w:val="003B29F9"/>
    <w:rsid w:val="003B2AED"/>
    <w:rsid w:val="003B2E72"/>
    <w:rsid w:val="003B2F8A"/>
    <w:rsid w:val="003B3227"/>
    <w:rsid w:val="003B35C0"/>
    <w:rsid w:val="003B3A50"/>
    <w:rsid w:val="003B3E5A"/>
    <w:rsid w:val="003B3FC7"/>
    <w:rsid w:val="003B4860"/>
    <w:rsid w:val="003B4B22"/>
    <w:rsid w:val="003B4B32"/>
    <w:rsid w:val="003B4CA2"/>
    <w:rsid w:val="003B4EE4"/>
    <w:rsid w:val="003B4F07"/>
    <w:rsid w:val="003B5206"/>
    <w:rsid w:val="003B54AA"/>
    <w:rsid w:val="003B5565"/>
    <w:rsid w:val="003B5668"/>
    <w:rsid w:val="003B58C4"/>
    <w:rsid w:val="003B5D5D"/>
    <w:rsid w:val="003B60C7"/>
    <w:rsid w:val="003B6184"/>
    <w:rsid w:val="003B6A7D"/>
    <w:rsid w:val="003B6C81"/>
    <w:rsid w:val="003B6DF4"/>
    <w:rsid w:val="003B7778"/>
    <w:rsid w:val="003B7C0B"/>
    <w:rsid w:val="003C019A"/>
    <w:rsid w:val="003C03F7"/>
    <w:rsid w:val="003C0529"/>
    <w:rsid w:val="003C0660"/>
    <w:rsid w:val="003C09BB"/>
    <w:rsid w:val="003C1131"/>
    <w:rsid w:val="003C14B7"/>
    <w:rsid w:val="003C14CD"/>
    <w:rsid w:val="003C1D9E"/>
    <w:rsid w:val="003C1E0F"/>
    <w:rsid w:val="003C26A3"/>
    <w:rsid w:val="003C28C4"/>
    <w:rsid w:val="003C29BD"/>
    <w:rsid w:val="003C32F8"/>
    <w:rsid w:val="003C3739"/>
    <w:rsid w:val="003C3789"/>
    <w:rsid w:val="003C3F34"/>
    <w:rsid w:val="003C4237"/>
    <w:rsid w:val="003C425D"/>
    <w:rsid w:val="003C4344"/>
    <w:rsid w:val="003C457E"/>
    <w:rsid w:val="003C475C"/>
    <w:rsid w:val="003C477A"/>
    <w:rsid w:val="003C49B6"/>
    <w:rsid w:val="003C4F04"/>
    <w:rsid w:val="003C591D"/>
    <w:rsid w:val="003C5CF5"/>
    <w:rsid w:val="003C60DF"/>
    <w:rsid w:val="003C6158"/>
    <w:rsid w:val="003C6481"/>
    <w:rsid w:val="003C6B69"/>
    <w:rsid w:val="003C6E1B"/>
    <w:rsid w:val="003C7091"/>
    <w:rsid w:val="003C74FD"/>
    <w:rsid w:val="003C7637"/>
    <w:rsid w:val="003C76D3"/>
    <w:rsid w:val="003C77C6"/>
    <w:rsid w:val="003C7858"/>
    <w:rsid w:val="003D0C1C"/>
    <w:rsid w:val="003D0E34"/>
    <w:rsid w:val="003D1558"/>
    <w:rsid w:val="003D1618"/>
    <w:rsid w:val="003D1EBF"/>
    <w:rsid w:val="003D23F1"/>
    <w:rsid w:val="003D24D3"/>
    <w:rsid w:val="003D274B"/>
    <w:rsid w:val="003D2A68"/>
    <w:rsid w:val="003D2A84"/>
    <w:rsid w:val="003D2FE0"/>
    <w:rsid w:val="003D3030"/>
    <w:rsid w:val="003D30EE"/>
    <w:rsid w:val="003D3727"/>
    <w:rsid w:val="003D37EF"/>
    <w:rsid w:val="003D3B17"/>
    <w:rsid w:val="003D4436"/>
    <w:rsid w:val="003D46F7"/>
    <w:rsid w:val="003D528D"/>
    <w:rsid w:val="003D53C3"/>
    <w:rsid w:val="003D551B"/>
    <w:rsid w:val="003D57C5"/>
    <w:rsid w:val="003D65BF"/>
    <w:rsid w:val="003D65E4"/>
    <w:rsid w:val="003D6C1D"/>
    <w:rsid w:val="003D7184"/>
    <w:rsid w:val="003D7270"/>
    <w:rsid w:val="003D7D63"/>
    <w:rsid w:val="003D7E24"/>
    <w:rsid w:val="003D7E9D"/>
    <w:rsid w:val="003D7EB0"/>
    <w:rsid w:val="003E033C"/>
    <w:rsid w:val="003E1330"/>
    <w:rsid w:val="003E163E"/>
    <w:rsid w:val="003E168F"/>
    <w:rsid w:val="003E18BB"/>
    <w:rsid w:val="003E22C9"/>
    <w:rsid w:val="003E232F"/>
    <w:rsid w:val="003E2C35"/>
    <w:rsid w:val="003E2FF3"/>
    <w:rsid w:val="003E32C6"/>
    <w:rsid w:val="003E35F8"/>
    <w:rsid w:val="003E387B"/>
    <w:rsid w:val="003E3AA9"/>
    <w:rsid w:val="003E3CAC"/>
    <w:rsid w:val="003E3CBB"/>
    <w:rsid w:val="003E3FF6"/>
    <w:rsid w:val="003E416B"/>
    <w:rsid w:val="003E43C7"/>
    <w:rsid w:val="003E49FA"/>
    <w:rsid w:val="003E4BF1"/>
    <w:rsid w:val="003E4D2C"/>
    <w:rsid w:val="003E54B5"/>
    <w:rsid w:val="003E552C"/>
    <w:rsid w:val="003E564B"/>
    <w:rsid w:val="003E57D8"/>
    <w:rsid w:val="003E5960"/>
    <w:rsid w:val="003E5996"/>
    <w:rsid w:val="003E6494"/>
    <w:rsid w:val="003E653F"/>
    <w:rsid w:val="003E6B47"/>
    <w:rsid w:val="003E6BFD"/>
    <w:rsid w:val="003E7114"/>
    <w:rsid w:val="003E7172"/>
    <w:rsid w:val="003E7788"/>
    <w:rsid w:val="003E793A"/>
    <w:rsid w:val="003E7BEA"/>
    <w:rsid w:val="003E7C78"/>
    <w:rsid w:val="003E7CAC"/>
    <w:rsid w:val="003F01DD"/>
    <w:rsid w:val="003F07B3"/>
    <w:rsid w:val="003F0D19"/>
    <w:rsid w:val="003F1623"/>
    <w:rsid w:val="003F1763"/>
    <w:rsid w:val="003F1A6F"/>
    <w:rsid w:val="003F21D6"/>
    <w:rsid w:val="003F22AF"/>
    <w:rsid w:val="003F2379"/>
    <w:rsid w:val="003F2385"/>
    <w:rsid w:val="003F2402"/>
    <w:rsid w:val="003F275F"/>
    <w:rsid w:val="003F2885"/>
    <w:rsid w:val="003F2936"/>
    <w:rsid w:val="003F2A51"/>
    <w:rsid w:val="003F2FEA"/>
    <w:rsid w:val="003F3091"/>
    <w:rsid w:val="003F37B3"/>
    <w:rsid w:val="003F3AC5"/>
    <w:rsid w:val="003F3EBA"/>
    <w:rsid w:val="003F4A1A"/>
    <w:rsid w:val="003F4CAF"/>
    <w:rsid w:val="003F4DE4"/>
    <w:rsid w:val="003F4FB2"/>
    <w:rsid w:val="003F53C4"/>
    <w:rsid w:val="003F5B44"/>
    <w:rsid w:val="003F5E3D"/>
    <w:rsid w:val="003F63ED"/>
    <w:rsid w:val="003F6E1E"/>
    <w:rsid w:val="003F7118"/>
    <w:rsid w:val="003F72D8"/>
    <w:rsid w:val="003F72DE"/>
    <w:rsid w:val="003F7370"/>
    <w:rsid w:val="003F73FE"/>
    <w:rsid w:val="003F7CB7"/>
    <w:rsid w:val="003F7E0F"/>
    <w:rsid w:val="004004A8"/>
    <w:rsid w:val="004009DF"/>
    <w:rsid w:val="00400A08"/>
    <w:rsid w:val="00400E2C"/>
    <w:rsid w:val="0040142A"/>
    <w:rsid w:val="00401770"/>
    <w:rsid w:val="00401B35"/>
    <w:rsid w:val="00401FC9"/>
    <w:rsid w:val="00402514"/>
    <w:rsid w:val="004028B7"/>
    <w:rsid w:val="0040291B"/>
    <w:rsid w:val="00402991"/>
    <w:rsid w:val="00403041"/>
    <w:rsid w:val="004031A2"/>
    <w:rsid w:val="004031B1"/>
    <w:rsid w:val="004034C2"/>
    <w:rsid w:val="00403EA0"/>
    <w:rsid w:val="004042F1"/>
    <w:rsid w:val="004046BA"/>
    <w:rsid w:val="00404F21"/>
    <w:rsid w:val="00405105"/>
    <w:rsid w:val="00405238"/>
    <w:rsid w:val="004055C0"/>
    <w:rsid w:val="0040583F"/>
    <w:rsid w:val="004061E6"/>
    <w:rsid w:val="00406895"/>
    <w:rsid w:val="00406F75"/>
    <w:rsid w:val="004073FB"/>
    <w:rsid w:val="004075CD"/>
    <w:rsid w:val="004077DD"/>
    <w:rsid w:val="00407C82"/>
    <w:rsid w:val="00407DDC"/>
    <w:rsid w:val="004108AA"/>
    <w:rsid w:val="00410AA4"/>
    <w:rsid w:val="00410EB0"/>
    <w:rsid w:val="00410EB4"/>
    <w:rsid w:val="00411344"/>
    <w:rsid w:val="0041191D"/>
    <w:rsid w:val="004119D5"/>
    <w:rsid w:val="00411C19"/>
    <w:rsid w:val="00411C95"/>
    <w:rsid w:val="00412645"/>
    <w:rsid w:val="004129AD"/>
    <w:rsid w:val="00412B5C"/>
    <w:rsid w:val="00412BC7"/>
    <w:rsid w:val="00412E09"/>
    <w:rsid w:val="00412F91"/>
    <w:rsid w:val="004132F9"/>
    <w:rsid w:val="004139EA"/>
    <w:rsid w:val="00413CC0"/>
    <w:rsid w:val="00413FD7"/>
    <w:rsid w:val="004142E1"/>
    <w:rsid w:val="00414395"/>
    <w:rsid w:val="004146BB"/>
    <w:rsid w:val="0041481D"/>
    <w:rsid w:val="00414B2C"/>
    <w:rsid w:val="00414D53"/>
    <w:rsid w:val="00415001"/>
    <w:rsid w:val="0041507C"/>
    <w:rsid w:val="00415238"/>
    <w:rsid w:val="004153B3"/>
    <w:rsid w:val="00415586"/>
    <w:rsid w:val="00415D90"/>
    <w:rsid w:val="00415F65"/>
    <w:rsid w:val="004161B4"/>
    <w:rsid w:val="004167CE"/>
    <w:rsid w:val="00416807"/>
    <w:rsid w:val="00416AF1"/>
    <w:rsid w:val="00416D6B"/>
    <w:rsid w:val="00416E0E"/>
    <w:rsid w:val="00417677"/>
    <w:rsid w:val="004178E2"/>
    <w:rsid w:val="00417AA7"/>
    <w:rsid w:val="00417BE3"/>
    <w:rsid w:val="00420195"/>
    <w:rsid w:val="00420436"/>
    <w:rsid w:val="00420703"/>
    <w:rsid w:val="00420A52"/>
    <w:rsid w:val="00421608"/>
    <w:rsid w:val="00421731"/>
    <w:rsid w:val="00421A0B"/>
    <w:rsid w:val="00421D7A"/>
    <w:rsid w:val="00421E9C"/>
    <w:rsid w:val="004220D9"/>
    <w:rsid w:val="0042218D"/>
    <w:rsid w:val="0042242F"/>
    <w:rsid w:val="00422BEB"/>
    <w:rsid w:val="00422C95"/>
    <w:rsid w:val="00422D32"/>
    <w:rsid w:val="00422FCE"/>
    <w:rsid w:val="00423476"/>
    <w:rsid w:val="00423AD2"/>
    <w:rsid w:val="00423CE4"/>
    <w:rsid w:val="00423E69"/>
    <w:rsid w:val="00423F47"/>
    <w:rsid w:val="0042402A"/>
    <w:rsid w:val="00424186"/>
    <w:rsid w:val="004242AE"/>
    <w:rsid w:val="00424646"/>
    <w:rsid w:val="00424970"/>
    <w:rsid w:val="004251E5"/>
    <w:rsid w:val="004252EA"/>
    <w:rsid w:val="00425525"/>
    <w:rsid w:val="00426208"/>
    <w:rsid w:val="0042681E"/>
    <w:rsid w:val="00426906"/>
    <w:rsid w:val="00426D00"/>
    <w:rsid w:val="004273BB"/>
    <w:rsid w:val="004274A0"/>
    <w:rsid w:val="004275E7"/>
    <w:rsid w:val="00427AC6"/>
    <w:rsid w:val="00427D6B"/>
    <w:rsid w:val="004302A6"/>
    <w:rsid w:val="004305FF"/>
    <w:rsid w:val="00430796"/>
    <w:rsid w:val="00430913"/>
    <w:rsid w:val="004309BD"/>
    <w:rsid w:val="00430C74"/>
    <w:rsid w:val="00430ED4"/>
    <w:rsid w:val="004314BD"/>
    <w:rsid w:val="0043164D"/>
    <w:rsid w:val="00431AF5"/>
    <w:rsid w:val="00431F66"/>
    <w:rsid w:val="00431FB6"/>
    <w:rsid w:val="00432006"/>
    <w:rsid w:val="00432147"/>
    <w:rsid w:val="004327A0"/>
    <w:rsid w:val="00432B85"/>
    <w:rsid w:val="00432F18"/>
    <w:rsid w:val="00433514"/>
    <w:rsid w:val="0043395F"/>
    <w:rsid w:val="0043412D"/>
    <w:rsid w:val="004345D4"/>
    <w:rsid w:val="004358DB"/>
    <w:rsid w:val="00435E38"/>
    <w:rsid w:val="0043649B"/>
    <w:rsid w:val="004365FA"/>
    <w:rsid w:val="00436808"/>
    <w:rsid w:val="00436848"/>
    <w:rsid w:val="00436C0A"/>
    <w:rsid w:val="00437137"/>
    <w:rsid w:val="00437686"/>
    <w:rsid w:val="00437758"/>
    <w:rsid w:val="00437AC7"/>
    <w:rsid w:val="00437F27"/>
    <w:rsid w:val="004404A5"/>
    <w:rsid w:val="004408AF"/>
    <w:rsid w:val="00441347"/>
    <w:rsid w:val="004413EA"/>
    <w:rsid w:val="00441599"/>
    <w:rsid w:val="0044170D"/>
    <w:rsid w:val="00441803"/>
    <w:rsid w:val="00441A49"/>
    <w:rsid w:val="00441DB4"/>
    <w:rsid w:val="00441F8D"/>
    <w:rsid w:val="00441FFE"/>
    <w:rsid w:val="0044241E"/>
    <w:rsid w:val="00442730"/>
    <w:rsid w:val="00442B01"/>
    <w:rsid w:val="00442F22"/>
    <w:rsid w:val="004431A9"/>
    <w:rsid w:val="00443332"/>
    <w:rsid w:val="004434B8"/>
    <w:rsid w:val="00443988"/>
    <w:rsid w:val="00443998"/>
    <w:rsid w:val="00443AE6"/>
    <w:rsid w:val="00444010"/>
    <w:rsid w:val="0044407C"/>
    <w:rsid w:val="00444135"/>
    <w:rsid w:val="004442FC"/>
    <w:rsid w:val="00444386"/>
    <w:rsid w:val="004449D6"/>
    <w:rsid w:val="00444D31"/>
    <w:rsid w:val="004455EE"/>
    <w:rsid w:val="0044580D"/>
    <w:rsid w:val="00445A9D"/>
    <w:rsid w:val="00445CE6"/>
    <w:rsid w:val="00445FBF"/>
    <w:rsid w:val="004460A7"/>
    <w:rsid w:val="004462D9"/>
    <w:rsid w:val="0044670F"/>
    <w:rsid w:val="004467F6"/>
    <w:rsid w:val="00446BFD"/>
    <w:rsid w:val="00446EFA"/>
    <w:rsid w:val="00446F9E"/>
    <w:rsid w:val="00447C19"/>
    <w:rsid w:val="00447F53"/>
    <w:rsid w:val="00450001"/>
    <w:rsid w:val="00450F2F"/>
    <w:rsid w:val="00450F75"/>
    <w:rsid w:val="00451005"/>
    <w:rsid w:val="00451169"/>
    <w:rsid w:val="0045120F"/>
    <w:rsid w:val="004515F7"/>
    <w:rsid w:val="00452C37"/>
    <w:rsid w:val="00452FD4"/>
    <w:rsid w:val="004530C8"/>
    <w:rsid w:val="00453410"/>
    <w:rsid w:val="004537C8"/>
    <w:rsid w:val="00453AE4"/>
    <w:rsid w:val="00453E35"/>
    <w:rsid w:val="00453E54"/>
    <w:rsid w:val="00454393"/>
    <w:rsid w:val="00454658"/>
    <w:rsid w:val="004546FC"/>
    <w:rsid w:val="004547AC"/>
    <w:rsid w:val="00454FF8"/>
    <w:rsid w:val="00455314"/>
    <w:rsid w:val="004557E0"/>
    <w:rsid w:val="00455A27"/>
    <w:rsid w:val="00455A5C"/>
    <w:rsid w:val="00455B0A"/>
    <w:rsid w:val="004561E8"/>
    <w:rsid w:val="0045649D"/>
    <w:rsid w:val="0045651F"/>
    <w:rsid w:val="00456B4D"/>
    <w:rsid w:val="00456CCB"/>
    <w:rsid w:val="0045754F"/>
    <w:rsid w:val="00457683"/>
    <w:rsid w:val="00457B2A"/>
    <w:rsid w:val="00457DD9"/>
    <w:rsid w:val="004601A3"/>
    <w:rsid w:val="00460434"/>
    <w:rsid w:val="00461343"/>
    <w:rsid w:val="00461534"/>
    <w:rsid w:val="0046168C"/>
    <w:rsid w:val="00461D4C"/>
    <w:rsid w:val="00461E43"/>
    <w:rsid w:val="0046227C"/>
    <w:rsid w:val="004622D1"/>
    <w:rsid w:val="004625BC"/>
    <w:rsid w:val="00462763"/>
    <w:rsid w:val="004629CA"/>
    <w:rsid w:val="00462F81"/>
    <w:rsid w:val="00462FEE"/>
    <w:rsid w:val="00463220"/>
    <w:rsid w:val="00463275"/>
    <w:rsid w:val="004632DD"/>
    <w:rsid w:val="0046331A"/>
    <w:rsid w:val="004644A2"/>
    <w:rsid w:val="004646E4"/>
    <w:rsid w:val="0046478C"/>
    <w:rsid w:val="00464C38"/>
    <w:rsid w:val="00464D57"/>
    <w:rsid w:val="00464FF2"/>
    <w:rsid w:val="00465020"/>
    <w:rsid w:val="00465402"/>
    <w:rsid w:val="0046540B"/>
    <w:rsid w:val="004658A5"/>
    <w:rsid w:val="00466B4C"/>
    <w:rsid w:val="00466EDF"/>
    <w:rsid w:val="00467066"/>
    <w:rsid w:val="0046737D"/>
    <w:rsid w:val="00467462"/>
    <w:rsid w:val="00467511"/>
    <w:rsid w:val="00467BA4"/>
    <w:rsid w:val="00467C8F"/>
    <w:rsid w:val="00467D19"/>
    <w:rsid w:val="0047046F"/>
    <w:rsid w:val="00470960"/>
    <w:rsid w:val="00470A6F"/>
    <w:rsid w:val="00470DC8"/>
    <w:rsid w:val="0047117E"/>
    <w:rsid w:val="00471292"/>
    <w:rsid w:val="00471311"/>
    <w:rsid w:val="00471597"/>
    <w:rsid w:val="004715BD"/>
    <w:rsid w:val="00471969"/>
    <w:rsid w:val="00471EA8"/>
    <w:rsid w:val="0047210F"/>
    <w:rsid w:val="00472A74"/>
    <w:rsid w:val="00472EF6"/>
    <w:rsid w:val="00473145"/>
    <w:rsid w:val="0047367D"/>
    <w:rsid w:val="00473C38"/>
    <w:rsid w:val="00473E27"/>
    <w:rsid w:val="00473EAD"/>
    <w:rsid w:val="00473F8E"/>
    <w:rsid w:val="0047403B"/>
    <w:rsid w:val="0047420C"/>
    <w:rsid w:val="00474277"/>
    <w:rsid w:val="00474633"/>
    <w:rsid w:val="00474785"/>
    <w:rsid w:val="004747A6"/>
    <w:rsid w:val="00474F95"/>
    <w:rsid w:val="00475671"/>
    <w:rsid w:val="00475BA9"/>
    <w:rsid w:val="00475F5A"/>
    <w:rsid w:val="0047646B"/>
    <w:rsid w:val="00476560"/>
    <w:rsid w:val="00476751"/>
    <w:rsid w:val="00476E75"/>
    <w:rsid w:val="00477039"/>
    <w:rsid w:val="004770A5"/>
    <w:rsid w:val="0047718F"/>
    <w:rsid w:val="004772ED"/>
    <w:rsid w:val="00477894"/>
    <w:rsid w:val="00477F80"/>
    <w:rsid w:val="0048012C"/>
    <w:rsid w:val="004805FC"/>
    <w:rsid w:val="00480797"/>
    <w:rsid w:val="004808B8"/>
    <w:rsid w:val="00480B5F"/>
    <w:rsid w:val="00480C63"/>
    <w:rsid w:val="00480C9F"/>
    <w:rsid w:val="00480CEB"/>
    <w:rsid w:val="00481650"/>
    <w:rsid w:val="004816FB"/>
    <w:rsid w:val="00481EED"/>
    <w:rsid w:val="00482621"/>
    <w:rsid w:val="0048279F"/>
    <w:rsid w:val="0048294A"/>
    <w:rsid w:val="00482C7C"/>
    <w:rsid w:val="00483576"/>
    <w:rsid w:val="00483B25"/>
    <w:rsid w:val="004845FE"/>
    <w:rsid w:val="00484C2F"/>
    <w:rsid w:val="00484CCB"/>
    <w:rsid w:val="00484E8C"/>
    <w:rsid w:val="004851CC"/>
    <w:rsid w:val="00485323"/>
    <w:rsid w:val="0048540C"/>
    <w:rsid w:val="00485876"/>
    <w:rsid w:val="00485BA4"/>
    <w:rsid w:val="0048607C"/>
    <w:rsid w:val="004861D5"/>
    <w:rsid w:val="00486556"/>
    <w:rsid w:val="004866FF"/>
    <w:rsid w:val="0048707A"/>
    <w:rsid w:val="004870A5"/>
    <w:rsid w:val="004872DB"/>
    <w:rsid w:val="00487480"/>
    <w:rsid w:val="00487636"/>
    <w:rsid w:val="00487C1C"/>
    <w:rsid w:val="00487F80"/>
    <w:rsid w:val="00490C79"/>
    <w:rsid w:val="00491091"/>
    <w:rsid w:val="0049167B"/>
    <w:rsid w:val="004920A7"/>
    <w:rsid w:val="004920D0"/>
    <w:rsid w:val="004922EB"/>
    <w:rsid w:val="004923B7"/>
    <w:rsid w:val="004927C1"/>
    <w:rsid w:val="00492DF2"/>
    <w:rsid w:val="00493828"/>
    <w:rsid w:val="00493E9D"/>
    <w:rsid w:val="004942E9"/>
    <w:rsid w:val="0049437A"/>
    <w:rsid w:val="00494B58"/>
    <w:rsid w:val="00494D92"/>
    <w:rsid w:val="00495003"/>
    <w:rsid w:val="00495A1D"/>
    <w:rsid w:val="00495A79"/>
    <w:rsid w:val="00495D29"/>
    <w:rsid w:val="00495E32"/>
    <w:rsid w:val="004963E2"/>
    <w:rsid w:val="004966E0"/>
    <w:rsid w:val="00496757"/>
    <w:rsid w:val="00496D48"/>
    <w:rsid w:val="0049730F"/>
    <w:rsid w:val="004976A4"/>
    <w:rsid w:val="00497EA1"/>
    <w:rsid w:val="00497EEF"/>
    <w:rsid w:val="004A003A"/>
    <w:rsid w:val="004A02EB"/>
    <w:rsid w:val="004A0406"/>
    <w:rsid w:val="004A0842"/>
    <w:rsid w:val="004A0CFF"/>
    <w:rsid w:val="004A0F51"/>
    <w:rsid w:val="004A12B1"/>
    <w:rsid w:val="004A153C"/>
    <w:rsid w:val="004A18DE"/>
    <w:rsid w:val="004A1E89"/>
    <w:rsid w:val="004A25F9"/>
    <w:rsid w:val="004A27D1"/>
    <w:rsid w:val="004A2958"/>
    <w:rsid w:val="004A2E1F"/>
    <w:rsid w:val="004A3081"/>
    <w:rsid w:val="004A38B9"/>
    <w:rsid w:val="004A3B5F"/>
    <w:rsid w:val="004A3E7B"/>
    <w:rsid w:val="004A4111"/>
    <w:rsid w:val="004A4881"/>
    <w:rsid w:val="004A51BF"/>
    <w:rsid w:val="004A52DF"/>
    <w:rsid w:val="004A5873"/>
    <w:rsid w:val="004A5C59"/>
    <w:rsid w:val="004A5D84"/>
    <w:rsid w:val="004A683D"/>
    <w:rsid w:val="004A6BDA"/>
    <w:rsid w:val="004A6BDE"/>
    <w:rsid w:val="004A6C5E"/>
    <w:rsid w:val="004A6FE7"/>
    <w:rsid w:val="004A7071"/>
    <w:rsid w:val="004A708B"/>
    <w:rsid w:val="004A71D7"/>
    <w:rsid w:val="004A7599"/>
    <w:rsid w:val="004A7A0C"/>
    <w:rsid w:val="004A7B92"/>
    <w:rsid w:val="004B027F"/>
    <w:rsid w:val="004B0923"/>
    <w:rsid w:val="004B095A"/>
    <w:rsid w:val="004B0AD4"/>
    <w:rsid w:val="004B0B96"/>
    <w:rsid w:val="004B0BCF"/>
    <w:rsid w:val="004B0D01"/>
    <w:rsid w:val="004B0E5F"/>
    <w:rsid w:val="004B0E6D"/>
    <w:rsid w:val="004B0F96"/>
    <w:rsid w:val="004B10AB"/>
    <w:rsid w:val="004B1A96"/>
    <w:rsid w:val="004B1E24"/>
    <w:rsid w:val="004B1EA0"/>
    <w:rsid w:val="004B1ECE"/>
    <w:rsid w:val="004B212E"/>
    <w:rsid w:val="004B2683"/>
    <w:rsid w:val="004B2992"/>
    <w:rsid w:val="004B2E48"/>
    <w:rsid w:val="004B32FC"/>
    <w:rsid w:val="004B34B3"/>
    <w:rsid w:val="004B359A"/>
    <w:rsid w:val="004B3840"/>
    <w:rsid w:val="004B3928"/>
    <w:rsid w:val="004B4460"/>
    <w:rsid w:val="004B46D0"/>
    <w:rsid w:val="004B4700"/>
    <w:rsid w:val="004B4A8E"/>
    <w:rsid w:val="004B539C"/>
    <w:rsid w:val="004B564F"/>
    <w:rsid w:val="004B56D8"/>
    <w:rsid w:val="004B5813"/>
    <w:rsid w:val="004B58F0"/>
    <w:rsid w:val="004B597D"/>
    <w:rsid w:val="004B5DE8"/>
    <w:rsid w:val="004B5DF2"/>
    <w:rsid w:val="004B67E6"/>
    <w:rsid w:val="004B6842"/>
    <w:rsid w:val="004B6C68"/>
    <w:rsid w:val="004B6EFA"/>
    <w:rsid w:val="004B715E"/>
    <w:rsid w:val="004B72EC"/>
    <w:rsid w:val="004B781C"/>
    <w:rsid w:val="004B7C1B"/>
    <w:rsid w:val="004C0288"/>
    <w:rsid w:val="004C03AD"/>
    <w:rsid w:val="004C0538"/>
    <w:rsid w:val="004C0872"/>
    <w:rsid w:val="004C0999"/>
    <w:rsid w:val="004C0CE4"/>
    <w:rsid w:val="004C1586"/>
    <w:rsid w:val="004C163A"/>
    <w:rsid w:val="004C1881"/>
    <w:rsid w:val="004C1AFD"/>
    <w:rsid w:val="004C1D70"/>
    <w:rsid w:val="004C201A"/>
    <w:rsid w:val="004C20F6"/>
    <w:rsid w:val="004C21D7"/>
    <w:rsid w:val="004C268B"/>
    <w:rsid w:val="004C27A4"/>
    <w:rsid w:val="004C2A9D"/>
    <w:rsid w:val="004C2B72"/>
    <w:rsid w:val="004C3443"/>
    <w:rsid w:val="004C359D"/>
    <w:rsid w:val="004C38B9"/>
    <w:rsid w:val="004C3A50"/>
    <w:rsid w:val="004C3BFC"/>
    <w:rsid w:val="004C3E93"/>
    <w:rsid w:val="004C3F08"/>
    <w:rsid w:val="004C442E"/>
    <w:rsid w:val="004C46E1"/>
    <w:rsid w:val="004C49BB"/>
    <w:rsid w:val="004C4C07"/>
    <w:rsid w:val="004C4C5E"/>
    <w:rsid w:val="004C4E03"/>
    <w:rsid w:val="004C5005"/>
    <w:rsid w:val="004C5009"/>
    <w:rsid w:val="004C59B4"/>
    <w:rsid w:val="004C5FC4"/>
    <w:rsid w:val="004C60E1"/>
    <w:rsid w:val="004C6801"/>
    <w:rsid w:val="004C69A9"/>
    <w:rsid w:val="004C6AA1"/>
    <w:rsid w:val="004C6ADA"/>
    <w:rsid w:val="004C7248"/>
    <w:rsid w:val="004C75FF"/>
    <w:rsid w:val="004C7ECD"/>
    <w:rsid w:val="004C7EE3"/>
    <w:rsid w:val="004D0253"/>
    <w:rsid w:val="004D04A6"/>
    <w:rsid w:val="004D0A98"/>
    <w:rsid w:val="004D1122"/>
    <w:rsid w:val="004D123D"/>
    <w:rsid w:val="004D17BB"/>
    <w:rsid w:val="004D184A"/>
    <w:rsid w:val="004D1D96"/>
    <w:rsid w:val="004D2088"/>
    <w:rsid w:val="004D2494"/>
    <w:rsid w:val="004D2537"/>
    <w:rsid w:val="004D25C7"/>
    <w:rsid w:val="004D26C4"/>
    <w:rsid w:val="004D2892"/>
    <w:rsid w:val="004D2A12"/>
    <w:rsid w:val="004D2BF1"/>
    <w:rsid w:val="004D2D6A"/>
    <w:rsid w:val="004D2F15"/>
    <w:rsid w:val="004D306F"/>
    <w:rsid w:val="004D3512"/>
    <w:rsid w:val="004D3AF5"/>
    <w:rsid w:val="004D3BD4"/>
    <w:rsid w:val="004D458E"/>
    <w:rsid w:val="004D4611"/>
    <w:rsid w:val="004D462B"/>
    <w:rsid w:val="004D46A0"/>
    <w:rsid w:val="004D47CE"/>
    <w:rsid w:val="004D517D"/>
    <w:rsid w:val="004D551E"/>
    <w:rsid w:val="004D5546"/>
    <w:rsid w:val="004D5932"/>
    <w:rsid w:val="004D59EB"/>
    <w:rsid w:val="004D5A79"/>
    <w:rsid w:val="004D5B85"/>
    <w:rsid w:val="004D5BE2"/>
    <w:rsid w:val="004D60D0"/>
    <w:rsid w:val="004D64BA"/>
    <w:rsid w:val="004D6911"/>
    <w:rsid w:val="004D6B45"/>
    <w:rsid w:val="004D6CED"/>
    <w:rsid w:val="004D6E48"/>
    <w:rsid w:val="004D73A9"/>
    <w:rsid w:val="004D74DD"/>
    <w:rsid w:val="004D7998"/>
    <w:rsid w:val="004D7F06"/>
    <w:rsid w:val="004E00AB"/>
    <w:rsid w:val="004E0302"/>
    <w:rsid w:val="004E06D1"/>
    <w:rsid w:val="004E0AF8"/>
    <w:rsid w:val="004E1370"/>
    <w:rsid w:val="004E13A4"/>
    <w:rsid w:val="004E1436"/>
    <w:rsid w:val="004E14BE"/>
    <w:rsid w:val="004E1838"/>
    <w:rsid w:val="004E1BD5"/>
    <w:rsid w:val="004E1C74"/>
    <w:rsid w:val="004E2B88"/>
    <w:rsid w:val="004E3010"/>
    <w:rsid w:val="004E3691"/>
    <w:rsid w:val="004E386A"/>
    <w:rsid w:val="004E3939"/>
    <w:rsid w:val="004E39FC"/>
    <w:rsid w:val="004E444D"/>
    <w:rsid w:val="004E4639"/>
    <w:rsid w:val="004E4838"/>
    <w:rsid w:val="004E4B26"/>
    <w:rsid w:val="004E4B29"/>
    <w:rsid w:val="004E4BFA"/>
    <w:rsid w:val="004E4C82"/>
    <w:rsid w:val="004E5585"/>
    <w:rsid w:val="004E5713"/>
    <w:rsid w:val="004E57B5"/>
    <w:rsid w:val="004E5B6C"/>
    <w:rsid w:val="004E5E4B"/>
    <w:rsid w:val="004E611D"/>
    <w:rsid w:val="004E6603"/>
    <w:rsid w:val="004E66B8"/>
    <w:rsid w:val="004E6721"/>
    <w:rsid w:val="004E6CCF"/>
    <w:rsid w:val="004E6EF7"/>
    <w:rsid w:val="004E73F4"/>
    <w:rsid w:val="004E77DC"/>
    <w:rsid w:val="004E77EA"/>
    <w:rsid w:val="004E7960"/>
    <w:rsid w:val="004E79DA"/>
    <w:rsid w:val="004E7D6A"/>
    <w:rsid w:val="004F00C5"/>
    <w:rsid w:val="004F03D7"/>
    <w:rsid w:val="004F079B"/>
    <w:rsid w:val="004F166B"/>
    <w:rsid w:val="004F19E8"/>
    <w:rsid w:val="004F1CA6"/>
    <w:rsid w:val="004F1DA4"/>
    <w:rsid w:val="004F24B4"/>
    <w:rsid w:val="004F27CA"/>
    <w:rsid w:val="004F2BC4"/>
    <w:rsid w:val="004F2C02"/>
    <w:rsid w:val="004F2D41"/>
    <w:rsid w:val="004F3584"/>
    <w:rsid w:val="004F3873"/>
    <w:rsid w:val="004F39EC"/>
    <w:rsid w:val="004F3A2F"/>
    <w:rsid w:val="004F3DB0"/>
    <w:rsid w:val="004F3FAB"/>
    <w:rsid w:val="004F40D6"/>
    <w:rsid w:val="004F410E"/>
    <w:rsid w:val="004F4489"/>
    <w:rsid w:val="004F481A"/>
    <w:rsid w:val="004F4AB4"/>
    <w:rsid w:val="004F4B6B"/>
    <w:rsid w:val="004F4E27"/>
    <w:rsid w:val="004F519A"/>
    <w:rsid w:val="004F544A"/>
    <w:rsid w:val="004F5BC3"/>
    <w:rsid w:val="004F5CB1"/>
    <w:rsid w:val="004F5F17"/>
    <w:rsid w:val="004F6334"/>
    <w:rsid w:val="004F65A2"/>
    <w:rsid w:val="004F6607"/>
    <w:rsid w:val="004F66BB"/>
    <w:rsid w:val="004F677E"/>
    <w:rsid w:val="004F694A"/>
    <w:rsid w:val="004F6C23"/>
    <w:rsid w:val="004F6DBA"/>
    <w:rsid w:val="004F6F70"/>
    <w:rsid w:val="004F70F2"/>
    <w:rsid w:val="004F7106"/>
    <w:rsid w:val="004F73B6"/>
    <w:rsid w:val="004F7664"/>
    <w:rsid w:val="0050002C"/>
    <w:rsid w:val="0050021E"/>
    <w:rsid w:val="00500281"/>
    <w:rsid w:val="005007C6"/>
    <w:rsid w:val="00500C26"/>
    <w:rsid w:val="005011F6"/>
    <w:rsid w:val="0050164D"/>
    <w:rsid w:val="005018B0"/>
    <w:rsid w:val="00501D79"/>
    <w:rsid w:val="005023E0"/>
    <w:rsid w:val="00502EDF"/>
    <w:rsid w:val="00502F95"/>
    <w:rsid w:val="0050411A"/>
    <w:rsid w:val="00504332"/>
    <w:rsid w:val="00504CB6"/>
    <w:rsid w:val="00504DD1"/>
    <w:rsid w:val="00504E94"/>
    <w:rsid w:val="00504F6C"/>
    <w:rsid w:val="00505157"/>
    <w:rsid w:val="005059A7"/>
    <w:rsid w:val="00505A7A"/>
    <w:rsid w:val="00505B97"/>
    <w:rsid w:val="00506244"/>
    <w:rsid w:val="00506686"/>
    <w:rsid w:val="00506AD5"/>
    <w:rsid w:val="00506B3A"/>
    <w:rsid w:val="00506B65"/>
    <w:rsid w:val="00506CC7"/>
    <w:rsid w:val="00506D44"/>
    <w:rsid w:val="005071F4"/>
    <w:rsid w:val="005078C1"/>
    <w:rsid w:val="00510003"/>
    <w:rsid w:val="00510666"/>
    <w:rsid w:val="0051075F"/>
    <w:rsid w:val="0051086F"/>
    <w:rsid w:val="00510AA8"/>
    <w:rsid w:val="00510C64"/>
    <w:rsid w:val="00510E05"/>
    <w:rsid w:val="00510F44"/>
    <w:rsid w:val="005110BB"/>
    <w:rsid w:val="0051176E"/>
    <w:rsid w:val="005119F3"/>
    <w:rsid w:val="00511B2A"/>
    <w:rsid w:val="00511CAD"/>
    <w:rsid w:val="00511D6F"/>
    <w:rsid w:val="00511E23"/>
    <w:rsid w:val="00511E29"/>
    <w:rsid w:val="00511F97"/>
    <w:rsid w:val="00511FDE"/>
    <w:rsid w:val="005123BC"/>
    <w:rsid w:val="00512642"/>
    <w:rsid w:val="00512B96"/>
    <w:rsid w:val="00512C35"/>
    <w:rsid w:val="00513581"/>
    <w:rsid w:val="00513B24"/>
    <w:rsid w:val="00513EBD"/>
    <w:rsid w:val="00513FFD"/>
    <w:rsid w:val="00514633"/>
    <w:rsid w:val="00514743"/>
    <w:rsid w:val="00514C05"/>
    <w:rsid w:val="0051514A"/>
    <w:rsid w:val="0051518C"/>
    <w:rsid w:val="00515243"/>
    <w:rsid w:val="00515B27"/>
    <w:rsid w:val="00515B8D"/>
    <w:rsid w:val="00516033"/>
    <w:rsid w:val="00516475"/>
    <w:rsid w:val="00516A13"/>
    <w:rsid w:val="00516A8A"/>
    <w:rsid w:val="00516AF9"/>
    <w:rsid w:val="00516CD6"/>
    <w:rsid w:val="0051753F"/>
    <w:rsid w:val="00517924"/>
    <w:rsid w:val="00517D64"/>
    <w:rsid w:val="005209FD"/>
    <w:rsid w:val="00520B0A"/>
    <w:rsid w:val="00520E38"/>
    <w:rsid w:val="005212E8"/>
    <w:rsid w:val="00521E4A"/>
    <w:rsid w:val="005221DC"/>
    <w:rsid w:val="00522582"/>
    <w:rsid w:val="005227D3"/>
    <w:rsid w:val="00522A80"/>
    <w:rsid w:val="00522BB8"/>
    <w:rsid w:val="00522C89"/>
    <w:rsid w:val="00522FC9"/>
    <w:rsid w:val="00523554"/>
    <w:rsid w:val="00523D27"/>
    <w:rsid w:val="00524339"/>
    <w:rsid w:val="005244EB"/>
    <w:rsid w:val="0052464A"/>
    <w:rsid w:val="00524742"/>
    <w:rsid w:val="00524C4F"/>
    <w:rsid w:val="00524DFE"/>
    <w:rsid w:val="005250AA"/>
    <w:rsid w:val="005251E0"/>
    <w:rsid w:val="0052530A"/>
    <w:rsid w:val="005256D6"/>
    <w:rsid w:val="00525787"/>
    <w:rsid w:val="00525F38"/>
    <w:rsid w:val="0052623F"/>
    <w:rsid w:val="00526655"/>
    <w:rsid w:val="0052681F"/>
    <w:rsid w:val="00526989"/>
    <w:rsid w:val="00526BC9"/>
    <w:rsid w:val="00527823"/>
    <w:rsid w:val="0052795D"/>
    <w:rsid w:val="00527B33"/>
    <w:rsid w:val="00530265"/>
    <w:rsid w:val="00530657"/>
    <w:rsid w:val="00530695"/>
    <w:rsid w:val="00530773"/>
    <w:rsid w:val="0053093A"/>
    <w:rsid w:val="005309F4"/>
    <w:rsid w:val="00530A98"/>
    <w:rsid w:val="0053128B"/>
    <w:rsid w:val="0053149D"/>
    <w:rsid w:val="00531582"/>
    <w:rsid w:val="00531AF2"/>
    <w:rsid w:val="00531C56"/>
    <w:rsid w:val="00531C68"/>
    <w:rsid w:val="0053207F"/>
    <w:rsid w:val="005323CA"/>
    <w:rsid w:val="0053260B"/>
    <w:rsid w:val="00532631"/>
    <w:rsid w:val="0053272F"/>
    <w:rsid w:val="0053276E"/>
    <w:rsid w:val="005327DE"/>
    <w:rsid w:val="00533551"/>
    <w:rsid w:val="005335F7"/>
    <w:rsid w:val="005339F9"/>
    <w:rsid w:val="00533A85"/>
    <w:rsid w:val="00533F2B"/>
    <w:rsid w:val="005340A2"/>
    <w:rsid w:val="00534222"/>
    <w:rsid w:val="00534594"/>
    <w:rsid w:val="00534A84"/>
    <w:rsid w:val="0053549E"/>
    <w:rsid w:val="00535A52"/>
    <w:rsid w:val="00535F4C"/>
    <w:rsid w:val="005360EE"/>
    <w:rsid w:val="0053640C"/>
    <w:rsid w:val="0053653B"/>
    <w:rsid w:val="00536910"/>
    <w:rsid w:val="00537B78"/>
    <w:rsid w:val="00537B82"/>
    <w:rsid w:val="00537E16"/>
    <w:rsid w:val="00537E20"/>
    <w:rsid w:val="00540479"/>
    <w:rsid w:val="005404F3"/>
    <w:rsid w:val="0054051F"/>
    <w:rsid w:val="00540CAC"/>
    <w:rsid w:val="00540E5E"/>
    <w:rsid w:val="005412DA"/>
    <w:rsid w:val="00541D2C"/>
    <w:rsid w:val="005425A1"/>
    <w:rsid w:val="0054271F"/>
    <w:rsid w:val="00542836"/>
    <w:rsid w:val="00542B18"/>
    <w:rsid w:val="00543293"/>
    <w:rsid w:val="00543474"/>
    <w:rsid w:val="0054358F"/>
    <w:rsid w:val="00543CC8"/>
    <w:rsid w:val="00543F64"/>
    <w:rsid w:val="005441D2"/>
    <w:rsid w:val="005449C3"/>
    <w:rsid w:val="00544DD6"/>
    <w:rsid w:val="00544EE3"/>
    <w:rsid w:val="0054531F"/>
    <w:rsid w:val="00545334"/>
    <w:rsid w:val="005458F3"/>
    <w:rsid w:val="00545A9C"/>
    <w:rsid w:val="00545EF0"/>
    <w:rsid w:val="005460BF"/>
    <w:rsid w:val="005462D5"/>
    <w:rsid w:val="005468E3"/>
    <w:rsid w:val="00546E78"/>
    <w:rsid w:val="0054715A"/>
    <w:rsid w:val="0054734F"/>
    <w:rsid w:val="00547597"/>
    <w:rsid w:val="00547F0F"/>
    <w:rsid w:val="00550156"/>
    <w:rsid w:val="00550601"/>
    <w:rsid w:val="00550884"/>
    <w:rsid w:val="0055098B"/>
    <w:rsid w:val="00550F96"/>
    <w:rsid w:val="005513CE"/>
    <w:rsid w:val="00551B32"/>
    <w:rsid w:val="00551EF9"/>
    <w:rsid w:val="00552192"/>
    <w:rsid w:val="005525FC"/>
    <w:rsid w:val="00552FEC"/>
    <w:rsid w:val="005534A9"/>
    <w:rsid w:val="005536B9"/>
    <w:rsid w:val="00554239"/>
    <w:rsid w:val="0055461B"/>
    <w:rsid w:val="00554801"/>
    <w:rsid w:val="00554A66"/>
    <w:rsid w:val="00554CD3"/>
    <w:rsid w:val="00555475"/>
    <w:rsid w:val="005557B9"/>
    <w:rsid w:val="00555CCA"/>
    <w:rsid w:val="00555D02"/>
    <w:rsid w:val="0055665A"/>
    <w:rsid w:val="00556A9E"/>
    <w:rsid w:val="0055703D"/>
    <w:rsid w:val="00557433"/>
    <w:rsid w:val="0055753A"/>
    <w:rsid w:val="00557B69"/>
    <w:rsid w:val="005605C4"/>
    <w:rsid w:val="005606A1"/>
    <w:rsid w:val="005607FA"/>
    <w:rsid w:val="005609C7"/>
    <w:rsid w:val="00560B56"/>
    <w:rsid w:val="00560F88"/>
    <w:rsid w:val="00561A11"/>
    <w:rsid w:val="00561AE6"/>
    <w:rsid w:val="005622B1"/>
    <w:rsid w:val="00562626"/>
    <w:rsid w:val="00562693"/>
    <w:rsid w:val="0056287E"/>
    <w:rsid w:val="00562CA1"/>
    <w:rsid w:val="00563010"/>
    <w:rsid w:val="005630A8"/>
    <w:rsid w:val="0056325F"/>
    <w:rsid w:val="00563339"/>
    <w:rsid w:val="00563E67"/>
    <w:rsid w:val="0056401D"/>
    <w:rsid w:val="0056468A"/>
    <w:rsid w:val="005648C7"/>
    <w:rsid w:val="00564D9E"/>
    <w:rsid w:val="00564F72"/>
    <w:rsid w:val="0056518E"/>
    <w:rsid w:val="00565497"/>
    <w:rsid w:val="00565965"/>
    <w:rsid w:val="005667CF"/>
    <w:rsid w:val="00566962"/>
    <w:rsid w:val="00566D93"/>
    <w:rsid w:val="00566EA6"/>
    <w:rsid w:val="00566F89"/>
    <w:rsid w:val="00566FCA"/>
    <w:rsid w:val="005670A1"/>
    <w:rsid w:val="00567379"/>
    <w:rsid w:val="00567B18"/>
    <w:rsid w:val="00570032"/>
    <w:rsid w:val="005705AF"/>
    <w:rsid w:val="00570D5C"/>
    <w:rsid w:val="0057117B"/>
    <w:rsid w:val="005711D3"/>
    <w:rsid w:val="005714D3"/>
    <w:rsid w:val="00571561"/>
    <w:rsid w:val="00571591"/>
    <w:rsid w:val="0057170C"/>
    <w:rsid w:val="0057184B"/>
    <w:rsid w:val="00571B68"/>
    <w:rsid w:val="00571F16"/>
    <w:rsid w:val="00572672"/>
    <w:rsid w:val="00572B5A"/>
    <w:rsid w:val="00572F05"/>
    <w:rsid w:val="00573543"/>
    <w:rsid w:val="00573805"/>
    <w:rsid w:val="005738E9"/>
    <w:rsid w:val="00573C29"/>
    <w:rsid w:val="00574278"/>
    <w:rsid w:val="005744D4"/>
    <w:rsid w:val="00574936"/>
    <w:rsid w:val="00574A43"/>
    <w:rsid w:val="0057507E"/>
    <w:rsid w:val="00575B52"/>
    <w:rsid w:val="00575FCD"/>
    <w:rsid w:val="0057655D"/>
    <w:rsid w:val="00576929"/>
    <w:rsid w:val="00576E78"/>
    <w:rsid w:val="005774D0"/>
    <w:rsid w:val="00577912"/>
    <w:rsid w:val="00577B14"/>
    <w:rsid w:val="0058013E"/>
    <w:rsid w:val="005805B5"/>
    <w:rsid w:val="00580770"/>
    <w:rsid w:val="0058086D"/>
    <w:rsid w:val="005809A5"/>
    <w:rsid w:val="005809B4"/>
    <w:rsid w:val="0058126D"/>
    <w:rsid w:val="005813AC"/>
    <w:rsid w:val="00581D0B"/>
    <w:rsid w:val="005823B6"/>
    <w:rsid w:val="0058250F"/>
    <w:rsid w:val="00582A74"/>
    <w:rsid w:val="00582CC8"/>
    <w:rsid w:val="005831A9"/>
    <w:rsid w:val="00583441"/>
    <w:rsid w:val="00583CDB"/>
    <w:rsid w:val="005840A4"/>
    <w:rsid w:val="0058434B"/>
    <w:rsid w:val="005847F4"/>
    <w:rsid w:val="00584A6E"/>
    <w:rsid w:val="00585247"/>
    <w:rsid w:val="00585C0B"/>
    <w:rsid w:val="005860C6"/>
    <w:rsid w:val="0058628C"/>
    <w:rsid w:val="005866BC"/>
    <w:rsid w:val="00586772"/>
    <w:rsid w:val="00587109"/>
    <w:rsid w:val="005873D0"/>
    <w:rsid w:val="00587A75"/>
    <w:rsid w:val="00587D84"/>
    <w:rsid w:val="00590181"/>
    <w:rsid w:val="00590720"/>
    <w:rsid w:val="00590822"/>
    <w:rsid w:val="0059088D"/>
    <w:rsid w:val="00590C25"/>
    <w:rsid w:val="00590E13"/>
    <w:rsid w:val="0059125C"/>
    <w:rsid w:val="005913FE"/>
    <w:rsid w:val="0059167B"/>
    <w:rsid w:val="00591824"/>
    <w:rsid w:val="0059191A"/>
    <w:rsid w:val="00591CAD"/>
    <w:rsid w:val="00592061"/>
    <w:rsid w:val="005922AB"/>
    <w:rsid w:val="0059243F"/>
    <w:rsid w:val="0059275A"/>
    <w:rsid w:val="00592CDB"/>
    <w:rsid w:val="00592F04"/>
    <w:rsid w:val="00592F43"/>
    <w:rsid w:val="005930CF"/>
    <w:rsid w:val="00593542"/>
    <w:rsid w:val="005940E5"/>
    <w:rsid w:val="005946EB"/>
    <w:rsid w:val="00595127"/>
    <w:rsid w:val="005953E7"/>
    <w:rsid w:val="00595E64"/>
    <w:rsid w:val="00596189"/>
    <w:rsid w:val="005965E4"/>
    <w:rsid w:val="00596668"/>
    <w:rsid w:val="0059669F"/>
    <w:rsid w:val="005966A3"/>
    <w:rsid w:val="00597255"/>
    <w:rsid w:val="005974FF"/>
    <w:rsid w:val="00597E55"/>
    <w:rsid w:val="005A0C50"/>
    <w:rsid w:val="005A0C92"/>
    <w:rsid w:val="005A1369"/>
    <w:rsid w:val="005A1EB3"/>
    <w:rsid w:val="005A1EF7"/>
    <w:rsid w:val="005A24F2"/>
    <w:rsid w:val="005A2B7B"/>
    <w:rsid w:val="005A370E"/>
    <w:rsid w:val="005A3C25"/>
    <w:rsid w:val="005A414B"/>
    <w:rsid w:val="005A4356"/>
    <w:rsid w:val="005A44AB"/>
    <w:rsid w:val="005A4727"/>
    <w:rsid w:val="005A4810"/>
    <w:rsid w:val="005A4A1E"/>
    <w:rsid w:val="005A4C49"/>
    <w:rsid w:val="005A5130"/>
    <w:rsid w:val="005A537F"/>
    <w:rsid w:val="005A5947"/>
    <w:rsid w:val="005A598C"/>
    <w:rsid w:val="005A5B6F"/>
    <w:rsid w:val="005A651C"/>
    <w:rsid w:val="005A670A"/>
    <w:rsid w:val="005A6B64"/>
    <w:rsid w:val="005A6C9F"/>
    <w:rsid w:val="005A6F02"/>
    <w:rsid w:val="005A6F44"/>
    <w:rsid w:val="005A71A7"/>
    <w:rsid w:val="005A7310"/>
    <w:rsid w:val="005A7639"/>
    <w:rsid w:val="005A79DE"/>
    <w:rsid w:val="005A7EE4"/>
    <w:rsid w:val="005A7F56"/>
    <w:rsid w:val="005B02EF"/>
    <w:rsid w:val="005B0AF5"/>
    <w:rsid w:val="005B10B2"/>
    <w:rsid w:val="005B12F6"/>
    <w:rsid w:val="005B155F"/>
    <w:rsid w:val="005B1792"/>
    <w:rsid w:val="005B1E70"/>
    <w:rsid w:val="005B21B0"/>
    <w:rsid w:val="005B2251"/>
    <w:rsid w:val="005B250F"/>
    <w:rsid w:val="005B25FD"/>
    <w:rsid w:val="005B278C"/>
    <w:rsid w:val="005B2940"/>
    <w:rsid w:val="005B2C83"/>
    <w:rsid w:val="005B2CAA"/>
    <w:rsid w:val="005B3D90"/>
    <w:rsid w:val="005B3D9B"/>
    <w:rsid w:val="005B4759"/>
    <w:rsid w:val="005B47F6"/>
    <w:rsid w:val="005B4FB2"/>
    <w:rsid w:val="005B531F"/>
    <w:rsid w:val="005B53EC"/>
    <w:rsid w:val="005B591E"/>
    <w:rsid w:val="005B5A43"/>
    <w:rsid w:val="005B5D49"/>
    <w:rsid w:val="005B5F3F"/>
    <w:rsid w:val="005B68C3"/>
    <w:rsid w:val="005B72AC"/>
    <w:rsid w:val="005B79ED"/>
    <w:rsid w:val="005B7B7C"/>
    <w:rsid w:val="005B7DA4"/>
    <w:rsid w:val="005C00DF"/>
    <w:rsid w:val="005C0869"/>
    <w:rsid w:val="005C0B9E"/>
    <w:rsid w:val="005C0FD8"/>
    <w:rsid w:val="005C1742"/>
    <w:rsid w:val="005C1EE4"/>
    <w:rsid w:val="005C1F5F"/>
    <w:rsid w:val="005C2DAB"/>
    <w:rsid w:val="005C4330"/>
    <w:rsid w:val="005C4AF3"/>
    <w:rsid w:val="005C4DBC"/>
    <w:rsid w:val="005C5187"/>
    <w:rsid w:val="005C5633"/>
    <w:rsid w:val="005C5D8F"/>
    <w:rsid w:val="005C62EB"/>
    <w:rsid w:val="005C65FF"/>
    <w:rsid w:val="005C661C"/>
    <w:rsid w:val="005C67E3"/>
    <w:rsid w:val="005C6A4F"/>
    <w:rsid w:val="005C7418"/>
    <w:rsid w:val="005C7522"/>
    <w:rsid w:val="005C77F5"/>
    <w:rsid w:val="005C79E8"/>
    <w:rsid w:val="005C7B12"/>
    <w:rsid w:val="005C7FC7"/>
    <w:rsid w:val="005D04BE"/>
    <w:rsid w:val="005D0742"/>
    <w:rsid w:val="005D08A5"/>
    <w:rsid w:val="005D0C98"/>
    <w:rsid w:val="005D0E02"/>
    <w:rsid w:val="005D0E77"/>
    <w:rsid w:val="005D132C"/>
    <w:rsid w:val="005D1AC9"/>
    <w:rsid w:val="005D1B2D"/>
    <w:rsid w:val="005D1B5F"/>
    <w:rsid w:val="005D1D23"/>
    <w:rsid w:val="005D1FA3"/>
    <w:rsid w:val="005D23B3"/>
    <w:rsid w:val="005D25B2"/>
    <w:rsid w:val="005D3404"/>
    <w:rsid w:val="005D342E"/>
    <w:rsid w:val="005D3F0F"/>
    <w:rsid w:val="005D3F88"/>
    <w:rsid w:val="005D4212"/>
    <w:rsid w:val="005D4843"/>
    <w:rsid w:val="005D4971"/>
    <w:rsid w:val="005D5086"/>
    <w:rsid w:val="005D5893"/>
    <w:rsid w:val="005D59FF"/>
    <w:rsid w:val="005D5B1A"/>
    <w:rsid w:val="005D5E5C"/>
    <w:rsid w:val="005D5E70"/>
    <w:rsid w:val="005D60AB"/>
    <w:rsid w:val="005D6529"/>
    <w:rsid w:val="005D696A"/>
    <w:rsid w:val="005D740A"/>
    <w:rsid w:val="005D7765"/>
    <w:rsid w:val="005D787C"/>
    <w:rsid w:val="005D79E5"/>
    <w:rsid w:val="005D7B07"/>
    <w:rsid w:val="005E0067"/>
    <w:rsid w:val="005E017E"/>
    <w:rsid w:val="005E05B9"/>
    <w:rsid w:val="005E06BA"/>
    <w:rsid w:val="005E0B13"/>
    <w:rsid w:val="005E0EC8"/>
    <w:rsid w:val="005E0ECC"/>
    <w:rsid w:val="005E0F3C"/>
    <w:rsid w:val="005E0F64"/>
    <w:rsid w:val="005E14C9"/>
    <w:rsid w:val="005E1560"/>
    <w:rsid w:val="005E18BB"/>
    <w:rsid w:val="005E20DC"/>
    <w:rsid w:val="005E210F"/>
    <w:rsid w:val="005E2429"/>
    <w:rsid w:val="005E26A8"/>
    <w:rsid w:val="005E26B4"/>
    <w:rsid w:val="005E28D5"/>
    <w:rsid w:val="005E2B09"/>
    <w:rsid w:val="005E2BC0"/>
    <w:rsid w:val="005E30AF"/>
    <w:rsid w:val="005E3391"/>
    <w:rsid w:val="005E3518"/>
    <w:rsid w:val="005E3882"/>
    <w:rsid w:val="005E3F20"/>
    <w:rsid w:val="005E405E"/>
    <w:rsid w:val="005E41B5"/>
    <w:rsid w:val="005E45F6"/>
    <w:rsid w:val="005E462C"/>
    <w:rsid w:val="005E49DF"/>
    <w:rsid w:val="005E5001"/>
    <w:rsid w:val="005E5590"/>
    <w:rsid w:val="005E598D"/>
    <w:rsid w:val="005E59D6"/>
    <w:rsid w:val="005E5D98"/>
    <w:rsid w:val="005E5E12"/>
    <w:rsid w:val="005E5E1B"/>
    <w:rsid w:val="005E5E42"/>
    <w:rsid w:val="005E5FD6"/>
    <w:rsid w:val="005E66C8"/>
    <w:rsid w:val="005E67F8"/>
    <w:rsid w:val="005E689B"/>
    <w:rsid w:val="005E6ACB"/>
    <w:rsid w:val="005E6D2E"/>
    <w:rsid w:val="005F047C"/>
    <w:rsid w:val="005F0D78"/>
    <w:rsid w:val="005F0E05"/>
    <w:rsid w:val="005F15F3"/>
    <w:rsid w:val="005F1682"/>
    <w:rsid w:val="005F1948"/>
    <w:rsid w:val="005F2553"/>
    <w:rsid w:val="005F25A4"/>
    <w:rsid w:val="005F269E"/>
    <w:rsid w:val="005F2812"/>
    <w:rsid w:val="005F2963"/>
    <w:rsid w:val="005F2CB6"/>
    <w:rsid w:val="005F324B"/>
    <w:rsid w:val="005F3744"/>
    <w:rsid w:val="005F3A5A"/>
    <w:rsid w:val="005F3AA4"/>
    <w:rsid w:val="005F3BC1"/>
    <w:rsid w:val="005F3DAC"/>
    <w:rsid w:val="005F3EA8"/>
    <w:rsid w:val="005F466A"/>
    <w:rsid w:val="005F4A5F"/>
    <w:rsid w:val="005F4C96"/>
    <w:rsid w:val="005F4F08"/>
    <w:rsid w:val="005F4F1B"/>
    <w:rsid w:val="005F52B6"/>
    <w:rsid w:val="005F52C3"/>
    <w:rsid w:val="005F532A"/>
    <w:rsid w:val="005F5AF2"/>
    <w:rsid w:val="005F5EE9"/>
    <w:rsid w:val="005F6329"/>
    <w:rsid w:val="005F6911"/>
    <w:rsid w:val="005F69BB"/>
    <w:rsid w:val="005F6C1A"/>
    <w:rsid w:val="005F7207"/>
    <w:rsid w:val="005F740B"/>
    <w:rsid w:val="005F7964"/>
    <w:rsid w:val="005F7B27"/>
    <w:rsid w:val="005F7DCA"/>
    <w:rsid w:val="005F7F5C"/>
    <w:rsid w:val="0060001B"/>
    <w:rsid w:val="006002C2"/>
    <w:rsid w:val="0060066F"/>
    <w:rsid w:val="00600831"/>
    <w:rsid w:val="00600D09"/>
    <w:rsid w:val="0060125E"/>
    <w:rsid w:val="00601340"/>
    <w:rsid w:val="00601C86"/>
    <w:rsid w:val="00602563"/>
    <w:rsid w:val="0060259B"/>
    <w:rsid w:val="00602739"/>
    <w:rsid w:val="00602DF1"/>
    <w:rsid w:val="00602EBA"/>
    <w:rsid w:val="006033C6"/>
    <w:rsid w:val="006039E0"/>
    <w:rsid w:val="00603AAF"/>
    <w:rsid w:val="00603D6D"/>
    <w:rsid w:val="00603DD7"/>
    <w:rsid w:val="00604028"/>
    <w:rsid w:val="006040DF"/>
    <w:rsid w:val="006041A7"/>
    <w:rsid w:val="006041DA"/>
    <w:rsid w:val="006042FC"/>
    <w:rsid w:val="00604758"/>
    <w:rsid w:val="00604987"/>
    <w:rsid w:val="00604B0E"/>
    <w:rsid w:val="00604BCE"/>
    <w:rsid w:val="00604F94"/>
    <w:rsid w:val="00605104"/>
    <w:rsid w:val="00605496"/>
    <w:rsid w:val="006055F6"/>
    <w:rsid w:val="00605A6F"/>
    <w:rsid w:val="00605AD8"/>
    <w:rsid w:val="00605BC8"/>
    <w:rsid w:val="00605DD2"/>
    <w:rsid w:val="006061A3"/>
    <w:rsid w:val="00607354"/>
    <w:rsid w:val="00607AC6"/>
    <w:rsid w:val="00607AE1"/>
    <w:rsid w:val="00607B6B"/>
    <w:rsid w:val="00607EF3"/>
    <w:rsid w:val="0061020F"/>
    <w:rsid w:val="00610517"/>
    <w:rsid w:val="00610861"/>
    <w:rsid w:val="00610903"/>
    <w:rsid w:val="00610FD5"/>
    <w:rsid w:val="00611178"/>
    <w:rsid w:val="00611348"/>
    <w:rsid w:val="006114E2"/>
    <w:rsid w:val="00611762"/>
    <w:rsid w:val="00611AC3"/>
    <w:rsid w:val="00611C75"/>
    <w:rsid w:val="00611E7E"/>
    <w:rsid w:val="00612345"/>
    <w:rsid w:val="006124D3"/>
    <w:rsid w:val="00612641"/>
    <w:rsid w:val="006128D5"/>
    <w:rsid w:val="006128F8"/>
    <w:rsid w:val="006129C8"/>
    <w:rsid w:val="00612A2F"/>
    <w:rsid w:val="00612AC6"/>
    <w:rsid w:val="00612D86"/>
    <w:rsid w:val="00612DDB"/>
    <w:rsid w:val="00612DE1"/>
    <w:rsid w:val="00612FC3"/>
    <w:rsid w:val="0061307E"/>
    <w:rsid w:val="0061309F"/>
    <w:rsid w:val="006133BA"/>
    <w:rsid w:val="00613459"/>
    <w:rsid w:val="00613573"/>
    <w:rsid w:val="006135E9"/>
    <w:rsid w:val="00613646"/>
    <w:rsid w:val="0061377F"/>
    <w:rsid w:val="006138BB"/>
    <w:rsid w:val="006138C2"/>
    <w:rsid w:val="00614490"/>
    <w:rsid w:val="006144D3"/>
    <w:rsid w:val="00614563"/>
    <w:rsid w:val="00614F30"/>
    <w:rsid w:val="0061553C"/>
    <w:rsid w:val="00615C6E"/>
    <w:rsid w:val="0061605D"/>
    <w:rsid w:val="0061681B"/>
    <w:rsid w:val="00616867"/>
    <w:rsid w:val="00616C9B"/>
    <w:rsid w:val="00617048"/>
    <w:rsid w:val="006170D4"/>
    <w:rsid w:val="00617178"/>
    <w:rsid w:val="0061736F"/>
    <w:rsid w:val="006178EC"/>
    <w:rsid w:val="00617B6F"/>
    <w:rsid w:val="00617C97"/>
    <w:rsid w:val="00617E5D"/>
    <w:rsid w:val="00620551"/>
    <w:rsid w:val="0062075D"/>
    <w:rsid w:val="00620C60"/>
    <w:rsid w:val="00620CCA"/>
    <w:rsid w:val="00620E36"/>
    <w:rsid w:val="00620FE9"/>
    <w:rsid w:val="006217E4"/>
    <w:rsid w:val="006218DA"/>
    <w:rsid w:val="00621AD9"/>
    <w:rsid w:val="0062264D"/>
    <w:rsid w:val="00622FEB"/>
    <w:rsid w:val="00623023"/>
    <w:rsid w:val="006230DD"/>
    <w:rsid w:val="00623131"/>
    <w:rsid w:val="00623DBB"/>
    <w:rsid w:val="00623E74"/>
    <w:rsid w:val="006242F2"/>
    <w:rsid w:val="00624447"/>
    <w:rsid w:val="0062455D"/>
    <w:rsid w:val="00624C8B"/>
    <w:rsid w:val="00624CD3"/>
    <w:rsid w:val="00624ECF"/>
    <w:rsid w:val="0062538A"/>
    <w:rsid w:val="006255DD"/>
    <w:rsid w:val="0062563B"/>
    <w:rsid w:val="00625D1A"/>
    <w:rsid w:val="0062613E"/>
    <w:rsid w:val="0062613F"/>
    <w:rsid w:val="006262B5"/>
    <w:rsid w:val="00626396"/>
    <w:rsid w:val="00626521"/>
    <w:rsid w:val="0062652B"/>
    <w:rsid w:val="006267DA"/>
    <w:rsid w:val="0062699C"/>
    <w:rsid w:val="00626A05"/>
    <w:rsid w:val="00626C45"/>
    <w:rsid w:val="006277A2"/>
    <w:rsid w:val="00627A4A"/>
    <w:rsid w:val="00627B95"/>
    <w:rsid w:val="00627CBA"/>
    <w:rsid w:val="00627D3A"/>
    <w:rsid w:val="00627F74"/>
    <w:rsid w:val="0063097E"/>
    <w:rsid w:val="00630B74"/>
    <w:rsid w:val="006311CA"/>
    <w:rsid w:val="00631567"/>
    <w:rsid w:val="006318D5"/>
    <w:rsid w:val="00631B04"/>
    <w:rsid w:val="0063213B"/>
    <w:rsid w:val="00633F44"/>
    <w:rsid w:val="006344C0"/>
    <w:rsid w:val="006344EE"/>
    <w:rsid w:val="006346A3"/>
    <w:rsid w:val="00634DA0"/>
    <w:rsid w:val="00634E60"/>
    <w:rsid w:val="006355C1"/>
    <w:rsid w:val="00635B05"/>
    <w:rsid w:val="00635DD9"/>
    <w:rsid w:val="00635FF5"/>
    <w:rsid w:val="00636026"/>
    <w:rsid w:val="006360D3"/>
    <w:rsid w:val="00636172"/>
    <w:rsid w:val="00636741"/>
    <w:rsid w:val="0063688E"/>
    <w:rsid w:val="0063782E"/>
    <w:rsid w:val="0064033C"/>
    <w:rsid w:val="006404C9"/>
    <w:rsid w:val="00640569"/>
    <w:rsid w:val="00641117"/>
    <w:rsid w:val="0064139A"/>
    <w:rsid w:val="006416E6"/>
    <w:rsid w:val="00641C77"/>
    <w:rsid w:val="00641CED"/>
    <w:rsid w:val="00641DA7"/>
    <w:rsid w:val="00641F74"/>
    <w:rsid w:val="0064253A"/>
    <w:rsid w:val="00642914"/>
    <w:rsid w:val="00643731"/>
    <w:rsid w:val="00643DAE"/>
    <w:rsid w:val="00643F48"/>
    <w:rsid w:val="00644908"/>
    <w:rsid w:val="00644EA8"/>
    <w:rsid w:val="00645078"/>
    <w:rsid w:val="0064509B"/>
    <w:rsid w:val="006451D9"/>
    <w:rsid w:val="006452CE"/>
    <w:rsid w:val="006453CF"/>
    <w:rsid w:val="006458DE"/>
    <w:rsid w:val="00645FE3"/>
    <w:rsid w:val="00646139"/>
    <w:rsid w:val="00646D6C"/>
    <w:rsid w:val="00646F93"/>
    <w:rsid w:val="006470DB"/>
    <w:rsid w:val="00647A79"/>
    <w:rsid w:val="00647D4B"/>
    <w:rsid w:val="00647E9C"/>
    <w:rsid w:val="00650147"/>
    <w:rsid w:val="0065050F"/>
    <w:rsid w:val="00650624"/>
    <w:rsid w:val="006507BD"/>
    <w:rsid w:val="00651029"/>
    <w:rsid w:val="006510B9"/>
    <w:rsid w:val="006514D3"/>
    <w:rsid w:val="0065155A"/>
    <w:rsid w:val="00651E4D"/>
    <w:rsid w:val="006523F3"/>
    <w:rsid w:val="00652711"/>
    <w:rsid w:val="00652766"/>
    <w:rsid w:val="0065307E"/>
    <w:rsid w:val="006532A8"/>
    <w:rsid w:val="006533DD"/>
    <w:rsid w:val="0065474A"/>
    <w:rsid w:val="00654844"/>
    <w:rsid w:val="006548BF"/>
    <w:rsid w:val="006551F5"/>
    <w:rsid w:val="006557F2"/>
    <w:rsid w:val="00655A7F"/>
    <w:rsid w:val="00655EC1"/>
    <w:rsid w:val="0065607C"/>
    <w:rsid w:val="006561EF"/>
    <w:rsid w:val="00656B01"/>
    <w:rsid w:val="006570C3"/>
    <w:rsid w:val="00657387"/>
    <w:rsid w:val="0065759C"/>
    <w:rsid w:val="006575F6"/>
    <w:rsid w:val="00657DF9"/>
    <w:rsid w:val="00657ED2"/>
    <w:rsid w:val="006601F1"/>
    <w:rsid w:val="006602B8"/>
    <w:rsid w:val="006602C5"/>
    <w:rsid w:val="006603A6"/>
    <w:rsid w:val="00660654"/>
    <w:rsid w:val="00660D18"/>
    <w:rsid w:val="00661888"/>
    <w:rsid w:val="006622ED"/>
    <w:rsid w:val="00662667"/>
    <w:rsid w:val="0066291E"/>
    <w:rsid w:val="00662A19"/>
    <w:rsid w:val="00662EC9"/>
    <w:rsid w:val="00662F8F"/>
    <w:rsid w:val="006631A5"/>
    <w:rsid w:val="006634E4"/>
    <w:rsid w:val="006637F4"/>
    <w:rsid w:val="00663A44"/>
    <w:rsid w:val="00663B09"/>
    <w:rsid w:val="00663C94"/>
    <w:rsid w:val="00663F0D"/>
    <w:rsid w:val="006641DB"/>
    <w:rsid w:val="0066461A"/>
    <w:rsid w:val="006647C0"/>
    <w:rsid w:val="0066490A"/>
    <w:rsid w:val="00664940"/>
    <w:rsid w:val="006649C1"/>
    <w:rsid w:val="00665ACE"/>
    <w:rsid w:val="00665D81"/>
    <w:rsid w:val="00665F55"/>
    <w:rsid w:val="006662CC"/>
    <w:rsid w:val="00666312"/>
    <w:rsid w:val="00666551"/>
    <w:rsid w:val="006665B0"/>
    <w:rsid w:val="00666913"/>
    <w:rsid w:val="0066719A"/>
    <w:rsid w:val="00667BE5"/>
    <w:rsid w:val="00667C98"/>
    <w:rsid w:val="00667DB8"/>
    <w:rsid w:val="006701F6"/>
    <w:rsid w:val="00670700"/>
    <w:rsid w:val="00670730"/>
    <w:rsid w:val="00670846"/>
    <w:rsid w:val="00670974"/>
    <w:rsid w:val="00670DFF"/>
    <w:rsid w:val="0067151C"/>
    <w:rsid w:val="0067169F"/>
    <w:rsid w:val="00671999"/>
    <w:rsid w:val="00671FC4"/>
    <w:rsid w:val="00672792"/>
    <w:rsid w:val="006732A8"/>
    <w:rsid w:val="006736D9"/>
    <w:rsid w:val="00674157"/>
    <w:rsid w:val="00674169"/>
    <w:rsid w:val="00674255"/>
    <w:rsid w:val="0067425F"/>
    <w:rsid w:val="0067441D"/>
    <w:rsid w:val="00674651"/>
    <w:rsid w:val="0067483A"/>
    <w:rsid w:val="00674914"/>
    <w:rsid w:val="00674D21"/>
    <w:rsid w:val="00674F83"/>
    <w:rsid w:val="0067547D"/>
    <w:rsid w:val="00675527"/>
    <w:rsid w:val="00675D3E"/>
    <w:rsid w:val="00676329"/>
    <w:rsid w:val="00676363"/>
    <w:rsid w:val="006763F4"/>
    <w:rsid w:val="00676620"/>
    <w:rsid w:val="006768A6"/>
    <w:rsid w:val="00676C11"/>
    <w:rsid w:val="00676C1E"/>
    <w:rsid w:val="00676CED"/>
    <w:rsid w:val="006776FE"/>
    <w:rsid w:val="006777F8"/>
    <w:rsid w:val="00677CB9"/>
    <w:rsid w:val="006807F5"/>
    <w:rsid w:val="00680807"/>
    <w:rsid w:val="00680AAB"/>
    <w:rsid w:val="00680F79"/>
    <w:rsid w:val="006811D4"/>
    <w:rsid w:val="006813BA"/>
    <w:rsid w:val="00681459"/>
    <w:rsid w:val="006819E2"/>
    <w:rsid w:val="00681A66"/>
    <w:rsid w:val="00681D7E"/>
    <w:rsid w:val="00681DDB"/>
    <w:rsid w:val="006822DD"/>
    <w:rsid w:val="0068257C"/>
    <w:rsid w:val="00682977"/>
    <w:rsid w:val="00682BC9"/>
    <w:rsid w:val="00682EB6"/>
    <w:rsid w:val="006831A2"/>
    <w:rsid w:val="00683319"/>
    <w:rsid w:val="006835FE"/>
    <w:rsid w:val="006836CA"/>
    <w:rsid w:val="006836EB"/>
    <w:rsid w:val="006837BE"/>
    <w:rsid w:val="00683D3D"/>
    <w:rsid w:val="00683E95"/>
    <w:rsid w:val="00683F97"/>
    <w:rsid w:val="0068497C"/>
    <w:rsid w:val="006849BA"/>
    <w:rsid w:val="00684AAE"/>
    <w:rsid w:val="00684F73"/>
    <w:rsid w:val="00685403"/>
    <w:rsid w:val="00685429"/>
    <w:rsid w:val="006855AB"/>
    <w:rsid w:val="00685BE8"/>
    <w:rsid w:val="00685CD3"/>
    <w:rsid w:val="006867BC"/>
    <w:rsid w:val="00686B22"/>
    <w:rsid w:val="00686C63"/>
    <w:rsid w:val="0068705B"/>
    <w:rsid w:val="0068721E"/>
    <w:rsid w:val="0068728C"/>
    <w:rsid w:val="0068761D"/>
    <w:rsid w:val="00687996"/>
    <w:rsid w:val="00687A74"/>
    <w:rsid w:val="00687F90"/>
    <w:rsid w:val="00690414"/>
    <w:rsid w:val="00690537"/>
    <w:rsid w:val="00690851"/>
    <w:rsid w:val="006909A7"/>
    <w:rsid w:val="00690A1C"/>
    <w:rsid w:val="00690B72"/>
    <w:rsid w:val="00690C2F"/>
    <w:rsid w:val="00690D5F"/>
    <w:rsid w:val="006915DC"/>
    <w:rsid w:val="00691DD2"/>
    <w:rsid w:val="00691F4A"/>
    <w:rsid w:val="0069216D"/>
    <w:rsid w:val="0069224C"/>
    <w:rsid w:val="0069237B"/>
    <w:rsid w:val="00692A69"/>
    <w:rsid w:val="00692DAF"/>
    <w:rsid w:val="00693174"/>
    <w:rsid w:val="006931FE"/>
    <w:rsid w:val="00693394"/>
    <w:rsid w:val="006935EF"/>
    <w:rsid w:val="00693794"/>
    <w:rsid w:val="006940BA"/>
    <w:rsid w:val="00694417"/>
    <w:rsid w:val="00694E09"/>
    <w:rsid w:val="00695091"/>
    <w:rsid w:val="006951C6"/>
    <w:rsid w:val="006952B5"/>
    <w:rsid w:val="006952ED"/>
    <w:rsid w:val="00695466"/>
    <w:rsid w:val="0069568C"/>
    <w:rsid w:val="00695768"/>
    <w:rsid w:val="006961D2"/>
    <w:rsid w:val="00696660"/>
    <w:rsid w:val="006968DF"/>
    <w:rsid w:val="0069709C"/>
    <w:rsid w:val="006970BE"/>
    <w:rsid w:val="006977D3"/>
    <w:rsid w:val="00697AA7"/>
    <w:rsid w:val="006A01E9"/>
    <w:rsid w:val="006A04BC"/>
    <w:rsid w:val="006A0E64"/>
    <w:rsid w:val="006A10C3"/>
    <w:rsid w:val="006A122D"/>
    <w:rsid w:val="006A123E"/>
    <w:rsid w:val="006A1580"/>
    <w:rsid w:val="006A16E9"/>
    <w:rsid w:val="006A171D"/>
    <w:rsid w:val="006A1779"/>
    <w:rsid w:val="006A1C6F"/>
    <w:rsid w:val="006A1D21"/>
    <w:rsid w:val="006A22E2"/>
    <w:rsid w:val="006A2359"/>
    <w:rsid w:val="006A27E9"/>
    <w:rsid w:val="006A3256"/>
    <w:rsid w:val="006A32CD"/>
    <w:rsid w:val="006A3336"/>
    <w:rsid w:val="006A339F"/>
    <w:rsid w:val="006A33C3"/>
    <w:rsid w:val="006A37BF"/>
    <w:rsid w:val="006A39DE"/>
    <w:rsid w:val="006A3AB1"/>
    <w:rsid w:val="006A3E05"/>
    <w:rsid w:val="006A3FC3"/>
    <w:rsid w:val="006A433A"/>
    <w:rsid w:val="006A43A6"/>
    <w:rsid w:val="006A4586"/>
    <w:rsid w:val="006A4AA7"/>
    <w:rsid w:val="006A5105"/>
    <w:rsid w:val="006A52D5"/>
    <w:rsid w:val="006A543A"/>
    <w:rsid w:val="006A5616"/>
    <w:rsid w:val="006A573D"/>
    <w:rsid w:val="006A5C5B"/>
    <w:rsid w:val="006A61DE"/>
    <w:rsid w:val="006A6735"/>
    <w:rsid w:val="006A68AE"/>
    <w:rsid w:val="006A6F6B"/>
    <w:rsid w:val="006A6FF0"/>
    <w:rsid w:val="006A7375"/>
    <w:rsid w:val="006A7572"/>
    <w:rsid w:val="006A759B"/>
    <w:rsid w:val="006A7E1D"/>
    <w:rsid w:val="006A7E4D"/>
    <w:rsid w:val="006B066C"/>
    <w:rsid w:val="006B0AFA"/>
    <w:rsid w:val="006B0D16"/>
    <w:rsid w:val="006B0F54"/>
    <w:rsid w:val="006B13DF"/>
    <w:rsid w:val="006B15E6"/>
    <w:rsid w:val="006B18EF"/>
    <w:rsid w:val="006B19E0"/>
    <w:rsid w:val="006B2362"/>
    <w:rsid w:val="006B265B"/>
    <w:rsid w:val="006B2B8B"/>
    <w:rsid w:val="006B2FF9"/>
    <w:rsid w:val="006B31BA"/>
    <w:rsid w:val="006B3475"/>
    <w:rsid w:val="006B3717"/>
    <w:rsid w:val="006B3A66"/>
    <w:rsid w:val="006B3A73"/>
    <w:rsid w:val="006B4FC2"/>
    <w:rsid w:val="006B5920"/>
    <w:rsid w:val="006B5AE2"/>
    <w:rsid w:val="006B5B51"/>
    <w:rsid w:val="006B5B70"/>
    <w:rsid w:val="006B5D2E"/>
    <w:rsid w:val="006B61A2"/>
    <w:rsid w:val="006B6863"/>
    <w:rsid w:val="006B6D9F"/>
    <w:rsid w:val="006B74DA"/>
    <w:rsid w:val="006C02F6"/>
    <w:rsid w:val="006C0C7F"/>
    <w:rsid w:val="006C128B"/>
    <w:rsid w:val="006C1570"/>
    <w:rsid w:val="006C1AA6"/>
    <w:rsid w:val="006C1D6C"/>
    <w:rsid w:val="006C1D6E"/>
    <w:rsid w:val="006C1DC8"/>
    <w:rsid w:val="006C1F00"/>
    <w:rsid w:val="006C20C6"/>
    <w:rsid w:val="006C2248"/>
    <w:rsid w:val="006C2256"/>
    <w:rsid w:val="006C23AF"/>
    <w:rsid w:val="006C2E6C"/>
    <w:rsid w:val="006C2EB8"/>
    <w:rsid w:val="006C3013"/>
    <w:rsid w:val="006C30E9"/>
    <w:rsid w:val="006C36FE"/>
    <w:rsid w:val="006C3AF9"/>
    <w:rsid w:val="006C3B60"/>
    <w:rsid w:val="006C4125"/>
    <w:rsid w:val="006C4533"/>
    <w:rsid w:val="006C4813"/>
    <w:rsid w:val="006C48CF"/>
    <w:rsid w:val="006C4D44"/>
    <w:rsid w:val="006C5126"/>
    <w:rsid w:val="006C547B"/>
    <w:rsid w:val="006C54B6"/>
    <w:rsid w:val="006C5D00"/>
    <w:rsid w:val="006C5FCB"/>
    <w:rsid w:val="006C619F"/>
    <w:rsid w:val="006C61FA"/>
    <w:rsid w:val="006C62AD"/>
    <w:rsid w:val="006C6598"/>
    <w:rsid w:val="006C679A"/>
    <w:rsid w:val="006C6BB0"/>
    <w:rsid w:val="006C6E4E"/>
    <w:rsid w:val="006C7058"/>
    <w:rsid w:val="006C70AA"/>
    <w:rsid w:val="006C7222"/>
    <w:rsid w:val="006C76C7"/>
    <w:rsid w:val="006C7925"/>
    <w:rsid w:val="006C7A19"/>
    <w:rsid w:val="006C7F13"/>
    <w:rsid w:val="006D0609"/>
    <w:rsid w:val="006D1077"/>
    <w:rsid w:val="006D119C"/>
    <w:rsid w:val="006D127B"/>
    <w:rsid w:val="006D1363"/>
    <w:rsid w:val="006D13D3"/>
    <w:rsid w:val="006D1803"/>
    <w:rsid w:val="006D25B4"/>
    <w:rsid w:val="006D2625"/>
    <w:rsid w:val="006D271B"/>
    <w:rsid w:val="006D2B21"/>
    <w:rsid w:val="006D2BD7"/>
    <w:rsid w:val="006D31C9"/>
    <w:rsid w:val="006D328D"/>
    <w:rsid w:val="006D33E6"/>
    <w:rsid w:val="006D3DA4"/>
    <w:rsid w:val="006D4272"/>
    <w:rsid w:val="006D4BA5"/>
    <w:rsid w:val="006D5043"/>
    <w:rsid w:val="006D58AE"/>
    <w:rsid w:val="006D597C"/>
    <w:rsid w:val="006D5B61"/>
    <w:rsid w:val="006D5E4F"/>
    <w:rsid w:val="006D603C"/>
    <w:rsid w:val="006D60D5"/>
    <w:rsid w:val="006D65AF"/>
    <w:rsid w:val="006D6692"/>
    <w:rsid w:val="006D670D"/>
    <w:rsid w:val="006D7272"/>
    <w:rsid w:val="006D7276"/>
    <w:rsid w:val="006D7429"/>
    <w:rsid w:val="006D769A"/>
    <w:rsid w:val="006D7757"/>
    <w:rsid w:val="006D77A5"/>
    <w:rsid w:val="006D786E"/>
    <w:rsid w:val="006D7979"/>
    <w:rsid w:val="006D7BAD"/>
    <w:rsid w:val="006E08E4"/>
    <w:rsid w:val="006E0C16"/>
    <w:rsid w:val="006E0C5E"/>
    <w:rsid w:val="006E0F54"/>
    <w:rsid w:val="006E1048"/>
    <w:rsid w:val="006E1195"/>
    <w:rsid w:val="006E11FA"/>
    <w:rsid w:val="006E1780"/>
    <w:rsid w:val="006E223D"/>
    <w:rsid w:val="006E2470"/>
    <w:rsid w:val="006E2506"/>
    <w:rsid w:val="006E2A49"/>
    <w:rsid w:val="006E2A6D"/>
    <w:rsid w:val="006E2CE5"/>
    <w:rsid w:val="006E2FED"/>
    <w:rsid w:val="006E3083"/>
    <w:rsid w:val="006E3103"/>
    <w:rsid w:val="006E3602"/>
    <w:rsid w:val="006E3B53"/>
    <w:rsid w:val="006E3FCE"/>
    <w:rsid w:val="006E41EA"/>
    <w:rsid w:val="006E4744"/>
    <w:rsid w:val="006E4CB2"/>
    <w:rsid w:val="006E503E"/>
    <w:rsid w:val="006E5431"/>
    <w:rsid w:val="006E548A"/>
    <w:rsid w:val="006E5C49"/>
    <w:rsid w:val="006E5F98"/>
    <w:rsid w:val="006E665E"/>
    <w:rsid w:val="006E667B"/>
    <w:rsid w:val="006E682E"/>
    <w:rsid w:val="006E69FB"/>
    <w:rsid w:val="006E6F7E"/>
    <w:rsid w:val="006E7311"/>
    <w:rsid w:val="006E75F6"/>
    <w:rsid w:val="006E7756"/>
    <w:rsid w:val="006F022C"/>
    <w:rsid w:val="006F0446"/>
    <w:rsid w:val="006F0703"/>
    <w:rsid w:val="006F1439"/>
    <w:rsid w:val="006F18B0"/>
    <w:rsid w:val="006F1C3A"/>
    <w:rsid w:val="006F1D4D"/>
    <w:rsid w:val="006F1E0E"/>
    <w:rsid w:val="006F202A"/>
    <w:rsid w:val="006F2382"/>
    <w:rsid w:val="006F2839"/>
    <w:rsid w:val="006F2B96"/>
    <w:rsid w:val="006F2CD1"/>
    <w:rsid w:val="006F2CFD"/>
    <w:rsid w:val="006F2F8C"/>
    <w:rsid w:val="006F3638"/>
    <w:rsid w:val="006F4096"/>
    <w:rsid w:val="006F47DE"/>
    <w:rsid w:val="006F4960"/>
    <w:rsid w:val="006F4CBE"/>
    <w:rsid w:val="006F4D7A"/>
    <w:rsid w:val="006F4DC1"/>
    <w:rsid w:val="006F4E77"/>
    <w:rsid w:val="006F5CDD"/>
    <w:rsid w:val="006F633B"/>
    <w:rsid w:val="006F6383"/>
    <w:rsid w:val="006F64AC"/>
    <w:rsid w:val="006F66C0"/>
    <w:rsid w:val="006F6BC2"/>
    <w:rsid w:val="006F6C57"/>
    <w:rsid w:val="006F6D92"/>
    <w:rsid w:val="006F6D9A"/>
    <w:rsid w:val="006F6FC8"/>
    <w:rsid w:val="006F720A"/>
    <w:rsid w:val="006F72F8"/>
    <w:rsid w:val="006F7329"/>
    <w:rsid w:val="006F7406"/>
    <w:rsid w:val="006F7BE4"/>
    <w:rsid w:val="006F7C21"/>
    <w:rsid w:val="006F7C64"/>
    <w:rsid w:val="006F7E72"/>
    <w:rsid w:val="007008D4"/>
    <w:rsid w:val="00700AE5"/>
    <w:rsid w:val="00700BB3"/>
    <w:rsid w:val="00700F71"/>
    <w:rsid w:val="00700FFA"/>
    <w:rsid w:val="007010E2"/>
    <w:rsid w:val="00701103"/>
    <w:rsid w:val="007014BA"/>
    <w:rsid w:val="00701753"/>
    <w:rsid w:val="00701912"/>
    <w:rsid w:val="00701DF3"/>
    <w:rsid w:val="00701E70"/>
    <w:rsid w:val="00701F91"/>
    <w:rsid w:val="00702476"/>
    <w:rsid w:val="0070254E"/>
    <w:rsid w:val="007025CF"/>
    <w:rsid w:val="00702631"/>
    <w:rsid w:val="007026ED"/>
    <w:rsid w:val="0070281B"/>
    <w:rsid w:val="00702F3B"/>
    <w:rsid w:val="0070303F"/>
    <w:rsid w:val="00703544"/>
    <w:rsid w:val="00703571"/>
    <w:rsid w:val="007036FA"/>
    <w:rsid w:val="00704065"/>
    <w:rsid w:val="0070412F"/>
    <w:rsid w:val="00704572"/>
    <w:rsid w:val="0070473E"/>
    <w:rsid w:val="00704975"/>
    <w:rsid w:val="0070551A"/>
    <w:rsid w:val="00705B49"/>
    <w:rsid w:val="00705D70"/>
    <w:rsid w:val="00706581"/>
    <w:rsid w:val="00706735"/>
    <w:rsid w:val="0070699C"/>
    <w:rsid w:val="00706A97"/>
    <w:rsid w:val="00706B8D"/>
    <w:rsid w:val="00706D7B"/>
    <w:rsid w:val="00706E11"/>
    <w:rsid w:val="0070743F"/>
    <w:rsid w:val="00707769"/>
    <w:rsid w:val="0070794A"/>
    <w:rsid w:val="00707DD3"/>
    <w:rsid w:val="00710084"/>
    <w:rsid w:val="007105BE"/>
    <w:rsid w:val="007107C3"/>
    <w:rsid w:val="0071179E"/>
    <w:rsid w:val="00711F53"/>
    <w:rsid w:val="0071291F"/>
    <w:rsid w:val="00712A20"/>
    <w:rsid w:val="00712EDA"/>
    <w:rsid w:val="00713454"/>
    <w:rsid w:val="007140E5"/>
    <w:rsid w:val="0071413C"/>
    <w:rsid w:val="0071452B"/>
    <w:rsid w:val="007146F8"/>
    <w:rsid w:val="007149F4"/>
    <w:rsid w:val="00715189"/>
    <w:rsid w:val="00715205"/>
    <w:rsid w:val="00715409"/>
    <w:rsid w:val="007156CB"/>
    <w:rsid w:val="00715AA7"/>
    <w:rsid w:val="00716419"/>
    <w:rsid w:val="007168A1"/>
    <w:rsid w:val="00716B73"/>
    <w:rsid w:val="0071705F"/>
    <w:rsid w:val="00717A42"/>
    <w:rsid w:val="00717A50"/>
    <w:rsid w:val="00717D12"/>
    <w:rsid w:val="00717F14"/>
    <w:rsid w:val="00717F9C"/>
    <w:rsid w:val="00717FA5"/>
    <w:rsid w:val="007204E9"/>
    <w:rsid w:val="00720529"/>
    <w:rsid w:val="00720642"/>
    <w:rsid w:val="007207BF"/>
    <w:rsid w:val="00720A6A"/>
    <w:rsid w:val="00721120"/>
    <w:rsid w:val="00721967"/>
    <w:rsid w:val="00721C9C"/>
    <w:rsid w:val="00721CD9"/>
    <w:rsid w:val="00721D40"/>
    <w:rsid w:val="00721E11"/>
    <w:rsid w:val="00721E4C"/>
    <w:rsid w:val="0072218E"/>
    <w:rsid w:val="00722238"/>
    <w:rsid w:val="007224F0"/>
    <w:rsid w:val="007226AF"/>
    <w:rsid w:val="00722747"/>
    <w:rsid w:val="007227E6"/>
    <w:rsid w:val="00722B58"/>
    <w:rsid w:val="007232D3"/>
    <w:rsid w:val="0072396C"/>
    <w:rsid w:val="0072405A"/>
    <w:rsid w:val="00724B1E"/>
    <w:rsid w:val="00725081"/>
    <w:rsid w:val="00725254"/>
    <w:rsid w:val="007258CD"/>
    <w:rsid w:val="0072590D"/>
    <w:rsid w:val="00725987"/>
    <w:rsid w:val="00725E6D"/>
    <w:rsid w:val="00726032"/>
    <w:rsid w:val="00726B11"/>
    <w:rsid w:val="00727037"/>
    <w:rsid w:val="007270BF"/>
    <w:rsid w:val="007272D7"/>
    <w:rsid w:val="0072777F"/>
    <w:rsid w:val="0072798D"/>
    <w:rsid w:val="00727A03"/>
    <w:rsid w:val="00727A0B"/>
    <w:rsid w:val="00727C76"/>
    <w:rsid w:val="0073033B"/>
    <w:rsid w:val="007304C8"/>
    <w:rsid w:val="007305AE"/>
    <w:rsid w:val="00730961"/>
    <w:rsid w:val="00730A7D"/>
    <w:rsid w:val="00730BB9"/>
    <w:rsid w:val="00730BC8"/>
    <w:rsid w:val="00730EE4"/>
    <w:rsid w:val="007311DE"/>
    <w:rsid w:val="007314A9"/>
    <w:rsid w:val="00731A86"/>
    <w:rsid w:val="00731A92"/>
    <w:rsid w:val="00731B64"/>
    <w:rsid w:val="00731CAF"/>
    <w:rsid w:val="00732029"/>
    <w:rsid w:val="00732077"/>
    <w:rsid w:val="00732233"/>
    <w:rsid w:val="00732CA8"/>
    <w:rsid w:val="00732EE9"/>
    <w:rsid w:val="00733192"/>
    <w:rsid w:val="00733595"/>
    <w:rsid w:val="007338D8"/>
    <w:rsid w:val="00733964"/>
    <w:rsid w:val="00733A66"/>
    <w:rsid w:val="00733CC3"/>
    <w:rsid w:val="00734556"/>
    <w:rsid w:val="00734575"/>
    <w:rsid w:val="007345DA"/>
    <w:rsid w:val="0073498E"/>
    <w:rsid w:val="007359D7"/>
    <w:rsid w:val="00735E4D"/>
    <w:rsid w:val="007362CE"/>
    <w:rsid w:val="00736A2F"/>
    <w:rsid w:val="0073763F"/>
    <w:rsid w:val="0073783A"/>
    <w:rsid w:val="00737953"/>
    <w:rsid w:val="00737DE1"/>
    <w:rsid w:val="00740FC7"/>
    <w:rsid w:val="007410BE"/>
    <w:rsid w:val="007415E3"/>
    <w:rsid w:val="00741842"/>
    <w:rsid w:val="0074190B"/>
    <w:rsid w:val="00741ABA"/>
    <w:rsid w:val="00741B73"/>
    <w:rsid w:val="00741C9E"/>
    <w:rsid w:val="00741F48"/>
    <w:rsid w:val="00742363"/>
    <w:rsid w:val="007424D2"/>
    <w:rsid w:val="007429B8"/>
    <w:rsid w:val="00742A87"/>
    <w:rsid w:val="00742C48"/>
    <w:rsid w:val="007430F9"/>
    <w:rsid w:val="0074312D"/>
    <w:rsid w:val="00743296"/>
    <w:rsid w:val="00743320"/>
    <w:rsid w:val="007435F4"/>
    <w:rsid w:val="00743D30"/>
    <w:rsid w:val="00744053"/>
    <w:rsid w:val="00744067"/>
    <w:rsid w:val="00744339"/>
    <w:rsid w:val="00744366"/>
    <w:rsid w:val="007445ED"/>
    <w:rsid w:val="00744857"/>
    <w:rsid w:val="00744B89"/>
    <w:rsid w:val="00745653"/>
    <w:rsid w:val="00745A1B"/>
    <w:rsid w:val="0074641A"/>
    <w:rsid w:val="00746500"/>
    <w:rsid w:val="00746759"/>
    <w:rsid w:val="00746773"/>
    <w:rsid w:val="007469CA"/>
    <w:rsid w:val="00746D19"/>
    <w:rsid w:val="00746F09"/>
    <w:rsid w:val="0074751D"/>
    <w:rsid w:val="00747AD0"/>
    <w:rsid w:val="00750A19"/>
    <w:rsid w:val="00750A90"/>
    <w:rsid w:val="00751166"/>
    <w:rsid w:val="007511D6"/>
    <w:rsid w:val="00751546"/>
    <w:rsid w:val="00751C53"/>
    <w:rsid w:val="00751DEE"/>
    <w:rsid w:val="00752004"/>
    <w:rsid w:val="007523D4"/>
    <w:rsid w:val="00752530"/>
    <w:rsid w:val="00752A06"/>
    <w:rsid w:val="00752AD2"/>
    <w:rsid w:val="00752B67"/>
    <w:rsid w:val="00752BB5"/>
    <w:rsid w:val="00753231"/>
    <w:rsid w:val="00753242"/>
    <w:rsid w:val="00753261"/>
    <w:rsid w:val="00753A00"/>
    <w:rsid w:val="00753B4C"/>
    <w:rsid w:val="007541DA"/>
    <w:rsid w:val="0075500E"/>
    <w:rsid w:val="007551E3"/>
    <w:rsid w:val="0075529C"/>
    <w:rsid w:val="007553BD"/>
    <w:rsid w:val="007554D0"/>
    <w:rsid w:val="0075571E"/>
    <w:rsid w:val="00755E6C"/>
    <w:rsid w:val="00756124"/>
    <w:rsid w:val="007561EA"/>
    <w:rsid w:val="0075670C"/>
    <w:rsid w:val="00756846"/>
    <w:rsid w:val="00756960"/>
    <w:rsid w:val="0075703F"/>
    <w:rsid w:val="007575A5"/>
    <w:rsid w:val="007575DE"/>
    <w:rsid w:val="007577F3"/>
    <w:rsid w:val="00757B3F"/>
    <w:rsid w:val="00757FD4"/>
    <w:rsid w:val="00760699"/>
    <w:rsid w:val="00760864"/>
    <w:rsid w:val="00760880"/>
    <w:rsid w:val="00760A0D"/>
    <w:rsid w:val="00760C4A"/>
    <w:rsid w:val="00760F79"/>
    <w:rsid w:val="00760FF5"/>
    <w:rsid w:val="00761193"/>
    <w:rsid w:val="007611AA"/>
    <w:rsid w:val="00761604"/>
    <w:rsid w:val="0076182E"/>
    <w:rsid w:val="007619F4"/>
    <w:rsid w:val="00761FB5"/>
    <w:rsid w:val="00762629"/>
    <w:rsid w:val="007627E3"/>
    <w:rsid w:val="0076285A"/>
    <w:rsid w:val="00762B67"/>
    <w:rsid w:val="00762C23"/>
    <w:rsid w:val="00763661"/>
    <w:rsid w:val="00763851"/>
    <w:rsid w:val="00763BD5"/>
    <w:rsid w:val="00763D6F"/>
    <w:rsid w:val="00763EDF"/>
    <w:rsid w:val="00764131"/>
    <w:rsid w:val="00764149"/>
    <w:rsid w:val="00764293"/>
    <w:rsid w:val="007642D9"/>
    <w:rsid w:val="007645DC"/>
    <w:rsid w:val="0076478F"/>
    <w:rsid w:val="00764BFF"/>
    <w:rsid w:val="00764F56"/>
    <w:rsid w:val="00765404"/>
    <w:rsid w:val="00765606"/>
    <w:rsid w:val="00765C11"/>
    <w:rsid w:val="007666BC"/>
    <w:rsid w:val="00766EB3"/>
    <w:rsid w:val="00766FB6"/>
    <w:rsid w:val="00767508"/>
    <w:rsid w:val="00767B60"/>
    <w:rsid w:val="00767EF9"/>
    <w:rsid w:val="00770024"/>
    <w:rsid w:val="00770430"/>
    <w:rsid w:val="007708D1"/>
    <w:rsid w:val="00770DDF"/>
    <w:rsid w:val="007717B7"/>
    <w:rsid w:val="007718FF"/>
    <w:rsid w:val="007722D9"/>
    <w:rsid w:val="00772485"/>
    <w:rsid w:val="0077401B"/>
    <w:rsid w:val="007743F7"/>
    <w:rsid w:val="00774413"/>
    <w:rsid w:val="00774989"/>
    <w:rsid w:val="00774D46"/>
    <w:rsid w:val="00774DA2"/>
    <w:rsid w:val="00774DB2"/>
    <w:rsid w:val="00775BE2"/>
    <w:rsid w:val="00775E8A"/>
    <w:rsid w:val="007760E6"/>
    <w:rsid w:val="007761FE"/>
    <w:rsid w:val="0077679B"/>
    <w:rsid w:val="00776C42"/>
    <w:rsid w:val="0077745E"/>
    <w:rsid w:val="007776E4"/>
    <w:rsid w:val="00777EF3"/>
    <w:rsid w:val="0078078D"/>
    <w:rsid w:val="007808B8"/>
    <w:rsid w:val="00780C16"/>
    <w:rsid w:val="00780CCF"/>
    <w:rsid w:val="00780E8C"/>
    <w:rsid w:val="00780F11"/>
    <w:rsid w:val="00780F1A"/>
    <w:rsid w:val="00782397"/>
    <w:rsid w:val="007829DC"/>
    <w:rsid w:val="00782CB4"/>
    <w:rsid w:val="00782CD3"/>
    <w:rsid w:val="00782DB0"/>
    <w:rsid w:val="00783527"/>
    <w:rsid w:val="00783906"/>
    <w:rsid w:val="00783B49"/>
    <w:rsid w:val="00783C6A"/>
    <w:rsid w:val="00784019"/>
    <w:rsid w:val="00784115"/>
    <w:rsid w:val="0078438A"/>
    <w:rsid w:val="0078538F"/>
    <w:rsid w:val="0078576F"/>
    <w:rsid w:val="00786215"/>
    <w:rsid w:val="007862EB"/>
    <w:rsid w:val="00786660"/>
    <w:rsid w:val="0078679B"/>
    <w:rsid w:val="00786D14"/>
    <w:rsid w:val="007871BA"/>
    <w:rsid w:val="007875AC"/>
    <w:rsid w:val="0078764C"/>
    <w:rsid w:val="00787812"/>
    <w:rsid w:val="00787B4C"/>
    <w:rsid w:val="00787C05"/>
    <w:rsid w:val="0079055A"/>
    <w:rsid w:val="0079093D"/>
    <w:rsid w:val="00790A9D"/>
    <w:rsid w:val="00790CBB"/>
    <w:rsid w:val="0079117C"/>
    <w:rsid w:val="00791756"/>
    <w:rsid w:val="007919FF"/>
    <w:rsid w:val="00791E53"/>
    <w:rsid w:val="00791E56"/>
    <w:rsid w:val="00791FBE"/>
    <w:rsid w:val="00792182"/>
    <w:rsid w:val="0079229F"/>
    <w:rsid w:val="007922FA"/>
    <w:rsid w:val="00792310"/>
    <w:rsid w:val="0079246B"/>
    <w:rsid w:val="00792B72"/>
    <w:rsid w:val="00792E42"/>
    <w:rsid w:val="007930ED"/>
    <w:rsid w:val="0079353A"/>
    <w:rsid w:val="007949CE"/>
    <w:rsid w:val="00794F74"/>
    <w:rsid w:val="00794FC8"/>
    <w:rsid w:val="00794FE3"/>
    <w:rsid w:val="00795966"/>
    <w:rsid w:val="00795ADA"/>
    <w:rsid w:val="00795F61"/>
    <w:rsid w:val="00796215"/>
    <w:rsid w:val="00796735"/>
    <w:rsid w:val="00796EBD"/>
    <w:rsid w:val="00796FE8"/>
    <w:rsid w:val="00797050"/>
    <w:rsid w:val="00797729"/>
    <w:rsid w:val="007978FB"/>
    <w:rsid w:val="007979BF"/>
    <w:rsid w:val="00797C21"/>
    <w:rsid w:val="00797DF4"/>
    <w:rsid w:val="00797F9E"/>
    <w:rsid w:val="007A021F"/>
    <w:rsid w:val="007A0401"/>
    <w:rsid w:val="007A160C"/>
    <w:rsid w:val="007A172A"/>
    <w:rsid w:val="007A1BEB"/>
    <w:rsid w:val="007A1CD2"/>
    <w:rsid w:val="007A1FC5"/>
    <w:rsid w:val="007A24EA"/>
    <w:rsid w:val="007A29F6"/>
    <w:rsid w:val="007A2A64"/>
    <w:rsid w:val="007A37A3"/>
    <w:rsid w:val="007A3927"/>
    <w:rsid w:val="007A3E72"/>
    <w:rsid w:val="007A4478"/>
    <w:rsid w:val="007A4918"/>
    <w:rsid w:val="007A4F89"/>
    <w:rsid w:val="007A51CD"/>
    <w:rsid w:val="007A5299"/>
    <w:rsid w:val="007A58FF"/>
    <w:rsid w:val="007A5C31"/>
    <w:rsid w:val="007A5CE6"/>
    <w:rsid w:val="007A5FC1"/>
    <w:rsid w:val="007A6352"/>
    <w:rsid w:val="007A665D"/>
    <w:rsid w:val="007A6FDB"/>
    <w:rsid w:val="007A748E"/>
    <w:rsid w:val="007A75C1"/>
    <w:rsid w:val="007A76FD"/>
    <w:rsid w:val="007A7A90"/>
    <w:rsid w:val="007A7B56"/>
    <w:rsid w:val="007A7D13"/>
    <w:rsid w:val="007A7D46"/>
    <w:rsid w:val="007A7EAF"/>
    <w:rsid w:val="007B0402"/>
    <w:rsid w:val="007B0600"/>
    <w:rsid w:val="007B0AF6"/>
    <w:rsid w:val="007B0CC0"/>
    <w:rsid w:val="007B0E12"/>
    <w:rsid w:val="007B0EDC"/>
    <w:rsid w:val="007B164B"/>
    <w:rsid w:val="007B1CBB"/>
    <w:rsid w:val="007B1D66"/>
    <w:rsid w:val="007B216D"/>
    <w:rsid w:val="007B25A4"/>
    <w:rsid w:val="007B26AA"/>
    <w:rsid w:val="007B2790"/>
    <w:rsid w:val="007B29BB"/>
    <w:rsid w:val="007B3102"/>
    <w:rsid w:val="007B36A1"/>
    <w:rsid w:val="007B36FA"/>
    <w:rsid w:val="007B3A4A"/>
    <w:rsid w:val="007B3D9B"/>
    <w:rsid w:val="007B3F6B"/>
    <w:rsid w:val="007B4517"/>
    <w:rsid w:val="007B4614"/>
    <w:rsid w:val="007B4B08"/>
    <w:rsid w:val="007B51AA"/>
    <w:rsid w:val="007B5370"/>
    <w:rsid w:val="007B577F"/>
    <w:rsid w:val="007B5B00"/>
    <w:rsid w:val="007B5B77"/>
    <w:rsid w:val="007B5CE0"/>
    <w:rsid w:val="007B5E31"/>
    <w:rsid w:val="007B5EF5"/>
    <w:rsid w:val="007B5F4C"/>
    <w:rsid w:val="007B6152"/>
    <w:rsid w:val="007B6372"/>
    <w:rsid w:val="007B6BD9"/>
    <w:rsid w:val="007B6E5A"/>
    <w:rsid w:val="007B7438"/>
    <w:rsid w:val="007B7461"/>
    <w:rsid w:val="007B7689"/>
    <w:rsid w:val="007C067B"/>
    <w:rsid w:val="007C08EF"/>
    <w:rsid w:val="007C1114"/>
    <w:rsid w:val="007C11A2"/>
    <w:rsid w:val="007C17B4"/>
    <w:rsid w:val="007C17C6"/>
    <w:rsid w:val="007C2298"/>
    <w:rsid w:val="007C2307"/>
    <w:rsid w:val="007C2ECA"/>
    <w:rsid w:val="007C3200"/>
    <w:rsid w:val="007C33A2"/>
    <w:rsid w:val="007C3986"/>
    <w:rsid w:val="007C39CA"/>
    <w:rsid w:val="007C3A55"/>
    <w:rsid w:val="007C3EB5"/>
    <w:rsid w:val="007C47F4"/>
    <w:rsid w:val="007C49D4"/>
    <w:rsid w:val="007C4D37"/>
    <w:rsid w:val="007C4D5D"/>
    <w:rsid w:val="007C5316"/>
    <w:rsid w:val="007C535C"/>
    <w:rsid w:val="007C5405"/>
    <w:rsid w:val="007C581A"/>
    <w:rsid w:val="007C59F6"/>
    <w:rsid w:val="007C6267"/>
    <w:rsid w:val="007C62DF"/>
    <w:rsid w:val="007C6486"/>
    <w:rsid w:val="007C6E98"/>
    <w:rsid w:val="007C75C4"/>
    <w:rsid w:val="007C7D11"/>
    <w:rsid w:val="007C7F47"/>
    <w:rsid w:val="007D05F8"/>
    <w:rsid w:val="007D07AD"/>
    <w:rsid w:val="007D0D71"/>
    <w:rsid w:val="007D125B"/>
    <w:rsid w:val="007D17B0"/>
    <w:rsid w:val="007D1A55"/>
    <w:rsid w:val="007D1BBB"/>
    <w:rsid w:val="007D1F74"/>
    <w:rsid w:val="007D214F"/>
    <w:rsid w:val="007D2957"/>
    <w:rsid w:val="007D2A8D"/>
    <w:rsid w:val="007D309C"/>
    <w:rsid w:val="007D33C1"/>
    <w:rsid w:val="007D35C5"/>
    <w:rsid w:val="007D3604"/>
    <w:rsid w:val="007D3911"/>
    <w:rsid w:val="007D3D12"/>
    <w:rsid w:val="007D3D9E"/>
    <w:rsid w:val="007D3E30"/>
    <w:rsid w:val="007D3FD5"/>
    <w:rsid w:val="007D4214"/>
    <w:rsid w:val="007D43BA"/>
    <w:rsid w:val="007D5696"/>
    <w:rsid w:val="007D5E3E"/>
    <w:rsid w:val="007D621D"/>
    <w:rsid w:val="007D64C2"/>
    <w:rsid w:val="007D651E"/>
    <w:rsid w:val="007D6580"/>
    <w:rsid w:val="007D67A5"/>
    <w:rsid w:val="007D6814"/>
    <w:rsid w:val="007D6EF6"/>
    <w:rsid w:val="007D709F"/>
    <w:rsid w:val="007D73E8"/>
    <w:rsid w:val="007D75C9"/>
    <w:rsid w:val="007D75D4"/>
    <w:rsid w:val="007D78FD"/>
    <w:rsid w:val="007D7D39"/>
    <w:rsid w:val="007D7E54"/>
    <w:rsid w:val="007D7F02"/>
    <w:rsid w:val="007D7F8F"/>
    <w:rsid w:val="007E02FB"/>
    <w:rsid w:val="007E06E3"/>
    <w:rsid w:val="007E08C3"/>
    <w:rsid w:val="007E0B0F"/>
    <w:rsid w:val="007E18D2"/>
    <w:rsid w:val="007E194F"/>
    <w:rsid w:val="007E24F0"/>
    <w:rsid w:val="007E257D"/>
    <w:rsid w:val="007E2D6A"/>
    <w:rsid w:val="007E2D94"/>
    <w:rsid w:val="007E356A"/>
    <w:rsid w:val="007E366D"/>
    <w:rsid w:val="007E372B"/>
    <w:rsid w:val="007E379E"/>
    <w:rsid w:val="007E38B5"/>
    <w:rsid w:val="007E405D"/>
    <w:rsid w:val="007E4123"/>
    <w:rsid w:val="007E43C0"/>
    <w:rsid w:val="007E4753"/>
    <w:rsid w:val="007E5BB7"/>
    <w:rsid w:val="007E5DA4"/>
    <w:rsid w:val="007E5E9C"/>
    <w:rsid w:val="007E6168"/>
    <w:rsid w:val="007E661D"/>
    <w:rsid w:val="007E6788"/>
    <w:rsid w:val="007E6E48"/>
    <w:rsid w:val="007E6F4C"/>
    <w:rsid w:val="007E6F8D"/>
    <w:rsid w:val="007E7362"/>
    <w:rsid w:val="007E7849"/>
    <w:rsid w:val="007E79E5"/>
    <w:rsid w:val="007E7BAB"/>
    <w:rsid w:val="007E7CAD"/>
    <w:rsid w:val="007F008B"/>
    <w:rsid w:val="007F00BC"/>
    <w:rsid w:val="007F023D"/>
    <w:rsid w:val="007F03AC"/>
    <w:rsid w:val="007F067B"/>
    <w:rsid w:val="007F07D1"/>
    <w:rsid w:val="007F0CD3"/>
    <w:rsid w:val="007F1063"/>
    <w:rsid w:val="007F1A0A"/>
    <w:rsid w:val="007F212E"/>
    <w:rsid w:val="007F26AE"/>
    <w:rsid w:val="007F299E"/>
    <w:rsid w:val="007F2D47"/>
    <w:rsid w:val="007F2E5F"/>
    <w:rsid w:val="007F3D5B"/>
    <w:rsid w:val="007F4086"/>
    <w:rsid w:val="007F4529"/>
    <w:rsid w:val="007F4A0F"/>
    <w:rsid w:val="007F4AC6"/>
    <w:rsid w:val="007F4CE7"/>
    <w:rsid w:val="007F514C"/>
    <w:rsid w:val="007F5833"/>
    <w:rsid w:val="007F5DD2"/>
    <w:rsid w:val="007F6013"/>
    <w:rsid w:val="007F62C0"/>
    <w:rsid w:val="007F66B7"/>
    <w:rsid w:val="007F678F"/>
    <w:rsid w:val="007F7279"/>
    <w:rsid w:val="007F7B74"/>
    <w:rsid w:val="007F7E8D"/>
    <w:rsid w:val="007F7ED4"/>
    <w:rsid w:val="0080012A"/>
    <w:rsid w:val="008005B6"/>
    <w:rsid w:val="008005FA"/>
    <w:rsid w:val="00800853"/>
    <w:rsid w:val="00800D5C"/>
    <w:rsid w:val="00800E34"/>
    <w:rsid w:val="008010A6"/>
    <w:rsid w:val="008011BA"/>
    <w:rsid w:val="00801320"/>
    <w:rsid w:val="008015CA"/>
    <w:rsid w:val="00801679"/>
    <w:rsid w:val="00801A30"/>
    <w:rsid w:val="00801B2E"/>
    <w:rsid w:val="0080230B"/>
    <w:rsid w:val="008026CA"/>
    <w:rsid w:val="00802745"/>
    <w:rsid w:val="00802870"/>
    <w:rsid w:val="008029DD"/>
    <w:rsid w:val="00802DC3"/>
    <w:rsid w:val="00803182"/>
    <w:rsid w:val="00803452"/>
    <w:rsid w:val="00803503"/>
    <w:rsid w:val="00803AE6"/>
    <w:rsid w:val="00803F62"/>
    <w:rsid w:val="008048EE"/>
    <w:rsid w:val="0080496F"/>
    <w:rsid w:val="008054AD"/>
    <w:rsid w:val="0080570C"/>
    <w:rsid w:val="00805711"/>
    <w:rsid w:val="0080588A"/>
    <w:rsid w:val="008058D1"/>
    <w:rsid w:val="00805CB3"/>
    <w:rsid w:val="00805E28"/>
    <w:rsid w:val="00805E89"/>
    <w:rsid w:val="0080616F"/>
    <w:rsid w:val="0080629E"/>
    <w:rsid w:val="0080676B"/>
    <w:rsid w:val="00806924"/>
    <w:rsid w:val="0080693D"/>
    <w:rsid w:val="00807109"/>
    <w:rsid w:val="008071FE"/>
    <w:rsid w:val="0080723F"/>
    <w:rsid w:val="008075B2"/>
    <w:rsid w:val="00807771"/>
    <w:rsid w:val="008079E5"/>
    <w:rsid w:val="00807D2C"/>
    <w:rsid w:val="00807E95"/>
    <w:rsid w:val="00810153"/>
    <w:rsid w:val="00810187"/>
    <w:rsid w:val="00810376"/>
    <w:rsid w:val="00810877"/>
    <w:rsid w:val="00810A7A"/>
    <w:rsid w:val="00810CF0"/>
    <w:rsid w:val="00810F54"/>
    <w:rsid w:val="00811464"/>
    <w:rsid w:val="00812DFD"/>
    <w:rsid w:val="008133CD"/>
    <w:rsid w:val="008136B3"/>
    <w:rsid w:val="00813ABB"/>
    <w:rsid w:val="00813EFF"/>
    <w:rsid w:val="008144E1"/>
    <w:rsid w:val="0081492B"/>
    <w:rsid w:val="00814C89"/>
    <w:rsid w:val="00814E49"/>
    <w:rsid w:val="00815060"/>
    <w:rsid w:val="0081537F"/>
    <w:rsid w:val="00815396"/>
    <w:rsid w:val="008156E8"/>
    <w:rsid w:val="00815756"/>
    <w:rsid w:val="0081607F"/>
    <w:rsid w:val="00816D32"/>
    <w:rsid w:val="0081724A"/>
    <w:rsid w:val="00817412"/>
    <w:rsid w:val="0081768F"/>
    <w:rsid w:val="00817B67"/>
    <w:rsid w:val="00820001"/>
    <w:rsid w:val="00820330"/>
    <w:rsid w:val="00820345"/>
    <w:rsid w:val="008205F7"/>
    <w:rsid w:val="00820C33"/>
    <w:rsid w:val="00820EAD"/>
    <w:rsid w:val="00821099"/>
    <w:rsid w:val="008214B0"/>
    <w:rsid w:val="00821997"/>
    <w:rsid w:val="00821B68"/>
    <w:rsid w:val="00821D49"/>
    <w:rsid w:val="00821FF1"/>
    <w:rsid w:val="0082207D"/>
    <w:rsid w:val="00822824"/>
    <w:rsid w:val="00822A82"/>
    <w:rsid w:val="00822D05"/>
    <w:rsid w:val="00822DC5"/>
    <w:rsid w:val="00823254"/>
    <w:rsid w:val="00823424"/>
    <w:rsid w:val="00823B34"/>
    <w:rsid w:val="00823B41"/>
    <w:rsid w:val="00823CF7"/>
    <w:rsid w:val="00823DF7"/>
    <w:rsid w:val="00823FD8"/>
    <w:rsid w:val="00824222"/>
    <w:rsid w:val="00824C19"/>
    <w:rsid w:val="00824C2B"/>
    <w:rsid w:val="00824F9D"/>
    <w:rsid w:val="0082504E"/>
    <w:rsid w:val="00825598"/>
    <w:rsid w:val="00825C64"/>
    <w:rsid w:val="00825E1F"/>
    <w:rsid w:val="00825E2D"/>
    <w:rsid w:val="00825EBB"/>
    <w:rsid w:val="008262B2"/>
    <w:rsid w:val="008262F5"/>
    <w:rsid w:val="00826354"/>
    <w:rsid w:val="00826973"/>
    <w:rsid w:val="0082699F"/>
    <w:rsid w:val="008269DB"/>
    <w:rsid w:val="00826A60"/>
    <w:rsid w:val="00827044"/>
    <w:rsid w:val="008273D1"/>
    <w:rsid w:val="00827583"/>
    <w:rsid w:val="00827A7F"/>
    <w:rsid w:val="00827B30"/>
    <w:rsid w:val="00827FCB"/>
    <w:rsid w:val="00830070"/>
    <w:rsid w:val="0083018B"/>
    <w:rsid w:val="00830437"/>
    <w:rsid w:val="0083063F"/>
    <w:rsid w:val="00830A23"/>
    <w:rsid w:val="00830B36"/>
    <w:rsid w:val="00830CED"/>
    <w:rsid w:val="00830FB4"/>
    <w:rsid w:val="0083124A"/>
    <w:rsid w:val="008319EC"/>
    <w:rsid w:val="00831D11"/>
    <w:rsid w:val="008321B0"/>
    <w:rsid w:val="00832BE0"/>
    <w:rsid w:val="00832F82"/>
    <w:rsid w:val="0083343F"/>
    <w:rsid w:val="008335AA"/>
    <w:rsid w:val="00833690"/>
    <w:rsid w:val="00833763"/>
    <w:rsid w:val="00833E92"/>
    <w:rsid w:val="00834457"/>
    <w:rsid w:val="00834A2C"/>
    <w:rsid w:val="00835442"/>
    <w:rsid w:val="00835774"/>
    <w:rsid w:val="0083580B"/>
    <w:rsid w:val="00835971"/>
    <w:rsid w:val="00835C5C"/>
    <w:rsid w:val="008363E8"/>
    <w:rsid w:val="00836B94"/>
    <w:rsid w:val="008373FD"/>
    <w:rsid w:val="008375AE"/>
    <w:rsid w:val="008401E2"/>
    <w:rsid w:val="00840279"/>
    <w:rsid w:val="00840B77"/>
    <w:rsid w:val="00840EBB"/>
    <w:rsid w:val="00841060"/>
    <w:rsid w:val="00841247"/>
    <w:rsid w:val="008414CF"/>
    <w:rsid w:val="0084184F"/>
    <w:rsid w:val="00841BF8"/>
    <w:rsid w:val="00841C4B"/>
    <w:rsid w:val="00841CDA"/>
    <w:rsid w:val="00842B3C"/>
    <w:rsid w:val="00842D65"/>
    <w:rsid w:val="00842EAA"/>
    <w:rsid w:val="008435B3"/>
    <w:rsid w:val="00843695"/>
    <w:rsid w:val="00843718"/>
    <w:rsid w:val="00843760"/>
    <w:rsid w:val="008437DA"/>
    <w:rsid w:val="00843835"/>
    <w:rsid w:val="00843C7D"/>
    <w:rsid w:val="00843FAF"/>
    <w:rsid w:val="00844180"/>
    <w:rsid w:val="0084421C"/>
    <w:rsid w:val="008447F1"/>
    <w:rsid w:val="00844B87"/>
    <w:rsid w:val="00844DAD"/>
    <w:rsid w:val="00844EED"/>
    <w:rsid w:val="00844FDF"/>
    <w:rsid w:val="00845699"/>
    <w:rsid w:val="00845721"/>
    <w:rsid w:val="00845B9B"/>
    <w:rsid w:val="008462F8"/>
    <w:rsid w:val="0084642F"/>
    <w:rsid w:val="00847025"/>
    <w:rsid w:val="008471DC"/>
    <w:rsid w:val="00847213"/>
    <w:rsid w:val="00847558"/>
    <w:rsid w:val="0085018D"/>
    <w:rsid w:val="00850716"/>
    <w:rsid w:val="0085076F"/>
    <w:rsid w:val="00850E42"/>
    <w:rsid w:val="00850E4C"/>
    <w:rsid w:val="00850EB3"/>
    <w:rsid w:val="00851006"/>
    <w:rsid w:val="008511C6"/>
    <w:rsid w:val="0085126C"/>
    <w:rsid w:val="00851282"/>
    <w:rsid w:val="008512F7"/>
    <w:rsid w:val="008514F0"/>
    <w:rsid w:val="008517FC"/>
    <w:rsid w:val="00851834"/>
    <w:rsid w:val="00851F1C"/>
    <w:rsid w:val="00852669"/>
    <w:rsid w:val="008527BE"/>
    <w:rsid w:val="00852808"/>
    <w:rsid w:val="00852849"/>
    <w:rsid w:val="00852B1F"/>
    <w:rsid w:val="00852CE3"/>
    <w:rsid w:val="00853097"/>
    <w:rsid w:val="0085324F"/>
    <w:rsid w:val="00853348"/>
    <w:rsid w:val="00853BBB"/>
    <w:rsid w:val="00853D66"/>
    <w:rsid w:val="00854088"/>
    <w:rsid w:val="008545D0"/>
    <w:rsid w:val="00854A06"/>
    <w:rsid w:val="00854BDA"/>
    <w:rsid w:val="00854E58"/>
    <w:rsid w:val="008553BD"/>
    <w:rsid w:val="0085577B"/>
    <w:rsid w:val="00855947"/>
    <w:rsid w:val="00855BE1"/>
    <w:rsid w:val="00855CB8"/>
    <w:rsid w:val="008564AC"/>
    <w:rsid w:val="008567B3"/>
    <w:rsid w:val="00856C42"/>
    <w:rsid w:val="00856F94"/>
    <w:rsid w:val="0085775F"/>
    <w:rsid w:val="008577AC"/>
    <w:rsid w:val="008578D2"/>
    <w:rsid w:val="00857BFE"/>
    <w:rsid w:val="00857DB6"/>
    <w:rsid w:val="0086073E"/>
    <w:rsid w:val="00860842"/>
    <w:rsid w:val="0086091A"/>
    <w:rsid w:val="00860E0A"/>
    <w:rsid w:val="00861411"/>
    <w:rsid w:val="00861822"/>
    <w:rsid w:val="00861CCC"/>
    <w:rsid w:val="00861F39"/>
    <w:rsid w:val="00862983"/>
    <w:rsid w:val="00862B78"/>
    <w:rsid w:val="00863759"/>
    <w:rsid w:val="00863D81"/>
    <w:rsid w:val="00863F57"/>
    <w:rsid w:val="00863FD2"/>
    <w:rsid w:val="008641EB"/>
    <w:rsid w:val="00864241"/>
    <w:rsid w:val="00864269"/>
    <w:rsid w:val="008642D3"/>
    <w:rsid w:val="00864629"/>
    <w:rsid w:val="008648A5"/>
    <w:rsid w:val="00864945"/>
    <w:rsid w:val="00864E9F"/>
    <w:rsid w:val="00864F8A"/>
    <w:rsid w:val="00865A9B"/>
    <w:rsid w:val="00865F9D"/>
    <w:rsid w:val="008663BD"/>
    <w:rsid w:val="00866423"/>
    <w:rsid w:val="00866457"/>
    <w:rsid w:val="0086650C"/>
    <w:rsid w:val="00866724"/>
    <w:rsid w:val="0086674A"/>
    <w:rsid w:val="0086686C"/>
    <w:rsid w:val="0086699D"/>
    <w:rsid w:val="00866A9F"/>
    <w:rsid w:val="00866F8B"/>
    <w:rsid w:val="00867663"/>
    <w:rsid w:val="00870035"/>
    <w:rsid w:val="0087027F"/>
    <w:rsid w:val="0087088E"/>
    <w:rsid w:val="0087092F"/>
    <w:rsid w:val="00870A48"/>
    <w:rsid w:val="00870F05"/>
    <w:rsid w:val="0087102D"/>
    <w:rsid w:val="0087157A"/>
    <w:rsid w:val="00871615"/>
    <w:rsid w:val="008716CB"/>
    <w:rsid w:val="008721FC"/>
    <w:rsid w:val="0087233B"/>
    <w:rsid w:val="00872A9E"/>
    <w:rsid w:val="008739B3"/>
    <w:rsid w:val="00873DFC"/>
    <w:rsid w:val="0087411A"/>
    <w:rsid w:val="00874180"/>
    <w:rsid w:val="00874D7B"/>
    <w:rsid w:val="00875353"/>
    <w:rsid w:val="008753D9"/>
    <w:rsid w:val="008755CE"/>
    <w:rsid w:val="008755EE"/>
    <w:rsid w:val="008761AE"/>
    <w:rsid w:val="0087641A"/>
    <w:rsid w:val="00876857"/>
    <w:rsid w:val="00877864"/>
    <w:rsid w:val="0087789A"/>
    <w:rsid w:val="00877D03"/>
    <w:rsid w:val="00880680"/>
    <w:rsid w:val="00880894"/>
    <w:rsid w:val="00880B8C"/>
    <w:rsid w:val="00880BDD"/>
    <w:rsid w:val="00880CEB"/>
    <w:rsid w:val="00880D13"/>
    <w:rsid w:val="008813C2"/>
    <w:rsid w:val="00881B1F"/>
    <w:rsid w:val="00881B4A"/>
    <w:rsid w:val="00881D27"/>
    <w:rsid w:val="00881F80"/>
    <w:rsid w:val="00882555"/>
    <w:rsid w:val="008825B6"/>
    <w:rsid w:val="008825D3"/>
    <w:rsid w:val="0088270C"/>
    <w:rsid w:val="00882727"/>
    <w:rsid w:val="00883216"/>
    <w:rsid w:val="008836B7"/>
    <w:rsid w:val="00883DC2"/>
    <w:rsid w:val="00884F05"/>
    <w:rsid w:val="00885200"/>
    <w:rsid w:val="00885245"/>
    <w:rsid w:val="00885312"/>
    <w:rsid w:val="008856AB"/>
    <w:rsid w:val="008856E0"/>
    <w:rsid w:val="008857F1"/>
    <w:rsid w:val="00885EA3"/>
    <w:rsid w:val="0088642F"/>
    <w:rsid w:val="008864AB"/>
    <w:rsid w:val="00886DA6"/>
    <w:rsid w:val="00887582"/>
    <w:rsid w:val="00887F55"/>
    <w:rsid w:val="00890179"/>
    <w:rsid w:val="008905E0"/>
    <w:rsid w:val="0089083A"/>
    <w:rsid w:val="00890F7C"/>
    <w:rsid w:val="00891112"/>
    <w:rsid w:val="008912AF"/>
    <w:rsid w:val="008914DA"/>
    <w:rsid w:val="00891510"/>
    <w:rsid w:val="008917A4"/>
    <w:rsid w:val="00891DBC"/>
    <w:rsid w:val="00891E01"/>
    <w:rsid w:val="0089207E"/>
    <w:rsid w:val="008924D0"/>
    <w:rsid w:val="00892A5D"/>
    <w:rsid w:val="00892AB6"/>
    <w:rsid w:val="00893055"/>
    <w:rsid w:val="00893673"/>
    <w:rsid w:val="00893ED8"/>
    <w:rsid w:val="008943C2"/>
    <w:rsid w:val="00894873"/>
    <w:rsid w:val="0089490C"/>
    <w:rsid w:val="00894DAE"/>
    <w:rsid w:val="00894EC7"/>
    <w:rsid w:val="00895133"/>
    <w:rsid w:val="008954C0"/>
    <w:rsid w:val="00895A50"/>
    <w:rsid w:val="00895E8C"/>
    <w:rsid w:val="00896511"/>
    <w:rsid w:val="00896A31"/>
    <w:rsid w:val="00896E03"/>
    <w:rsid w:val="00896E64"/>
    <w:rsid w:val="00897108"/>
    <w:rsid w:val="0089783B"/>
    <w:rsid w:val="00897E50"/>
    <w:rsid w:val="008A02DC"/>
    <w:rsid w:val="008A0EDF"/>
    <w:rsid w:val="008A18F4"/>
    <w:rsid w:val="008A19A2"/>
    <w:rsid w:val="008A2003"/>
    <w:rsid w:val="008A2516"/>
    <w:rsid w:val="008A2609"/>
    <w:rsid w:val="008A2E8C"/>
    <w:rsid w:val="008A2F15"/>
    <w:rsid w:val="008A311E"/>
    <w:rsid w:val="008A34B1"/>
    <w:rsid w:val="008A34C8"/>
    <w:rsid w:val="008A3755"/>
    <w:rsid w:val="008A384F"/>
    <w:rsid w:val="008A386D"/>
    <w:rsid w:val="008A3D9C"/>
    <w:rsid w:val="008A3DFC"/>
    <w:rsid w:val="008A3E75"/>
    <w:rsid w:val="008A441E"/>
    <w:rsid w:val="008A453A"/>
    <w:rsid w:val="008A45B4"/>
    <w:rsid w:val="008A4818"/>
    <w:rsid w:val="008A496C"/>
    <w:rsid w:val="008A4BDB"/>
    <w:rsid w:val="008A4EF6"/>
    <w:rsid w:val="008A509C"/>
    <w:rsid w:val="008A5214"/>
    <w:rsid w:val="008A54E2"/>
    <w:rsid w:val="008A5975"/>
    <w:rsid w:val="008A60DA"/>
    <w:rsid w:val="008A611B"/>
    <w:rsid w:val="008A6E7A"/>
    <w:rsid w:val="008A720F"/>
    <w:rsid w:val="008A7296"/>
    <w:rsid w:val="008A757B"/>
    <w:rsid w:val="008A7E00"/>
    <w:rsid w:val="008A7EAE"/>
    <w:rsid w:val="008A7F86"/>
    <w:rsid w:val="008B0057"/>
    <w:rsid w:val="008B0611"/>
    <w:rsid w:val="008B06FA"/>
    <w:rsid w:val="008B0D4E"/>
    <w:rsid w:val="008B0E79"/>
    <w:rsid w:val="008B0FAE"/>
    <w:rsid w:val="008B110C"/>
    <w:rsid w:val="008B197C"/>
    <w:rsid w:val="008B1CF1"/>
    <w:rsid w:val="008B284A"/>
    <w:rsid w:val="008B2A8B"/>
    <w:rsid w:val="008B2B48"/>
    <w:rsid w:val="008B2D28"/>
    <w:rsid w:val="008B3019"/>
    <w:rsid w:val="008B309C"/>
    <w:rsid w:val="008B3316"/>
    <w:rsid w:val="008B3481"/>
    <w:rsid w:val="008B403D"/>
    <w:rsid w:val="008B4299"/>
    <w:rsid w:val="008B4C26"/>
    <w:rsid w:val="008B4C77"/>
    <w:rsid w:val="008B4CF0"/>
    <w:rsid w:val="008B4ED4"/>
    <w:rsid w:val="008B592B"/>
    <w:rsid w:val="008B5A10"/>
    <w:rsid w:val="008B5E08"/>
    <w:rsid w:val="008B5E69"/>
    <w:rsid w:val="008B62C9"/>
    <w:rsid w:val="008B6339"/>
    <w:rsid w:val="008B65FE"/>
    <w:rsid w:val="008B684E"/>
    <w:rsid w:val="008B6950"/>
    <w:rsid w:val="008B6E49"/>
    <w:rsid w:val="008B7402"/>
    <w:rsid w:val="008B756E"/>
    <w:rsid w:val="008B7D35"/>
    <w:rsid w:val="008B7FC3"/>
    <w:rsid w:val="008C03CA"/>
    <w:rsid w:val="008C0433"/>
    <w:rsid w:val="008C0AE0"/>
    <w:rsid w:val="008C1187"/>
    <w:rsid w:val="008C11BD"/>
    <w:rsid w:val="008C14EB"/>
    <w:rsid w:val="008C15FA"/>
    <w:rsid w:val="008C16B4"/>
    <w:rsid w:val="008C21E4"/>
    <w:rsid w:val="008C220C"/>
    <w:rsid w:val="008C244F"/>
    <w:rsid w:val="008C27D9"/>
    <w:rsid w:val="008C2A69"/>
    <w:rsid w:val="008C3169"/>
    <w:rsid w:val="008C3880"/>
    <w:rsid w:val="008C3BE8"/>
    <w:rsid w:val="008C42D5"/>
    <w:rsid w:val="008C49A3"/>
    <w:rsid w:val="008C4DCA"/>
    <w:rsid w:val="008C4F51"/>
    <w:rsid w:val="008C503B"/>
    <w:rsid w:val="008C53BE"/>
    <w:rsid w:val="008C5430"/>
    <w:rsid w:val="008C582B"/>
    <w:rsid w:val="008C5A29"/>
    <w:rsid w:val="008C5EA5"/>
    <w:rsid w:val="008C63D7"/>
    <w:rsid w:val="008C70F6"/>
    <w:rsid w:val="008C7392"/>
    <w:rsid w:val="008C7475"/>
    <w:rsid w:val="008C77EC"/>
    <w:rsid w:val="008C784C"/>
    <w:rsid w:val="008C7A61"/>
    <w:rsid w:val="008C7B8B"/>
    <w:rsid w:val="008C7E00"/>
    <w:rsid w:val="008C7EBB"/>
    <w:rsid w:val="008D0323"/>
    <w:rsid w:val="008D0AE7"/>
    <w:rsid w:val="008D125B"/>
    <w:rsid w:val="008D1272"/>
    <w:rsid w:val="008D12F8"/>
    <w:rsid w:val="008D1377"/>
    <w:rsid w:val="008D13BC"/>
    <w:rsid w:val="008D1E70"/>
    <w:rsid w:val="008D2D3C"/>
    <w:rsid w:val="008D2F0F"/>
    <w:rsid w:val="008D327A"/>
    <w:rsid w:val="008D371A"/>
    <w:rsid w:val="008D3938"/>
    <w:rsid w:val="008D40A1"/>
    <w:rsid w:val="008D47C2"/>
    <w:rsid w:val="008D4823"/>
    <w:rsid w:val="008D494C"/>
    <w:rsid w:val="008D4B13"/>
    <w:rsid w:val="008D4E84"/>
    <w:rsid w:val="008D52B4"/>
    <w:rsid w:val="008D55D4"/>
    <w:rsid w:val="008D56B2"/>
    <w:rsid w:val="008D56CB"/>
    <w:rsid w:val="008D5E14"/>
    <w:rsid w:val="008D6191"/>
    <w:rsid w:val="008D6354"/>
    <w:rsid w:val="008D6580"/>
    <w:rsid w:val="008D6994"/>
    <w:rsid w:val="008D6B62"/>
    <w:rsid w:val="008D6F36"/>
    <w:rsid w:val="008D6F7E"/>
    <w:rsid w:val="008D73F6"/>
    <w:rsid w:val="008D788A"/>
    <w:rsid w:val="008D7AAD"/>
    <w:rsid w:val="008D7C14"/>
    <w:rsid w:val="008E00E4"/>
    <w:rsid w:val="008E02C0"/>
    <w:rsid w:val="008E06CF"/>
    <w:rsid w:val="008E0D30"/>
    <w:rsid w:val="008E0F80"/>
    <w:rsid w:val="008E16A3"/>
    <w:rsid w:val="008E19D1"/>
    <w:rsid w:val="008E224F"/>
    <w:rsid w:val="008E225F"/>
    <w:rsid w:val="008E2306"/>
    <w:rsid w:val="008E2395"/>
    <w:rsid w:val="008E2542"/>
    <w:rsid w:val="008E26D8"/>
    <w:rsid w:val="008E2768"/>
    <w:rsid w:val="008E29A9"/>
    <w:rsid w:val="008E2DC6"/>
    <w:rsid w:val="008E3003"/>
    <w:rsid w:val="008E42C0"/>
    <w:rsid w:val="008E42CD"/>
    <w:rsid w:val="008E42F1"/>
    <w:rsid w:val="008E4534"/>
    <w:rsid w:val="008E4C61"/>
    <w:rsid w:val="008E4EFF"/>
    <w:rsid w:val="008E5214"/>
    <w:rsid w:val="008E55E8"/>
    <w:rsid w:val="008E575D"/>
    <w:rsid w:val="008E5F1A"/>
    <w:rsid w:val="008E6241"/>
    <w:rsid w:val="008E6391"/>
    <w:rsid w:val="008E6637"/>
    <w:rsid w:val="008E66F6"/>
    <w:rsid w:val="008E69F7"/>
    <w:rsid w:val="008E6F22"/>
    <w:rsid w:val="008E705B"/>
    <w:rsid w:val="008E7A6C"/>
    <w:rsid w:val="008E7E30"/>
    <w:rsid w:val="008F0247"/>
    <w:rsid w:val="008F0257"/>
    <w:rsid w:val="008F0397"/>
    <w:rsid w:val="008F048B"/>
    <w:rsid w:val="008F051F"/>
    <w:rsid w:val="008F05D5"/>
    <w:rsid w:val="008F07D7"/>
    <w:rsid w:val="008F1044"/>
    <w:rsid w:val="008F1160"/>
    <w:rsid w:val="008F11CC"/>
    <w:rsid w:val="008F11EA"/>
    <w:rsid w:val="008F19A9"/>
    <w:rsid w:val="008F1B99"/>
    <w:rsid w:val="008F2051"/>
    <w:rsid w:val="008F20D3"/>
    <w:rsid w:val="008F2544"/>
    <w:rsid w:val="008F2668"/>
    <w:rsid w:val="008F3208"/>
    <w:rsid w:val="008F321F"/>
    <w:rsid w:val="008F3239"/>
    <w:rsid w:val="008F356F"/>
    <w:rsid w:val="008F36B2"/>
    <w:rsid w:val="008F382F"/>
    <w:rsid w:val="008F397B"/>
    <w:rsid w:val="008F3C67"/>
    <w:rsid w:val="008F3EC0"/>
    <w:rsid w:val="008F40EC"/>
    <w:rsid w:val="008F44B9"/>
    <w:rsid w:val="008F45C8"/>
    <w:rsid w:val="008F4810"/>
    <w:rsid w:val="008F4BFD"/>
    <w:rsid w:val="008F5045"/>
    <w:rsid w:val="008F55D9"/>
    <w:rsid w:val="008F56F9"/>
    <w:rsid w:val="008F5B09"/>
    <w:rsid w:val="008F5BB3"/>
    <w:rsid w:val="008F6385"/>
    <w:rsid w:val="008F69E5"/>
    <w:rsid w:val="008F6C16"/>
    <w:rsid w:val="008F720F"/>
    <w:rsid w:val="008F72C3"/>
    <w:rsid w:val="008F7A8E"/>
    <w:rsid w:val="008F7C5B"/>
    <w:rsid w:val="008F7F60"/>
    <w:rsid w:val="00901034"/>
    <w:rsid w:val="009012A6"/>
    <w:rsid w:val="00901350"/>
    <w:rsid w:val="009013C9"/>
    <w:rsid w:val="0090175A"/>
    <w:rsid w:val="009017B7"/>
    <w:rsid w:val="0090215E"/>
    <w:rsid w:val="009032CF"/>
    <w:rsid w:val="0090332C"/>
    <w:rsid w:val="00903AA9"/>
    <w:rsid w:val="00904619"/>
    <w:rsid w:val="00904634"/>
    <w:rsid w:val="00904859"/>
    <w:rsid w:val="009048E6"/>
    <w:rsid w:val="0090554E"/>
    <w:rsid w:val="009057E6"/>
    <w:rsid w:val="00905A61"/>
    <w:rsid w:val="00905B23"/>
    <w:rsid w:val="009060BD"/>
    <w:rsid w:val="009062A7"/>
    <w:rsid w:val="009066AF"/>
    <w:rsid w:val="0090676D"/>
    <w:rsid w:val="009067DC"/>
    <w:rsid w:val="00906D3A"/>
    <w:rsid w:val="009071A3"/>
    <w:rsid w:val="009077DC"/>
    <w:rsid w:val="00907934"/>
    <w:rsid w:val="00907B1A"/>
    <w:rsid w:val="00910256"/>
    <w:rsid w:val="009105AD"/>
    <w:rsid w:val="00910629"/>
    <w:rsid w:val="009109BE"/>
    <w:rsid w:val="009109DC"/>
    <w:rsid w:val="00910EFD"/>
    <w:rsid w:val="00911058"/>
    <w:rsid w:val="00911577"/>
    <w:rsid w:val="00911AF8"/>
    <w:rsid w:val="00911B84"/>
    <w:rsid w:val="009124D7"/>
    <w:rsid w:val="009125C1"/>
    <w:rsid w:val="00912710"/>
    <w:rsid w:val="0091296C"/>
    <w:rsid w:val="0091340B"/>
    <w:rsid w:val="009136E3"/>
    <w:rsid w:val="00913812"/>
    <w:rsid w:val="0091392C"/>
    <w:rsid w:val="00913E0A"/>
    <w:rsid w:val="00914090"/>
    <w:rsid w:val="0091423D"/>
    <w:rsid w:val="00914D46"/>
    <w:rsid w:val="00914D83"/>
    <w:rsid w:val="00915049"/>
    <w:rsid w:val="0091594B"/>
    <w:rsid w:val="00915B9F"/>
    <w:rsid w:val="00915CE4"/>
    <w:rsid w:val="0091606E"/>
    <w:rsid w:val="009168E6"/>
    <w:rsid w:val="00916A91"/>
    <w:rsid w:val="00916BA4"/>
    <w:rsid w:val="00916CBF"/>
    <w:rsid w:val="00917001"/>
    <w:rsid w:val="00917140"/>
    <w:rsid w:val="009171D0"/>
    <w:rsid w:val="0091759B"/>
    <w:rsid w:val="00917E37"/>
    <w:rsid w:val="009201B9"/>
    <w:rsid w:val="0092029D"/>
    <w:rsid w:val="009206AA"/>
    <w:rsid w:val="009207B3"/>
    <w:rsid w:val="009207DF"/>
    <w:rsid w:val="00920896"/>
    <w:rsid w:val="00920C70"/>
    <w:rsid w:val="00920DB2"/>
    <w:rsid w:val="00920F4F"/>
    <w:rsid w:val="009215B9"/>
    <w:rsid w:val="009215D0"/>
    <w:rsid w:val="009219B0"/>
    <w:rsid w:val="00921AA9"/>
    <w:rsid w:val="00921C73"/>
    <w:rsid w:val="00921CD1"/>
    <w:rsid w:val="00921DC5"/>
    <w:rsid w:val="00921F79"/>
    <w:rsid w:val="00922270"/>
    <w:rsid w:val="00922645"/>
    <w:rsid w:val="00922873"/>
    <w:rsid w:val="009228E5"/>
    <w:rsid w:val="00923034"/>
    <w:rsid w:val="0092304F"/>
    <w:rsid w:val="00923061"/>
    <w:rsid w:val="00923233"/>
    <w:rsid w:val="00923340"/>
    <w:rsid w:val="00923605"/>
    <w:rsid w:val="009238A3"/>
    <w:rsid w:val="00923BD1"/>
    <w:rsid w:val="00923DDF"/>
    <w:rsid w:val="009245AC"/>
    <w:rsid w:val="00924613"/>
    <w:rsid w:val="00924F8F"/>
    <w:rsid w:val="0092556B"/>
    <w:rsid w:val="00925823"/>
    <w:rsid w:val="009259AB"/>
    <w:rsid w:val="009259C3"/>
    <w:rsid w:val="00926ACC"/>
    <w:rsid w:val="00926B50"/>
    <w:rsid w:val="00926C4D"/>
    <w:rsid w:val="00926F37"/>
    <w:rsid w:val="00927434"/>
    <w:rsid w:val="00927C9C"/>
    <w:rsid w:val="0093016F"/>
    <w:rsid w:val="00930216"/>
    <w:rsid w:val="009304D2"/>
    <w:rsid w:val="009307C0"/>
    <w:rsid w:val="00930C93"/>
    <w:rsid w:val="00931072"/>
    <w:rsid w:val="0093119A"/>
    <w:rsid w:val="00931207"/>
    <w:rsid w:val="009315A2"/>
    <w:rsid w:val="0093167A"/>
    <w:rsid w:val="00931B98"/>
    <w:rsid w:val="00931DFD"/>
    <w:rsid w:val="009321B4"/>
    <w:rsid w:val="00932933"/>
    <w:rsid w:val="00933B40"/>
    <w:rsid w:val="00933C09"/>
    <w:rsid w:val="009340C4"/>
    <w:rsid w:val="00934288"/>
    <w:rsid w:val="009349F8"/>
    <w:rsid w:val="00934BE7"/>
    <w:rsid w:val="00934DC6"/>
    <w:rsid w:val="00935726"/>
    <w:rsid w:val="0093584A"/>
    <w:rsid w:val="00935B45"/>
    <w:rsid w:val="00935BDD"/>
    <w:rsid w:val="00935BED"/>
    <w:rsid w:val="00935E31"/>
    <w:rsid w:val="009362BB"/>
    <w:rsid w:val="0093644A"/>
    <w:rsid w:val="0093672D"/>
    <w:rsid w:val="009368DB"/>
    <w:rsid w:val="009369CB"/>
    <w:rsid w:val="00936D9E"/>
    <w:rsid w:val="00936DC9"/>
    <w:rsid w:val="00937300"/>
    <w:rsid w:val="0093740B"/>
    <w:rsid w:val="00937AB7"/>
    <w:rsid w:val="00937FE3"/>
    <w:rsid w:val="00940062"/>
    <w:rsid w:val="0094046D"/>
    <w:rsid w:val="00940523"/>
    <w:rsid w:val="0094083A"/>
    <w:rsid w:val="009409CE"/>
    <w:rsid w:val="0094145E"/>
    <w:rsid w:val="0094161E"/>
    <w:rsid w:val="00941690"/>
    <w:rsid w:val="009418C4"/>
    <w:rsid w:val="00941C09"/>
    <w:rsid w:val="00941F2F"/>
    <w:rsid w:val="0094227B"/>
    <w:rsid w:val="009425FE"/>
    <w:rsid w:val="009432B5"/>
    <w:rsid w:val="009433DF"/>
    <w:rsid w:val="0094383F"/>
    <w:rsid w:val="00943ABC"/>
    <w:rsid w:val="00943BF8"/>
    <w:rsid w:val="0094405E"/>
    <w:rsid w:val="0094427E"/>
    <w:rsid w:val="00944360"/>
    <w:rsid w:val="00944ABE"/>
    <w:rsid w:val="00944BC5"/>
    <w:rsid w:val="00945241"/>
    <w:rsid w:val="009453DB"/>
    <w:rsid w:val="009453F4"/>
    <w:rsid w:val="00945502"/>
    <w:rsid w:val="009457C6"/>
    <w:rsid w:val="00945EA4"/>
    <w:rsid w:val="00945FBC"/>
    <w:rsid w:val="0094621B"/>
    <w:rsid w:val="00946661"/>
    <w:rsid w:val="00946C34"/>
    <w:rsid w:val="00946E2D"/>
    <w:rsid w:val="00946E6E"/>
    <w:rsid w:val="00946E88"/>
    <w:rsid w:val="00947290"/>
    <w:rsid w:val="0094735A"/>
    <w:rsid w:val="009474DC"/>
    <w:rsid w:val="0094762E"/>
    <w:rsid w:val="0094787D"/>
    <w:rsid w:val="00947D28"/>
    <w:rsid w:val="00947EE9"/>
    <w:rsid w:val="00947F48"/>
    <w:rsid w:val="00950012"/>
    <w:rsid w:val="00950021"/>
    <w:rsid w:val="00950043"/>
    <w:rsid w:val="009500FC"/>
    <w:rsid w:val="009502A4"/>
    <w:rsid w:val="0095069B"/>
    <w:rsid w:val="0095077A"/>
    <w:rsid w:val="00950AB8"/>
    <w:rsid w:val="00950D86"/>
    <w:rsid w:val="00951789"/>
    <w:rsid w:val="00951887"/>
    <w:rsid w:val="009518A2"/>
    <w:rsid w:val="00951BA2"/>
    <w:rsid w:val="00951C7C"/>
    <w:rsid w:val="009527D8"/>
    <w:rsid w:val="00952D88"/>
    <w:rsid w:val="00952E27"/>
    <w:rsid w:val="009531BF"/>
    <w:rsid w:val="009532EE"/>
    <w:rsid w:val="00953766"/>
    <w:rsid w:val="0095376C"/>
    <w:rsid w:val="00954235"/>
    <w:rsid w:val="0095457D"/>
    <w:rsid w:val="009545EF"/>
    <w:rsid w:val="00954664"/>
    <w:rsid w:val="0095563E"/>
    <w:rsid w:val="009557ED"/>
    <w:rsid w:val="00955A85"/>
    <w:rsid w:val="00955B4F"/>
    <w:rsid w:val="00955C15"/>
    <w:rsid w:val="00956244"/>
    <w:rsid w:val="00956358"/>
    <w:rsid w:val="00956B0C"/>
    <w:rsid w:val="00956CD5"/>
    <w:rsid w:val="00956F20"/>
    <w:rsid w:val="00957413"/>
    <w:rsid w:val="009574F3"/>
    <w:rsid w:val="0095760E"/>
    <w:rsid w:val="00957E3F"/>
    <w:rsid w:val="00957FF1"/>
    <w:rsid w:val="00960224"/>
    <w:rsid w:val="00960800"/>
    <w:rsid w:val="00960C96"/>
    <w:rsid w:val="0096152B"/>
    <w:rsid w:val="00961615"/>
    <w:rsid w:val="009617B4"/>
    <w:rsid w:val="0096186E"/>
    <w:rsid w:val="009619E6"/>
    <w:rsid w:val="00961C78"/>
    <w:rsid w:val="00961C7D"/>
    <w:rsid w:val="00961D20"/>
    <w:rsid w:val="00961D5D"/>
    <w:rsid w:val="0096212E"/>
    <w:rsid w:val="009623EA"/>
    <w:rsid w:val="0096278A"/>
    <w:rsid w:val="00962910"/>
    <w:rsid w:val="0096293D"/>
    <w:rsid w:val="00962A65"/>
    <w:rsid w:val="00962E35"/>
    <w:rsid w:val="00962FAF"/>
    <w:rsid w:val="00963004"/>
    <w:rsid w:val="009631A8"/>
    <w:rsid w:val="0096392A"/>
    <w:rsid w:val="00963D05"/>
    <w:rsid w:val="0096456E"/>
    <w:rsid w:val="00964760"/>
    <w:rsid w:val="009647E8"/>
    <w:rsid w:val="009652D0"/>
    <w:rsid w:val="00965792"/>
    <w:rsid w:val="00965A98"/>
    <w:rsid w:val="00965AD8"/>
    <w:rsid w:val="00965BA7"/>
    <w:rsid w:val="00965FA6"/>
    <w:rsid w:val="00966113"/>
    <w:rsid w:val="009662D5"/>
    <w:rsid w:val="0096635E"/>
    <w:rsid w:val="00966620"/>
    <w:rsid w:val="0096686F"/>
    <w:rsid w:val="009672A5"/>
    <w:rsid w:val="00970178"/>
    <w:rsid w:val="00970349"/>
    <w:rsid w:val="00970518"/>
    <w:rsid w:val="009707F4"/>
    <w:rsid w:val="00970914"/>
    <w:rsid w:val="00970CDA"/>
    <w:rsid w:val="00970CEB"/>
    <w:rsid w:val="00970D1E"/>
    <w:rsid w:val="00971586"/>
    <w:rsid w:val="0097166D"/>
    <w:rsid w:val="00972498"/>
    <w:rsid w:val="009726BF"/>
    <w:rsid w:val="009727F6"/>
    <w:rsid w:val="009729A3"/>
    <w:rsid w:val="00972A44"/>
    <w:rsid w:val="00972DD0"/>
    <w:rsid w:val="009730F0"/>
    <w:rsid w:val="00973493"/>
    <w:rsid w:val="00973FFD"/>
    <w:rsid w:val="00974401"/>
    <w:rsid w:val="009744D8"/>
    <w:rsid w:val="00974914"/>
    <w:rsid w:val="0097493E"/>
    <w:rsid w:val="00974E2E"/>
    <w:rsid w:val="00975578"/>
    <w:rsid w:val="009762E3"/>
    <w:rsid w:val="0097672A"/>
    <w:rsid w:val="0097691F"/>
    <w:rsid w:val="009770BE"/>
    <w:rsid w:val="00977415"/>
    <w:rsid w:val="00977A39"/>
    <w:rsid w:val="00977C62"/>
    <w:rsid w:val="00980114"/>
    <w:rsid w:val="00980217"/>
    <w:rsid w:val="0098068E"/>
    <w:rsid w:val="0098094D"/>
    <w:rsid w:val="009809A8"/>
    <w:rsid w:val="00980B88"/>
    <w:rsid w:val="0098158A"/>
    <w:rsid w:val="009819DD"/>
    <w:rsid w:val="00981E94"/>
    <w:rsid w:val="009829B7"/>
    <w:rsid w:val="00982D57"/>
    <w:rsid w:val="00982E7C"/>
    <w:rsid w:val="00982F13"/>
    <w:rsid w:val="0098347E"/>
    <w:rsid w:val="009836A5"/>
    <w:rsid w:val="009837E5"/>
    <w:rsid w:val="009838AD"/>
    <w:rsid w:val="00984085"/>
    <w:rsid w:val="009840C6"/>
    <w:rsid w:val="00984153"/>
    <w:rsid w:val="009841F7"/>
    <w:rsid w:val="00984678"/>
    <w:rsid w:val="00984ADC"/>
    <w:rsid w:val="009858A9"/>
    <w:rsid w:val="0098597F"/>
    <w:rsid w:val="00985D64"/>
    <w:rsid w:val="009868B4"/>
    <w:rsid w:val="00986A44"/>
    <w:rsid w:val="009871BF"/>
    <w:rsid w:val="00987439"/>
    <w:rsid w:val="009874BD"/>
    <w:rsid w:val="009876E6"/>
    <w:rsid w:val="00987803"/>
    <w:rsid w:val="00987F86"/>
    <w:rsid w:val="00987FFC"/>
    <w:rsid w:val="0099023C"/>
    <w:rsid w:val="0099047F"/>
    <w:rsid w:val="0099094D"/>
    <w:rsid w:val="00990D00"/>
    <w:rsid w:val="00991431"/>
    <w:rsid w:val="009917EC"/>
    <w:rsid w:val="00991987"/>
    <w:rsid w:val="00991A5E"/>
    <w:rsid w:val="00991F89"/>
    <w:rsid w:val="009920CB"/>
    <w:rsid w:val="0099249D"/>
    <w:rsid w:val="009925D1"/>
    <w:rsid w:val="0099281E"/>
    <w:rsid w:val="00992981"/>
    <w:rsid w:val="009931F3"/>
    <w:rsid w:val="00993451"/>
    <w:rsid w:val="00993758"/>
    <w:rsid w:val="0099389C"/>
    <w:rsid w:val="00993EEF"/>
    <w:rsid w:val="00994147"/>
    <w:rsid w:val="009942D5"/>
    <w:rsid w:val="009960A3"/>
    <w:rsid w:val="009969D9"/>
    <w:rsid w:val="00996AC6"/>
    <w:rsid w:val="00997309"/>
    <w:rsid w:val="0099745A"/>
    <w:rsid w:val="00997936"/>
    <w:rsid w:val="00997A31"/>
    <w:rsid w:val="00997A8D"/>
    <w:rsid w:val="00997E7E"/>
    <w:rsid w:val="009A02BB"/>
    <w:rsid w:val="009A0912"/>
    <w:rsid w:val="009A0B8B"/>
    <w:rsid w:val="009A1286"/>
    <w:rsid w:val="009A1569"/>
    <w:rsid w:val="009A1A0A"/>
    <w:rsid w:val="009A1CE1"/>
    <w:rsid w:val="009A200F"/>
    <w:rsid w:val="009A216B"/>
    <w:rsid w:val="009A23F8"/>
    <w:rsid w:val="009A246E"/>
    <w:rsid w:val="009A2477"/>
    <w:rsid w:val="009A287B"/>
    <w:rsid w:val="009A2A26"/>
    <w:rsid w:val="009A2ABC"/>
    <w:rsid w:val="009A2B5E"/>
    <w:rsid w:val="009A2BAC"/>
    <w:rsid w:val="009A3481"/>
    <w:rsid w:val="009A373A"/>
    <w:rsid w:val="009A397C"/>
    <w:rsid w:val="009A39AD"/>
    <w:rsid w:val="009A3B54"/>
    <w:rsid w:val="009A404E"/>
    <w:rsid w:val="009A421E"/>
    <w:rsid w:val="009A42CA"/>
    <w:rsid w:val="009A45C2"/>
    <w:rsid w:val="009A4BB0"/>
    <w:rsid w:val="009A4EB9"/>
    <w:rsid w:val="009A4F81"/>
    <w:rsid w:val="009A59C3"/>
    <w:rsid w:val="009A59DF"/>
    <w:rsid w:val="009A5AB5"/>
    <w:rsid w:val="009A5FC0"/>
    <w:rsid w:val="009A6094"/>
    <w:rsid w:val="009A60AF"/>
    <w:rsid w:val="009A625C"/>
    <w:rsid w:val="009A6B65"/>
    <w:rsid w:val="009A721F"/>
    <w:rsid w:val="009A78B8"/>
    <w:rsid w:val="009A791F"/>
    <w:rsid w:val="009A7E21"/>
    <w:rsid w:val="009B0683"/>
    <w:rsid w:val="009B0779"/>
    <w:rsid w:val="009B0D4E"/>
    <w:rsid w:val="009B0DA5"/>
    <w:rsid w:val="009B11C9"/>
    <w:rsid w:val="009B11DA"/>
    <w:rsid w:val="009B126E"/>
    <w:rsid w:val="009B1363"/>
    <w:rsid w:val="009B1783"/>
    <w:rsid w:val="009B229B"/>
    <w:rsid w:val="009B26AE"/>
    <w:rsid w:val="009B27FB"/>
    <w:rsid w:val="009B2F97"/>
    <w:rsid w:val="009B3607"/>
    <w:rsid w:val="009B36B3"/>
    <w:rsid w:val="009B36C7"/>
    <w:rsid w:val="009B3711"/>
    <w:rsid w:val="009B38B2"/>
    <w:rsid w:val="009B3F3B"/>
    <w:rsid w:val="009B41AB"/>
    <w:rsid w:val="009B43EA"/>
    <w:rsid w:val="009B444E"/>
    <w:rsid w:val="009B44FE"/>
    <w:rsid w:val="009B4C72"/>
    <w:rsid w:val="009B532D"/>
    <w:rsid w:val="009B53AD"/>
    <w:rsid w:val="009B5434"/>
    <w:rsid w:val="009B5669"/>
    <w:rsid w:val="009B5873"/>
    <w:rsid w:val="009B58AD"/>
    <w:rsid w:val="009B5E56"/>
    <w:rsid w:val="009B5E6C"/>
    <w:rsid w:val="009B5F89"/>
    <w:rsid w:val="009B6288"/>
    <w:rsid w:val="009B6293"/>
    <w:rsid w:val="009B62B8"/>
    <w:rsid w:val="009B6E54"/>
    <w:rsid w:val="009B6E62"/>
    <w:rsid w:val="009B6E79"/>
    <w:rsid w:val="009B76F8"/>
    <w:rsid w:val="009C019A"/>
    <w:rsid w:val="009C076D"/>
    <w:rsid w:val="009C0B97"/>
    <w:rsid w:val="009C0C3C"/>
    <w:rsid w:val="009C11B4"/>
    <w:rsid w:val="009C124C"/>
    <w:rsid w:val="009C14B0"/>
    <w:rsid w:val="009C14ED"/>
    <w:rsid w:val="009C150A"/>
    <w:rsid w:val="009C1C9D"/>
    <w:rsid w:val="009C1FA2"/>
    <w:rsid w:val="009C3456"/>
    <w:rsid w:val="009C3902"/>
    <w:rsid w:val="009C3C59"/>
    <w:rsid w:val="009C3CA3"/>
    <w:rsid w:val="009C3E46"/>
    <w:rsid w:val="009C4AD6"/>
    <w:rsid w:val="009C4F7A"/>
    <w:rsid w:val="009C5086"/>
    <w:rsid w:val="009C5629"/>
    <w:rsid w:val="009C5811"/>
    <w:rsid w:val="009C5EE2"/>
    <w:rsid w:val="009C5F70"/>
    <w:rsid w:val="009C654B"/>
    <w:rsid w:val="009C65C5"/>
    <w:rsid w:val="009C772A"/>
    <w:rsid w:val="009C7941"/>
    <w:rsid w:val="009C79CA"/>
    <w:rsid w:val="009D0028"/>
    <w:rsid w:val="009D0107"/>
    <w:rsid w:val="009D0452"/>
    <w:rsid w:val="009D0CBC"/>
    <w:rsid w:val="009D146D"/>
    <w:rsid w:val="009D14F9"/>
    <w:rsid w:val="009D1519"/>
    <w:rsid w:val="009D1659"/>
    <w:rsid w:val="009D16F3"/>
    <w:rsid w:val="009D176E"/>
    <w:rsid w:val="009D17BA"/>
    <w:rsid w:val="009D1C8C"/>
    <w:rsid w:val="009D1E6E"/>
    <w:rsid w:val="009D2004"/>
    <w:rsid w:val="009D2304"/>
    <w:rsid w:val="009D2396"/>
    <w:rsid w:val="009D27F1"/>
    <w:rsid w:val="009D29EB"/>
    <w:rsid w:val="009D2A7D"/>
    <w:rsid w:val="009D2BC9"/>
    <w:rsid w:val="009D2DF3"/>
    <w:rsid w:val="009D2EAC"/>
    <w:rsid w:val="009D36A8"/>
    <w:rsid w:val="009D3A33"/>
    <w:rsid w:val="009D3FCF"/>
    <w:rsid w:val="009D40B8"/>
    <w:rsid w:val="009D453A"/>
    <w:rsid w:val="009D4656"/>
    <w:rsid w:val="009D4F70"/>
    <w:rsid w:val="009D5363"/>
    <w:rsid w:val="009D5696"/>
    <w:rsid w:val="009D59A1"/>
    <w:rsid w:val="009D5BB1"/>
    <w:rsid w:val="009D5C00"/>
    <w:rsid w:val="009D6487"/>
    <w:rsid w:val="009D6757"/>
    <w:rsid w:val="009D69C2"/>
    <w:rsid w:val="009D6A83"/>
    <w:rsid w:val="009D6F10"/>
    <w:rsid w:val="009D6F8A"/>
    <w:rsid w:val="009D716E"/>
    <w:rsid w:val="009D7640"/>
    <w:rsid w:val="009D7BAC"/>
    <w:rsid w:val="009D7D15"/>
    <w:rsid w:val="009E02CE"/>
    <w:rsid w:val="009E02E8"/>
    <w:rsid w:val="009E07D0"/>
    <w:rsid w:val="009E0932"/>
    <w:rsid w:val="009E0944"/>
    <w:rsid w:val="009E0973"/>
    <w:rsid w:val="009E0B1E"/>
    <w:rsid w:val="009E0B62"/>
    <w:rsid w:val="009E0CD7"/>
    <w:rsid w:val="009E138F"/>
    <w:rsid w:val="009E1B62"/>
    <w:rsid w:val="009E1B9D"/>
    <w:rsid w:val="009E1BA0"/>
    <w:rsid w:val="009E201C"/>
    <w:rsid w:val="009E2374"/>
    <w:rsid w:val="009E2959"/>
    <w:rsid w:val="009E2ACE"/>
    <w:rsid w:val="009E3377"/>
    <w:rsid w:val="009E3C3E"/>
    <w:rsid w:val="009E3E11"/>
    <w:rsid w:val="009E3EDF"/>
    <w:rsid w:val="009E4087"/>
    <w:rsid w:val="009E42DB"/>
    <w:rsid w:val="009E4313"/>
    <w:rsid w:val="009E46D2"/>
    <w:rsid w:val="009E4AFA"/>
    <w:rsid w:val="009E539E"/>
    <w:rsid w:val="009E5913"/>
    <w:rsid w:val="009E59C1"/>
    <w:rsid w:val="009E603E"/>
    <w:rsid w:val="009E6731"/>
    <w:rsid w:val="009E6810"/>
    <w:rsid w:val="009E6921"/>
    <w:rsid w:val="009E6C19"/>
    <w:rsid w:val="009E6D22"/>
    <w:rsid w:val="009E6E16"/>
    <w:rsid w:val="009E7802"/>
    <w:rsid w:val="009E786C"/>
    <w:rsid w:val="009E79C0"/>
    <w:rsid w:val="009E7A40"/>
    <w:rsid w:val="009E7C6F"/>
    <w:rsid w:val="009E7E49"/>
    <w:rsid w:val="009F05AA"/>
    <w:rsid w:val="009F072E"/>
    <w:rsid w:val="009F07B5"/>
    <w:rsid w:val="009F087F"/>
    <w:rsid w:val="009F0951"/>
    <w:rsid w:val="009F09B4"/>
    <w:rsid w:val="009F0A3B"/>
    <w:rsid w:val="009F0E65"/>
    <w:rsid w:val="009F1195"/>
    <w:rsid w:val="009F1679"/>
    <w:rsid w:val="009F178A"/>
    <w:rsid w:val="009F2754"/>
    <w:rsid w:val="009F2868"/>
    <w:rsid w:val="009F291F"/>
    <w:rsid w:val="009F299B"/>
    <w:rsid w:val="009F3122"/>
    <w:rsid w:val="009F37D4"/>
    <w:rsid w:val="009F389C"/>
    <w:rsid w:val="009F46FF"/>
    <w:rsid w:val="009F4A7D"/>
    <w:rsid w:val="009F4A87"/>
    <w:rsid w:val="009F4BD7"/>
    <w:rsid w:val="009F5073"/>
    <w:rsid w:val="009F50DD"/>
    <w:rsid w:val="009F5124"/>
    <w:rsid w:val="009F562A"/>
    <w:rsid w:val="009F5BCC"/>
    <w:rsid w:val="009F6346"/>
    <w:rsid w:val="009F6E52"/>
    <w:rsid w:val="009F73E9"/>
    <w:rsid w:val="00A0028F"/>
    <w:rsid w:val="00A00341"/>
    <w:rsid w:val="00A003FF"/>
    <w:rsid w:val="00A011A8"/>
    <w:rsid w:val="00A01641"/>
    <w:rsid w:val="00A01A3C"/>
    <w:rsid w:val="00A01B02"/>
    <w:rsid w:val="00A02407"/>
    <w:rsid w:val="00A02562"/>
    <w:rsid w:val="00A02B9D"/>
    <w:rsid w:val="00A032C2"/>
    <w:rsid w:val="00A03735"/>
    <w:rsid w:val="00A03760"/>
    <w:rsid w:val="00A03923"/>
    <w:rsid w:val="00A03C67"/>
    <w:rsid w:val="00A040A9"/>
    <w:rsid w:val="00A045E0"/>
    <w:rsid w:val="00A04625"/>
    <w:rsid w:val="00A04777"/>
    <w:rsid w:val="00A05D18"/>
    <w:rsid w:val="00A0604D"/>
    <w:rsid w:val="00A06838"/>
    <w:rsid w:val="00A06976"/>
    <w:rsid w:val="00A06DE6"/>
    <w:rsid w:val="00A06E31"/>
    <w:rsid w:val="00A071CC"/>
    <w:rsid w:val="00A072A4"/>
    <w:rsid w:val="00A07538"/>
    <w:rsid w:val="00A077E1"/>
    <w:rsid w:val="00A079F3"/>
    <w:rsid w:val="00A10426"/>
    <w:rsid w:val="00A107BA"/>
    <w:rsid w:val="00A10A51"/>
    <w:rsid w:val="00A10E98"/>
    <w:rsid w:val="00A110D3"/>
    <w:rsid w:val="00A11301"/>
    <w:rsid w:val="00A114E0"/>
    <w:rsid w:val="00A11F7A"/>
    <w:rsid w:val="00A11FDE"/>
    <w:rsid w:val="00A125C7"/>
    <w:rsid w:val="00A12ACD"/>
    <w:rsid w:val="00A12D97"/>
    <w:rsid w:val="00A12E06"/>
    <w:rsid w:val="00A1383D"/>
    <w:rsid w:val="00A13AD9"/>
    <w:rsid w:val="00A1412F"/>
    <w:rsid w:val="00A14270"/>
    <w:rsid w:val="00A1430F"/>
    <w:rsid w:val="00A14885"/>
    <w:rsid w:val="00A14F4B"/>
    <w:rsid w:val="00A150BA"/>
    <w:rsid w:val="00A15578"/>
    <w:rsid w:val="00A158DC"/>
    <w:rsid w:val="00A15A8E"/>
    <w:rsid w:val="00A15EC1"/>
    <w:rsid w:val="00A15F87"/>
    <w:rsid w:val="00A15F94"/>
    <w:rsid w:val="00A1623B"/>
    <w:rsid w:val="00A16359"/>
    <w:rsid w:val="00A1679D"/>
    <w:rsid w:val="00A168BC"/>
    <w:rsid w:val="00A168BE"/>
    <w:rsid w:val="00A17A4B"/>
    <w:rsid w:val="00A17A91"/>
    <w:rsid w:val="00A20031"/>
    <w:rsid w:val="00A207D5"/>
    <w:rsid w:val="00A208B5"/>
    <w:rsid w:val="00A20945"/>
    <w:rsid w:val="00A20C5A"/>
    <w:rsid w:val="00A21CE2"/>
    <w:rsid w:val="00A21E84"/>
    <w:rsid w:val="00A22014"/>
    <w:rsid w:val="00A22180"/>
    <w:rsid w:val="00A22D5C"/>
    <w:rsid w:val="00A22F64"/>
    <w:rsid w:val="00A23B4B"/>
    <w:rsid w:val="00A23E66"/>
    <w:rsid w:val="00A241BA"/>
    <w:rsid w:val="00A24651"/>
    <w:rsid w:val="00A24B07"/>
    <w:rsid w:val="00A25625"/>
    <w:rsid w:val="00A25666"/>
    <w:rsid w:val="00A257C3"/>
    <w:rsid w:val="00A25AA3"/>
    <w:rsid w:val="00A25E89"/>
    <w:rsid w:val="00A2623F"/>
    <w:rsid w:val="00A26327"/>
    <w:rsid w:val="00A26468"/>
    <w:rsid w:val="00A264C3"/>
    <w:rsid w:val="00A269DB"/>
    <w:rsid w:val="00A2716E"/>
    <w:rsid w:val="00A27768"/>
    <w:rsid w:val="00A277D3"/>
    <w:rsid w:val="00A27AB7"/>
    <w:rsid w:val="00A301AE"/>
    <w:rsid w:val="00A3023E"/>
    <w:rsid w:val="00A308E1"/>
    <w:rsid w:val="00A3114D"/>
    <w:rsid w:val="00A31CB0"/>
    <w:rsid w:val="00A323AD"/>
    <w:rsid w:val="00A328B4"/>
    <w:rsid w:val="00A32DF4"/>
    <w:rsid w:val="00A33596"/>
    <w:rsid w:val="00A33E1E"/>
    <w:rsid w:val="00A34063"/>
    <w:rsid w:val="00A34611"/>
    <w:rsid w:val="00A3476A"/>
    <w:rsid w:val="00A347C5"/>
    <w:rsid w:val="00A3499B"/>
    <w:rsid w:val="00A34B0D"/>
    <w:rsid w:val="00A34F10"/>
    <w:rsid w:val="00A3522B"/>
    <w:rsid w:val="00A35721"/>
    <w:rsid w:val="00A36FCF"/>
    <w:rsid w:val="00A371CE"/>
    <w:rsid w:val="00A373B9"/>
    <w:rsid w:val="00A37838"/>
    <w:rsid w:val="00A40724"/>
    <w:rsid w:val="00A407D9"/>
    <w:rsid w:val="00A41106"/>
    <w:rsid w:val="00A411E6"/>
    <w:rsid w:val="00A41413"/>
    <w:rsid w:val="00A41770"/>
    <w:rsid w:val="00A41AC5"/>
    <w:rsid w:val="00A42207"/>
    <w:rsid w:val="00A4227A"/>
    <w:rsid w:val="00A42362"/>
    <w:rsid w:val="00A423DD"/>
    <w:rsid w:val="00A42A0C"/>
    <w:rsid w:val="00A42E8B"/>
    <w:rsid w:val="00A430E7"/>
    <w:rsid w:val="00A43112"/>
    <w:rsid w:val="00A432F1"/>
    <w:rsid w:val="00A43C8B"/>
    <w:rsid w:val="00A4498A"/>
    <w:rsid w:val="00A44AD6"/>
    <w:rsid w:val="00A44D59"/>
    <w:rsid w:val="00A452E9"/>
    <w:rsid w:val="00A45897"/>
    <w:rsid w:val="00A459DF"/>
    <w:rsid w:val="00A45B31"/>
    <w:rsid w:val="00A45DAD"/>
    <w:rsid w:val="00A46117"/>
    <w:rsid w:val="00A46760"/>
    <w:rsid w:val="00A472AD"/>
    <w:rsid w:val="00A47341"/>
    <w:rsid w:val="00A47A3D"/>
    <w:rsid w:val="00A47EC6"/>
    <w:rsid w:val="00A47ED7"/>
    <w:rsid w:val="00A505AC"/>
    <w:rsid w:val="00A50644"/>
    <w:rsid w:val="00A510C8"/>
    <w:rsid w:val="00A51432"/>
    <w:rsid w:val="00A516F5"/>
    <w:rsid w:val="00A518F9"/>
    <w:rsid w:val="00A51914"/>
    <w:rsid w:val="00A521A6"/>
    <w:rsid w:val="00A5227E"/>
    <w:rsid w:val="00A52401"/>
    <w:rsid w:val="00A5258B"/>
    <w:rsid w:val="00A52AF3"/>
    <w:rsid w:val="00A5327A"/>
    <w:rsid w:val="00A532C4"/>
    <w:rsid w:val="00A53A84"/>
    <w:rsid w:val="00A53BC6"/>
    <w:rsid w:val="00A54209"/>
    <w:rsid w:val="00A54447"/>
    <w:rsid w:val="00A54B83"/>
    <w:rsid w:val="00A550E5"/>
    <w:rsid w:val="00A554EF"/>
    <w:rsid w:val="00A55911"/>
    <w:rsid w:val="00A5646C"/>
    <w:rsid w:val="00A564F8"/>
    <w:rsid w:val="00A56A79"/>
    <w:rsid w:val="00A57248"/>
    <w:rsid w:val="00A576AF"/>
    <w:rsid w:val="00A5778B"/>
    <w:rsid w:val="00A57C56"/>
    <w:rsid w:val="00A57D51"/>
    <w:rsid w:val="00A57DDF"/>
    <w:rsid w:val="00A57DFD"/>
    <w:rsid w:val="00A600A1"/>
    <w:rsid w:val="00A60126"/>
    <w:rsid w:val="00A60264"/>
    <w:rsid w:val="00A60290"/>
    <w:rsid w:val="00A6076D"/>
    <w:rsid w:val="00A60B1C"/>
    <w:rsid w:val="00A60B72"/>
    <w:rsid w:val="00A60F79"/>
    <w:rsid w:val="00A6133B"/>
    <w:rsid w:val="00A61466"/>
    <w:rsid w:val="00A61B6D"/>
    <w:rsid w:val="00A62171"/>
    <w:rsid w:val="00A621CE"/>
    <w:rsid w:val="00A62266"/>
    <w:rsid w:val="00A62344"/>
    <w:rsid w:val="00A62484"/>
    <w:rsid w:val="00A62F76"/>
    <w:rsid w:val="00A62FF6"/>
    <w:rsid w:val="00A6336D"/>
    <w:rsid w:val="00A63694"/>
    <w:rsid w:val="00A63AB6"/>
    <w:rsid w:val="00A63F59"/>
    <w:rsid w:val="00A6402F"/>
    <w:rsid w:val="00A641C3"/>
    <w:rsid w:val="00A64394"/>
    <w:rsid w:val="00A64CB9"/>
    <w:rsid w:val="00A65383"/>
    <w:rsid w:val="00A65597"/>
    <w:rsid w:val="00A657B4"/>
    <w:rsid w:val="00A659AE"/>
    <w:rsid w:val="00A65DBC"/>
    <w:rsid w:val="00A65DFF"/>
    <w:rsid w:val="00A66222"/>
    <w:rsid w:val="00A662B5"/>
    <w:rsid w:val="00A6644A"/>
    <w:rsid w:val="00A6673D"/>
    <w:rsid w:val="00A6724D"/>
    <w:rsid w:val="00A673EC"/>
    <w:rsid w:val="00A6746D"/>
    <w:rsid w:val="00A6760A"/>
    <w:rsid w:val="00A67EA6"/>
    <w:rsid w:val="00A70521"/>
    <w:rsid w:val="00A705A9"/>
    <w:rsid w:val="00A705C3"/>
    <w:rsid w:val="00A70A78"/>
    <w:rsid w:val="00A70E12"/>
    <w:rsid w:val="00A71475"/>
    <w:rsid w:val="00A7159F"/>
    <w:rsid w:val="00A7163D"/>
    <w:rsid w:val="00A71F57"/>
    <w:rsid w:val="00A721AD"/>
    <w:rsid w:val="00A725A3"/>
    <w:rsid w:val="00A7275D"/>
    <w:rsid w:val="00A7287E"/>
    <w:rsid w:val="00A72AED"/>
    <w:rsid w:val="00A72BF5"/>
    <w:rsid w:val="00A73681"/>
    <w:rsid w:val="00A73A43"/>
    <w:rsid w:val="00A747BC"/>
    <w:rsid w:val="00A74BCC"/>
    <w:rsid w:val="00A74E42"/>
    <w:rsid w:val="00A750A9"/>
    <w:rsid w:val="00A7511F"/>
    <w:rsid w:val="00A7555E"/>
    <w:rsid w:val="00A75A9D"/>
    <w:rsid w:val="00A75D8A"/>
    <w:rsid w:val="00A76106"/>
    <w:rsid w:val="00A763C9"/>
    <w:rsid w:val="00A763DC"/>
    <w:rsid w:val="00A76C09"/>
    <w:rsid w:val="00A7746E"/>
    <w:rsid w:val="00A7753A"/>
    <w:rsid w:val="00A77610"/>
    <w:rsid w:val="00A7766A"/>
    <w:rsid w:val="00A77BAB"/>
    <w:rsid w:val="00A804CF"/>
    <w:rsid w:val="00A80734"/>
    <w:rsid w:val="00A807B8"/>
    <w:rsid w:val="00A807FA"/>
    <w:rsid w:val="00A80C55"/>
    <w:rsid w:val="00A80E24"/>
    <w:rsid w:val="00A81026"/>
    <w:rsid w:val="00A81215"/>
    <w:rsid w:val="00A81249"/>
    <w:rsid w:val="00A81526"/>
    <w:rsid w:val="00A8156A"/>
    <w:rsid w:val="00A81C21"/>
    <w:rsid w:val="00A81DCE"/>
    <w:rsid w:val="00A81E8B"/>
    <w:rsid w:val="00A82075"/>
    <w:rsid w:val="00A821AF"/>
    <w:rsid w:val="00A82829"/>
    <w:rsid w:val="00A8294E"/>
    <w:rsid w:val="00A82AF4"/>
    <w:rsid w:val="00A82C1E"/>
    <w:rsid w:val="00A82CF9"/>
    <w:rsid w:val="00A82FFD"/>
    <w:rsid w:val="00A831D6"/>
    <w:rsid w:val="00A835E3"/>
    <w:rsid w:val="00A84019"/>
    <w:rsid w:val="00A8489C"/>
    <w:rsid w:val="00A84C9A"/>
    <w:rsid w:val="00A84E4F"/>
    <w:rsid w:val="00A8500C"/>
    <w:rsid w:val="00A853CB"/>
    <w:rsid w:val="00A85535"/>
    <w:rsid w:val="00A855FE"/>
    <w:rsid w:val="00A85CF6"/>
    <w:rsid w:val="00A85ED1"/>
    <w:rsid w:val="00A8617B"/>
    <w:rsid w:val="00A86471"/>
    <w:rsid w:val="00A868C7"/>
    <w:rsid w:val="00A86CF2"/>
    <w:rsid w:val="00A8783F"/>
    <w:rsid w:val="00A87EA4"/>
    <w:rsid w:val="00A87F81"/>
    <w:rsid w:val="00A90412"/>
    <w:rsid w:val="00A90914"/>
    <w:rsid w:val="00A90A77"/>
    <w:rsid w:val="00A90E98"/>
    <w:rsid w:val="00A91AE2"/>
    <w:rsid w:val="00A91CA7"/>
    <w:rsid w:val="00A9293E"/>
    <w:rsid w:val="00A92A64"/>
    <w:rsid w:val="00A92AD7"/>
    <w:rsid w:val="00A92BD3"/>
    <w:rsid w:val="00A9324C"/>
    <w:rsid w:val="00A939CD"/>
    <w:rsid w:val="00A93A77"/>
    <w:rsid w:val="00A93BCB"/>
    <w:rsid w:val="00A940F5"/>
    <w:rsid w:val="00A943BF"/>
    <w:rsid w:val="00A9460C"/>
    <w:rsid w:val="00A94C99"/>
    <w:rsid w:val="00A94D7A"/>
    <w:rsid w:val="00A94E66"/>
    <w:rsid w:val="00A95096"/>
    <w:rsid w:val="00A95327"/>
    <w:rsid w:val="00A95590"/>
    <w:rsid w:val="00A95828"/>
    <w:rsid w:val="00A95BDC"/>
    <w:rsid w:val="00A95DB0"/>
    <w:rsid w:val="00A9650E"/>
    <w:rsid w:val="00A96988"/>
    <w:rsid w:val="00A96DE7"/>
    <w:rsid w:val="00A97269"/>
    <w:rsid w:val="00A97494"/>
    <w:rsid w:val="00A9771D"/>
    <w:rsid w:val="00AA020A"/>
    <w:rsid w:val="00AA034B"/>
    <w:rsid w:val="00AA03EE"/>
    <w:rsid w:val="00AA09C4"/>
    <w:rsid w:val="00AA09D0"/>
    <w:rsid w:val="00AA0BF3"/>
    <w:rsid w:val="00AA1227"/>
    <w:rsid w:val="00AA1485"/>
    <w:rsid w:val="00AA15D5"/>
    <w:rsid w:val="00AA166F"/>
    <w:rsid w:val="00AA16C2"/>
    <w:rsid w:val="00AA17CE"/>
    <w:rsid w:val="00AA1D54"/>
    <w:rsid w:val="00AA1DB6"/>
    <w:rsid w:val="00AA223C"/>
    <w:rsid w:val="00AA2335"/>
    <w:rsid w:val="00AA25F0"/>
    <w:rsid w:val="00AA26DD"/>
    <w:rsid w:val="00AA26F0"/>
    <w:rsid w:val="00AA297E"/>
    <w:rsid w:val="00AA2D3C"/>
    <w:rsid w:val="00AA3198"/>
    <w:rsid w:val="00AA3A49"/>
    <w:rsid w:val="00AA3C21"/>
    <w:rsid w:val="00AA3D26"/>
    <w:rsid w:val="00AA3DFF"/>
    <w:rsid w:val="00AA3E1D"/>
    <w:rsid w:val="00AA3E42"/>
    <w:rsid w:val="00AA42ED"/>
    <w:rsid w:val="00AA43D3"/>
    <w:rsid w:val="00AA4496"/>
    <w:rsid w:val="00AA4879"/>
    <w:rsid w:val="00AA4B62"/>
    <w:rsid w:val="00AA4D71"/>
    <w:rsid w:val="00AA4DA3"/>
    <w:rsid w:val="00AA50E6"/>
    <w:rsid w:val="00AA5612"/>
    <w:rsid w:val="00AA57AF"/>
    <w:rsid w:val="00AA5852"/>
    <w:rsid w:val="00AA5937"/>
    <w:rsid w:val="00AA5CBC"/>
    <w:rsid w:val="00AA5D6F"/>
    <w:rsid w:val="00AA5D92"/>
    <w:rsid w:val="00AA6472"/>
    <w:rsid w:val="00AA6A17"/>
    <w:rsid w:val="00AA6A7B"/>
    <w:rsid w:val="00AA6C2A"/>
    <w:rsid w:val="00AA6DFB"/>
    <w:rsid w:val="00AA735D"/>
    <w:rsid w:val="00AA74C1"/>
    <w:rsid w:val="00AA7EEC"/>
    <w:rsid w:val="00AB020A"/>
    <w:rsid w:val="00AB0227"/>
    <w:rsid w:val="00AB050F"/>
    <w:rsid w:val="00AB05EC"/>
    <w:rsid w:val="00AB0B94"/>
    <w:rsid w:val="00AB0B9A"/>
    <w:rsid w:val="00AB0BBD"/>
    <w:rsid w:val="00AB0BF4"/>
    <w:rsid w:val="00AB0FF0"/>
    <w:rsid w:val="00AB117B"/>
    <w:rsid w:val="00AB19C7"/>
    <w:rsid w:val="00AB1A27"/>
    <w:rsid w:val="00AB1B90"/>
    <w:rsid w:val="00AB1EB9"/>
    <w:rsid w:val="00AB2027"/>
    <w:rsid w:val="00AB24C3"/>
    <w:rsid w:val="00AB28A8"/>
    <w:rsid w:val="00AB2C2F"/>
    <w:rsid w:val="00AB2C59"/>
    <w:rsid w:val="00AB30F4"/>
    <w:rsid w:val="00AB344A"/>
    <w:rsid w:val="00AB3636"/>
    <w:rsid w:val="00AB382C"/>
    <w:rsid w:val="00AB3C87"/>
    <w:rsid w:val="00AB471D"/>
    <w:rsid w:val="00AB4893"/>
    <w:rsid w:val="00AB4AB7"/>
    <w:rsid w:val="00AB4DDE"/>
    <w:rsid w:val="00AB4E07"/>
    <w:rsid w:val="00AB5146"/>
    <w:rsid w:val="00AB5526"/>
    <w:rsid w:val="00AB595F"/>
    <w:rsid w:val="00AB6045"/>
    <w:rsid w:val="00AB618C"/>
    <w:rsid w:val="00AB67CC"/>
    <w:rsid w:val="00AB69F2"/>
    <w:rsid w:val="00AB707F"/>
    <w:rsid w:val="00AB7647"/>
    <w:rsid w:val="00AB7796"/>
    <w:rsid w:val="00AB782A"/>
    <w:rsid w:val="00AC016A"/>
    <w:rsid w:val="00AC03EA"/>
    <w:rsid w:val="00AC1508"/>
    <w:rsid w:val="00AC17BB"/>
    <w:rsid w:val="00AC1AE3"/>
    <w:rsid w:val="00AC1FA1"/>
    <w:rsid w:val="00AC2646"/>
    <w:rsid w:val="00AC2B5A"/>
    <w:rsid w:val="00AC2F27"/>
    <w:rsid w:val="00AC3623"/>
    <w:rsid w:val="00AC3719"/>
    <w:rsid w:val="00AC3988"/>
    <w:rsid w:val="00AC3CEF"/>
    <w:rsid w:val="00AC3DEC"/>
    <w:rsid w:val="00AC4133"/>
    <w:rsid w:val="00AC43A8"/>
    <w:rsid w:val="00AC4414"/>
    <w:rsid w:val="00AC4648"/>
    <w:rsid w:val="00AC47A0"/>
    <w:rsid w:val="00AC4F40"/>
    <w:rsid w:val="00AC4F61"/>
    <w:rsid w:val="00AC59DD"/>
    <w:rsid w:val="00AC5B90"/>
    <w:rsid w:val="00AC6409"/>
    <w:rsid w:val="00AC6637"/>
    <w:rsid w:val="00AC6D22"/>
    <w:rsid w:val="00AC7F4C"/>
    <w:rsid w:val="00AD06D8"/>
    <w:rsid w:val="00AD08EB"/>
    <w:rsid w:val="00AD0B4A"/>
    <w:rsid w:val="00AD0DC9"/>
    <w:rsid w:val="00AD0FAE"/>
    <w:rsid w:val="00AD1037"/>
    <w:rsid w:val="00AD1138"/>
    <w:rsid w:val="00AD19D6"/>
    <w:rsid w:val="00AD1A71"/>
    <w:rsid w:val="00AD1F21"/>
    <w:rsid w:val="00AD1F6C"/>
    <w:rsid w:val="00AD201E"/>
    <w:rsid w:val="00AD207C"/>
    <w:rsid w:val="00AD2195"/>
    <w:rsid w:val="00AD228C"/>
    <w:rsid w:val="00AD2429"/>
    <w:rsid w:val="00AD247B"/>
    <w:rsid w:val="00AD2968"/>
    <w:rsid w:val="00AD29B4"/>
    <w:rsid w:val="00AD2C2B"/>
    <w:rsid w:val="00AD2CDA"/>
    <w:rsid w:val="00AD306F"/>
    <w:rsid w:val="00AD3174"/>
    <w:rsid w:val="00AD3358"/>
    <w:rsid w:val="00AD33A0"/>
    <w:rsid w:val="00AD3457"/>
    <w:rsid w:val="00AD3881"/>
    <w:rsid w:val="00AD3FBE"/>
    <w:rsid w:val="00AD401B"/>
    <w:rsid w:val="00AD43CE"/>
    <w:rsid w:val="00AD4733"/>
    <w:rsid w:val="00AD4E66"/>
    <w:rsid w:val="00AD4F63"/>
    <w:rsid w:val="00AD4FFC"/>
    <w:rsid w:val="00AD51BE"/>
    <w:rsid w:val="00AD5860"/>
    <w:rsid w:val="00AD58F0"/>
    <w:rsid w:val="00AD5AA4"/>
    <w:rsid w:val="00AD5B69"/>
    <w:rsid w:val="00AD6224"/>
    <w:rsid w:val="00AD6315"/>
    <w:rsid w:val="00AD66F7"/>
    <w:rsid w:val="00AD693F"/>
    <w:rsid w:val="00AD6C5D"/>
    <w:rsid w:val="00AD6FB1"/>
    <w:rsid w:val="00AD73FC"/>
    <w:rsid w:val="00AD789F"/>
    <w:rsid w:val="00AD7951"/>
    <w:rsid w:val="00AD79A7"/>
    <w:rsid w:val="00AE03B3"/>
    <w:rsid w:val="00AE0541"/>
    <w:rsid w:val="00AE09E1"/>
    <w:rsid w:val="00AE19B9"/>
    <w:rsid w:val="00AE26DC"/>
    <w:rsid w:val="00AE2804"/>
    <w:rsid w:val="00AE2B6F"/>
    <w:rsid w:val="00AE2DB1"/>
    <w:rsid w:val="00AE30D0"/>
    <w:rsid w:val="00AE3147"/>
    <w:rsid w:val="00AE3214"/>
    <w:rsid w:val="00AE328A"/>
    <w:rsid w:val="00AE32F8"/>
    <w:rsid w:val="00AE339F"/>
    <w:rsid w:val="00AE3455"/>
    <w:rsid w:val="00AE368F"/>
    <w:rsid w:val="00AE36D0"/>
    <w:rsid w:val="00AE3780"/>
    <w:rsid w:val="00AE3E58"/>
    <w:rsid w:val="00AE42C1"/>
    <w:rsid w:val="00AE4961"/>
    <w:rsid w:val="00AE513A"/>
    <w:rsid w:val="00AE51D5"/>
    <w:rsid w:val="00AE526C"/>
    <w:rsid w:val="00AE5C69"/>
    <w:rsid w:val="00AE5F7F"/>
    <w:rsid w:val="00AE60E8"/>
    <w:rsid w:val="00AE6A05"/>
    <w:rsid w:val="00AE6AEE"/>
    <w:rsid w:val="00AE6BF4"/>
    <w:rsid w:val="00AE6D7F"/>
    <w:rsid w:val="00AE7015"/>
    <w:rsid w:val="00AE74FB"/>
    <w:rsid w:val="00AE76C4"/>
    <w:rsid w:val="00AF0071"/>
    <w:rsid w:val="00AF016A"/>
    <w:rsid w:val="00AF0BF0"/>
    <w:rsid w:val="00AF0C41"/>
    <w:rsid w:val="00AF1840"/>
    <w:rsid w:val="00AF1ACE"/>
    <w:rsid w:val="00AF1C5E"/>
    <w:rsid w:val="00AF1DB8"/>
    <w:rsid w:val="00AF26C6"/>
    <w:rsid w:val="00AF281B"/>
    <w:rsid w:val="00AF2C60"/>
    <w:rsid w:val="00AF3160"/>
    <w:rsid w:val="00AF3254"/>
    <w:rsid w:val="00AF332A"/>
    <w:rsid w:val="00AF3ED0"/>
    <w:rsid w:val="00AF426D"/>
    <w:rsid w:val="00AF46CB"/>
    <w:rsid w:val="00AF49DC"/>
    <w:rsid w:val="00AF51F4"/>
    <w:rsid w:val="00AF53EB"/>
    <w:rsid w:val="00AF5539"/>
    <w:rsid w:val="00AF559E"/>
    <w:rsid w:val="00AF5709"/>
    <w:rsid w:val="00AF57A1"/>
    <w:rsid w:val="00AF5826"/>
    <w:rsid w:val="00AF5BC6"/>
    <w:rsid w:val="00AF5EEE"/>
    <w:rsid w:val="00AF60A1"/>
    <w:rsid w:val="00AF61CE"/>
    <w:rsid w:val="00AF629D"/>
    <w:rsid w:val="00AF64C3"/>
    <w:rsid w:val="00AF6E05"/>
    <w:rsid w:val="00AF6E4E"/>
    <w:rsid w:val="00AF6E60"/>
    <w:rsid w:val="00AF6F75"/>
    <w:rsid w:val="00AF713B"/>
    <w:rsid w:val="00B005BA"/>
    <w:rsid w:val="00B006ED"/>
    <w:rsid w:val="00B0098C"/>
    <w:rsid w:val="00B00D2B"/>
    <w:rsid w:val="00B00E2D"/>
    <w:rsid w:val="00B00FC7"/>
    <w:rsid w:val="00B00FFC"/>
    <w:rsid w:val="00B01429"/>
    <w:rsid w:val="00B01625"/>
    <w:rsid w:val="00B01914"/>
    <w:rsid w:val="00B01C38"/>
    <w:rsid w:val="00B01EEF"/>
    <w:rsid w:val="00B025C5"/>
    <w:rsid w:val="00B03029"/>
    <w:rsid w:val="00B03122"/>
    <w:rsid w:val="00B03480"/>
    <w:rsid w:val="00B03647"/>
    <w:rsid w:val="00B03CCE"/>
    <w:rsid w:val="00B03D0C"/>
    <w:rsid w:val="00B03E7B"/>
    <w:rsid w:val="00B041AD"/>
    <w:rsid w:val="00B041F3"/>
    <w:rsid w:val="00B04225"/>
    <w:rsid w:val="00B04249"/>
    <w:rsid w:val="00B0481C"/>
    <w:rsid w:val="00B049E6"/>
    <w:rsid w:val="00B04BE2"/>
    <w:rsid w:val="00B04C43"/>
    <w:rsid w:val="00B04F47"/>
    <w:rsid w:val="00B050A1"/>
    <w:rsid w:val="00B0524A"/>
    <w:rsid w:val="00B05BC7"/>
    <w:rsid w:val="00B061D0"/>
    <w:rsid w:val="00B0629A"/>
    <w:rsid w:val="00B062C5"/>
    <w:rsid w:val="00B063A3"/>
    <w:rsid w:val="00B06441"/>
    <w:rsid w:val="00B0647B"/>
    <w:rsid w:val="00B06922"/>
    <w:rsid w:val="00B06F7B"/>
    <w:rsid w:val="00B07D01"/>
    <w:rsid w:val="00B07E38"/>
    <w:rsid w:val="00B10028"/>
    <w:rsid w:val="00B1013B"/>
    <w:rsid w:val="00B102F6"/>
    <w:rsid w:val="00B104F4"/>
    <w:rsid w:val="00B105B8"/>
    <w:rsid w:val="00B10782"/>
    <w:rsid w:val="00B10B2D"/>
    <w:rsid w:val="00B10E12"/>
    <w:rsid w:val="00B10E8D"/>
    <w:rsid w:val="00B11081"/>
    <w:rsid w:val="00B1133C"/>
    <w:rsid w:val="00B11612"/>
    <w:rsid w:val="00B118FE"/>
    <w:rsid w:val="00B12F14"/>
    <w:rsid w:val="00B13133"/>
    <w:rsid w:val="00B1322A"/>
    <w:rsid w:val="00B13395"/>
    <w:rsid w:val="00B134B3"/>
    <w:rsid w:val="00B13619"/>
    <w:rsid w:val="00B13B1D"/>
    <w:rsid w:val="00B13D0E"/>
    <w:rsid w:val="00B13F90"/>
    <w:rsid w:val="00B14790"/>
    <w:rsid w:val="00B14F3B"/>
    <w:rsid w:val="00B15004"/>
    <w:rsid w:val="00B15217"/>
    <w:rsid w:val="00B1555A"/>
    <w:rsid w:val="00B15905"/>
    <w:rsid w:val="00B15C3C"/>
    <w:rsid w:val="00B161C3"/>
    <w:rsid w:val="00B16219"/>
    <w:rsid w:val="00B1650A"/>
    <w:rsid w:val="00B1663D"/>
    <w:rsid w:val="00B167F9"/>
    <w:rsid w:val="00B16AA9"/>
    <w:rsid w:val="00B16EBE"/>
    <w:rsid w:val="00B16F49"/>
    <w:rsid w:val="00B20349"/>
    <w:rsid w:val="00B20432"/>
    <w:rsid w:val="00B2072A"/>
    <w:rsid w:val="00B20A31"/>
    <w:rsid w:val="00B20BDA"/>
    <w:rsid w:val="00B20C22"/>
    <w:rsid w:val="00B20D1F"/>
    <w:rsid w:val="00B20F46"/>
    <w:rsid w:val="00B21A95"/>
    <w:rsid w:val="00B21C09"/>
    <w:rsid w:val="00B22B30"/>
    <w:rsid w:val="00B22B77"/>
    <w:rsid w:val="00B22FE5"/>
    <w:rsid w:val="00B23310"/>
    <w:rsid w:val="00B239FB"/>
    <w:rsid w:val="00B243AF"/>
    <w:rsid w:val="00B24676"/>
    <w:rsid w:val="00B247F6"/>
    <w:rsid w:val="00B24A6C"/>
    <w:rsid w:val="00B24CA2"/>
    <w:rsid w:val="00B24F12"/>
    <w:rsid w:val="00B253F7"/>
    <w:rsid w:val="00B25702"/>
    <w:rsid w:val="00B25749"/>
    <w:rsid w:val="00B257C6"/>
    <w:rsid w:val="00B259F9"/>
    <w:rsid w:val="00B25E58"/>
    <w:rsid w:val="00B2604C"/>
    <w:rsid w:val="00B26115"/>
    <w:rsid w:val="00B26196"/>
    <w:rsid w:val="00B263A5"/>
    <w:rsid w:val="00B26584"/>
    <w:rsid w:val="00B269DE"/>
    <w:rsid w:val="00B26CB4"/>
    <w:rsid w:val="00B26EB4"/>
    <w:rsid w:val="00B26F6D"/>
    <w:rsid w:val="00B26FD7"/>
    <w:rsid w:val="00B273EE"/>
    <w:rsid w:val="00B27738"/>
    <w:rsid w:val="00B27B71"/>
    <w:rsid w:val="00B27D57"/>
    <w:rsid w:val="00B3014E"/>
    <w:rsid w:val="00B301A8"/>
    <w:rsid w:val="00B30431"/>
    <w:rsid w:val="00B30561"/>
    <w:rsid w:val="00B3080F"/>
    <w:rsid w:val="00B30A0C"/>
    <w:rsid w:val="00B313BC"/>
    <w:rsid w:val="00B31605"/>
    <w:rsid w:val="00B31888"/>
    <w:rsid w:val="00B319B3"/>
    <w:rsid w:val="00B32087"/>
    <w:rsid w:val="00B323B6"/>
    <w:rsid w:val="00B325C3"/>
    <w:rsid w:val="00B32F29"/>
    <w:rsid w:val="00B33263"/>
    <w:rsid w:val="00B33416"/>
    <w:rsid w:val="00B33AC7"/>
    <w:rsid w:val="00B33F6F"/>
    <w:rsid w:val="00B340FA"/>
    <w:rsid w:val="00B34F7D"/>
    <w:rsid w:val="00B352D5"/>
    <w:rsid w:val="00B35328"/>
    <w:rsid w:val="00B3569A"/>
    <w:rsid w:val="00B359A6"/>
    <w:rsid w:val="00B359AE"/>
    <w:rsid w:val="00B359C4"/>
    <w:rsid w:val="00B36505"/>
    <w:rsid w:val="00B3652D"/>
    <w:rsid w:val="00B36963"/>
    <w:rsid w:val="00B370BC"/>
    <w:rsid w:val="00B3715F"/>
    <w:rsid w:val="00B37293"/>
    <w:rsid w:val="00B37B05"/>
    <w:rsid w:val="00B37C78"/>
    <w:rsid w:val="00B40109"/>
    <w:rsid w:val="00B40372"/>
    <w:rsid w:val="00B403CC"/>
    <w:rsid w:val="00B40AE5"/>
    <w:rsid w:val="00B40CC2"/>
    <w:rsid w:val="00B411F4"/>
    <w:rsid w:val="00B41491"/>
    <w:rsid w:val="00B41948"/>
    <w:rsid w:val="00B41BC6"/>
    <w:rsid w:val="00B41CC7"/>
    <w:rsid w:val="00B41F5C"/>
    <w:rsid w:val="00B42432"/>
    <w:rsid w:val="00B4299B"/>
    <w:rsid w:val="00B432EA"/>
    <w:rsid w:val="00B43498"/>
    <w:rsid w:val="00B435F2"/>
    <w:rsid w:val="00B442B4"/>
    <w:rsid w:val="00B4494B"/>
    <w:rsid w:val="00B44A52"/>
    <w:rsid w:val="00B45226"/>
    <w:rsid w:val="00B45252"/>
    <w:rsid w:val="00B452C6"/>
    <w:rsid w:val="00B45894"/>
    <w:rsid w:val="00B45F49"/>
    <w:rsid w:val="00B45F99"/>
    <w:rsid w:val="00B4621E"/>
    <w:rsid w:val="00B46331"/>
    <w:rsid w:val="00B463A8"/>
    <w:rsid w:val="00B46471"/>
    <w:rsid w:val="00B4647C"/>
    <w:rsid w:val="00B46B40"/>
    <w:rsid w:val="00B4721E"/>
    <w:rsid w:val="00B474CF"/>
    <w:rsid w:val="00B47F94"/>
    <w:rsid w:val="00B502B2"/>
    <w:rsid w:val="00B506D3"/>
    <w:rsid w:val="00B5083A"/>
    <w:rsid w:val="00B50936"/>
    <w:rsid w:val="00B50A11"/>
    <w:rsid w:val="00B50DDE"/>
    <w:rsid w:val="00B51017"/>
    <w:rsid w:val="00B51243"/>
    <w:rsid w:val="00B514D8"/>
    <w:rsid w:val="00B52163"/>
    <w:rsid w:val="00B52188"/>
    <w:rsid w:val="00B5219C"/>
    <w:rsid w:val="00B52344"/>
    <w:rsid w:val="00B5279D"/>
    <w:rsid w:val="00B527DA"/>
    <w:rsid w:val="00B5289E"/>
    <w:rsid w:val="00B52C1D"/>
    <w:rsid w:val="00B52C80"/>
    <w:rsid w:val="00B535B5"/>
    <w:rsid w:val="00B53C4C"/>
    <w:rsid w:val="00B53CBA"/>
    <w:rsid w:val="00B53FDE"/>
    <w:rsid w:val="00B540C2"/>
    <w:rsid w:val="00B5467B"/>
    <w:rsid w:val="00B548F8"/>
    <w:rsid w:val="00B54BA0"/>
    <w:rsid w:val="00B54BF9"/>
    <w:rsid w:val="00B54F7D"/>
    <w:rsid w:val="00B5513C"/>
    <w:rsid w:val="00B55144"/>
    <w:rsid w:val="00B556C7"/>
    <w:rsid w:val="00B55736"/>
    <w:rsid w:val="00B55AFA"/>
    <w:rsid w:val="00B55E29"/>
    <w:rsid w:val="00B5617E"/>
    <w:rsid w:val="00B56341"/>
    <w:rsid w:val="00B56502"/>
    <w:rsid w:val="00B56C73"/>
    <w:rsid w:val="00B56D60"/>
    <w:rsid w:val="00B56F3E"/>
    <w:rsid w:val="00B56FC2"/>
    <w:rsid w:val="00B57056"/>
    <w:rsid w:val="00B574FE"/>
    <w:rsid w:val="00B57789"/>
    <w:rsid w:val="00B5779D"/>
    <w:rsid w:val="00B57822"/>
    <w:rsid w:val="00B579A3"/>
    <w:rsid w:val="00B57A4E"/>
    <w:rsid w:val="00B57A82"/>
    <w:rsid w:val="00B57AB1"/>
    <w:rsid w:val="00B601FF"/>
    <w:rsid w:val="00B60593"/>
    <w:rsid w:val="00B61BB2"/>
    <w:rsid w:val="00B61CE3"/>
    <w:rsid w:val="00B61D1D"/>
    <w:rsid w:val="00B61E7C"/>
    <w:rsid w:val="00B61F70"/>
    <w:rsid w:val="00B62725"/>
    <w:rsid w:val="00B629B6"/>
    <w:rsid w:val="00B62A7E"/>
    <w:rsid w:val="00B63228"/>
    <w:rsid w:val="00B63510"/>
    <w:rsid w:val="00B63947"/>
    <w:rsid w:val="00B63CB6"/>
    <w:rsid w:val="00B640B5"/>
    <w:rsid w:val="00B6410E"/>
    <w:rsid w:val="00B6441E"/>
    <w:rsid w:val="00B644FD"/>
    <w:rsid w:val="00B646D3"/>
    <w:rsid w:val="00B647C8"/>
    <w:rsid w:val="00B64964"/>
    <w:rsid w:val="00B64D61"/>
    <w:rsid w:val="00B64DD2"/>
    <w:rsid w:val="00B654FC"/>
    <w:rsid w:val="00B65AA6"/>
    <w:rsid w:val="00B6647A"/>
    <w:rsid w:val="00B6668A"/>
    <w:rsid w:val="00B667CD"/>
    <w:rsid w:val="00B66BF8"/>
    <w:rsid w:val="00B66FA5"/>
    <w:rsid w:val="00B679D1"/>
    <w:rsid w:val="00B67C58"/>
    <w:rsid w:val="00B67D5F"/>
    <w:rsid w:val="00B67D80"/>
    <w:rsid w:val="00B67F2F"/>
    <w:rsid w:val="00B67F3C"/>
    <w:rsid w:val="00B700AB"/>
    <w:rsid w:val="00B7024E"/>
    <w:rsid w:val="00B703D7"/>
    <w:rsid w:val="00B70DBB"/>
    <w:rsid w:val="00B71A55"/>
    <w:rsid w:val="00B71DB6"/>
    <w:rsid w:val="00B7285A"/>
    <w:rsid w:val="00B72E70"/>
    <w:rsid w:val="00B72EB4"/>
    <w:rsid w:val="00B730C0"/>
    <w:rsid w:val="00B732DD"/>
    <w:rsid w:val="00B736AE"/>
    <w:rsid w:val="00B73A2A"/>
    <w:rsid w:val="00B741E0"/>
    <w:rsid w:val="00B74314"/>
    <w:rsid w:val="00B74324"/>
    <w:rsid w:val="00B7458E"/>
    <w:rsid w:val="00B74733"/>
    <w:rsid w:val="00B74DF4"/>
    <w:rsid w:val="00B75232"/>
    <w:rsid w:val="00B755D5"/>
    <w:rsid w:val="00B7584F"/>
    <w:rsid w:val="00B75BBE"/>
    <w:rsid w:val="00B75C62"/>
    <w:rsid w:val="00B75D0F"/>
    <w:rsid w:val="00B76409"/>
    <w:rsid w:val="00B76DEF"/>
    <w:rsid w:val="00B7710A"/>
    <w:rsid w:val="00B776CA"/>
    <w:rsid w:val="00B77A04"/>
    <w:rsid w:val="00B77B74"/>
    <w:rsid w:val="00B77BBE"/>
    <w:rsid w:val="00B77F8D"/>
    <w:rsid w:val="00B80E80"/>
    <w:rsid w:val="00B81349"/>
    <w:rsid w:val="00B81482"/>
    <w:rsid w:val="00B81575"/>
    <w:rsid w:val="00B816BC"/>
    <w:rsid w:val="00B816D3"/>
    <w:rsid w:val="00B8190A"/>
    <w:rsid w:val="00B81A6B"/>
    <w:rsid w:val="00B81F7C"/>
    <w:rsid w:val="00B81FEB"/>
    <w:rsid w:val="00B82147"/>
    <w:rsid w:val="00B834F1"/>
    <w:rsid w:val="00B83821"/>
    <w:rsid w:val="00B842CA"/>
    <w:rsid w:val="00B8439A"/>
    <w:rsid w:val="00B84752"/>
    <w:rsid w:val="00B85024"/>
    <w:rsid w:val="00B8556C"/>
    <w:rsid w:val="00B8588C"/>
    <w:rsid w:val="00B86AC3"/>
    <w:rsid w:val="00B86C88"/>
    <w:rsid w:val="00B86D1E"/>
    <w:rsid w:val="00B86EA2"/>
    <w:rsid w:val="00B86FBF"/>
    <w:rsid w:val="00B8730E"/>
    <w:rsid w:val="00B87628"/>
    <w:rsid w:val="00B87866"/>
    <w:rsid w:val="00B878DC"/>
    <w:rsid w:val="00B8797C"/>
    <w:rsid w:val="00B87BA3"/>
    <w:rsid w:val="00B87CC0"/>
    <w:rsid w:val="00B87D30"/>
    <w:rsid w:val="00B87F6C"/>
    <w:rsid w:val="00B900CC"/>
    <w:rsid w:val="00B910B6"/>
    <w:rsid w:val="00B9117C"/>
    <w:rsid w:val="00B91A1B"/>
    <w:rsid w:val="00B91A34"/>
    <w:rsid w:val="00B91ADD"/>
    <w:rsid w:val="00B91C33"/>
    <w:rsid w:val="00B92580"/>
    <w:rsid w:val="00B928B9"/>
    <w:rsid w:val="00B92C6C"/>
    <w:rsid w:val="00B9314F"/>
    <w:rsid w:val="00B93233"/>
    <w:rsid w:val="00B933A6"/>
    <w:rsid w:val="00B93868"/>
    <w:rsid w:val="00B93AA9"/>
    <w:rsid w:val="00B93CF0"/>
    <w:rsid w:val="00B93E17"/>
    <w:rsid w:val="00B941C8"/>
    <w:rsid w:val="00B94C30"/>
    <w:rsid w:val="00B94D96"/>
    <w:rsid w:val="00B94EE3"/>
    <w:rsid w:val="00B95378"/>
    <w:rsid w:val="00B9578D"/>
    <w:rsid w:val="00B95A80"/>
    <w:rsid w:val="00B95ACE"/>
    <w:rsid w:val="00B95CB0"/>
    <w:rsid w:val="00B96D32"/>
    <w:rsid w:val="00B96F00"/>
    <w:rsid w:val="00B970FA"/>
    <w:rsid w:val="00B9721B"/>
    <w:rsid w:val="00B97404"/>
    <w:rsid w:val="00B97690"/>
    <w:rsid w:val="00B9784C"/>
    <w:rsid w:val="00B979FD"/>
    <w:rsid w:val="00B97B7F"/>
    <w:rsid w:val="00BA07A9"/>
    <w:rsid w:val="00BA0B62"/>
    <w:rsid w:val="00BA165E"/>
    <w:rsid w:val="00BA186B"/>
    <w:rsid w:val="00BA19AA"/>
    <w:rsid w:val="00BA1AFA"/>
    <w:rsid w:val="00BA2108"/>
    <w:rsid w:val="00BA22EF"/>
    <w:rsid w:val="00BA26DF"/>
    <w:rsid w:val="00BA2885"/>
    <w:rsid w:val="00BA2987"/>
    <w:rsid w:val="00BA2DBD"/>
    <w:rsid w:val="00BA36EB"/>
    <w:rsid w:val="00BA370C"/>
    <w:rsid w:val="00BA3749"/>
    <w:rsid w:val="00BA3801"/>
    <w:rsid w:val="00BA3864"/>
    <w:rsid w:val="00BA409A"/>
    <w:rsid w:val="00BA43D9"/>
    <w:rsid w:val="00BA49E3"/>
    <w:rsid w:val="00BA52CF"/>
    <w:rsid w:val="00BA52E6"/>
    <w:rsid w:val="00BA5C1C"/>
    <w:rsid w:val="00BA62C6"/>
    <w:rsid w:val="00BA64E5"/>
    <w:rsid w:val="00BA71AC"/>
    <w:rsid w:val="00BA7237"/>
    <w:rsid w:val="00BA74FD"/>
    <w:rsid w:val="00BA774D"/>
    <w:rsid w:val="00BA7AA3"/>
    <w:rsid w:val="00BA7AEE"/>
    <w:rsid w:val="00BA7C66"/>
    <w:rsid w:val="00BA7E1F"/>
    <w:rsid w:val="00BA7E70"/>
    <w:rsid w:val="00BB0A09"/>
    <w:rsid w:val="00BB109F"/>
    <w:rsid w:val="00BB10FE"/>
    <w:rsid w:val="00BB14E8"/>
    <w:rsid w:val="00BB1774"/>
    <w:rsid w:val="00BB238F"/>
    <w:rsid w:val="00BB25B4"/>
    <w:rsid w:val="00BB2E8D"/>
    <w:rsid w:val="00BB32B8"/>
    <w:rsid w:val="00BB4B42"/>
    <w:rsid w:val="00BB4CB9"/>
    <w:rsid w:val="00BB4FAE"/>
    <w:rsid w:val="00BB4FEA"/>
    <w:rsid w:val="00BB55CE"/>
    <w:rsid w:val="00BB5863"/>
    <w:rsid w:val="00BB58D6"/>
    <w:rsid w:val="00BB58E1"/>
    <w:rsid w:val="00BB60CF"/>
    <w:rsid w:val="00BB6510"/>
    <w:rsid w:val="00BB663D"/>
    <w:rsid w:val="00BB674D"/>
    <w:rsid w:val="00BB6B35"/>
    <w:rsid w:val="00BB77CE"/>
    <w:rsid w:val="00BB78E1"/>
    <w:rsid w:val="00BB7DD2"/>
    <w:rsid w:val="00BB7FEB"/>
    <w:rsid w:val="00BC01EB"/>
    <w:rsid w:val="00BC0535"/>
    <w:rsid w:val="00BC05FB"/>
    <w:rsid w:val="00BC0725"/>
    <w:rsid w:val="00BC0756"/>
    <w:rsid w:val="00BC08C9"/>
    <w:rsid w:val="00BC0B0B"/>
    <w:rsid w:val="00BC0F46"/>
    <w:rsid w:val="00BC1076"/>
    <w:rsid w:val="00BC1446"/>
    <w:rsid w:val="00BC1FAE"/>
    <w:rsid w:val="00BC1FB0"/>
    <w:rsid w:val="00BC1FB1"/>
    <w:rsid w:val="00BC213D"/>
    <w:rsid w:val="00BC26BE"/>
    <w:rsid w:val="00BC27B4"/>
    <w:rsid w:val="00BC2977"/>
    <w:rsid w:val="00BC34CC"/>
    <w:rsid w:val="00BC3768"/>
    <w:rsid w:val="00BC378C"/>
    <w:rsid w:val="00BC3929"/>
    <w:rsid w:val="00BC4330"/>
    <w:rsid w:val="00BC443F"/>
    <w:rsid w:val="00BC4BBB"/>
    <w:rsid w:val="00BC4CEC"/>
    <w:rsid w:val="00BC4D1E"/>
    <w:rsid w:val="00BC5155"/>
    <w:rsid w:val="00BC517D"/>
    <w:rsid w:val="00BC5691"/>
    <w:rsid w:val="00BC6039"/>
    <w:rsid w:val="00BC61E3"/>
    <w:rsid w:val="00BC6453"/>
    <w:rsid w:val="00BC6775"/>
    <w:rsid w:val="00BC6903"/>
    <w:rsid w:val="00BC6AE2"/>
    <w:rsid w:val="00BC6B6B"/>
    <w:rsid w:val="00BC70A9"/>
    <w:rsid w:val="00BC70C5"/>
    <w:rsid w:val="00BC73B4"/>
    <w:rsid w:val="00BC76F5"/>
    <w:rsid w:val="00BC7CB0"/>
    <w:rsid w:val="00BD01CF"/>
    <w:rsid w:val="00BD07EE"/>
    <w:rsid w:val="00BD08DF"/>
    <w:rsid w:val="00BD0AE4"/>
    <w:rsid w:val="00BD0C00"/>
    <w:rsid w:val="00BD1214"/>
    <w:rsid w:val="00BD1812"/>
    <w:rsid w:val="00BD1CAD"/>
    <w:rsid w:val="00BD1DB1"/>
    <w:rsid w:val="00BD1E8C"/>
    <w:rsid w:val="00BD2189"/>
    <w:rsid w:val="00BD245C"/>
    <w:rsid w:val="00BD2583"/>
    <w:rsid w:val="00BD31A6"/>
    <w:rsid w:val="00BD3AF9"/>
    <w:rsid w:val="00BD3CE8"/>
    <w:rsid w:val="00BD3D1A"/>
    <w:rsid w:val="00BD40B3"/>
    <w:rsid w:val="00BD44F9"/>
    <w:rsid w:val="00BD4B47"/>
    <w:rsid w:val="00BD5552"/>
    <w:rsid w:val="00BD5EB2"/>
    <w:rsid w:val="00BD5F14"/>
    <w:rsid w:val="00BD621E"/>
    <w:rsid w:val="00BD6982"/>
    <w:rsid w:val="00BD6A53"/>
    <w:rsid w:val="00BD6B41"/>
    <w:rsid w:val="00BD6D1F"/>
    <w:rsid w:val="00BD71D3"/>
    <w:rsid w:val="00BD737C"/>
    <w:rsid w:val="00BD7711"/>
    <w:rsid w:val="00BD77A5"/>
    <w:rsid w:val="00BE0062"/>
    <w:rsid w:val="00BE0303"/>
    <w:rsid w:val="00BE03EB"/>
    <w:rsid w:val="00BE08AB"/>
    <w:rsid w:val="00BE0A77"/>
    <w:rsid w:val="00BE0E47"/>
    <w:rsid w:val="00BE0E93"/>
    <w:rsid w:val="00BE0EA7"/>
    <w:rsid w:val="00BE0EB4"/>
    <w:rsid w:val="00BE0EFA"/>
    <w:rsid w:val="00BE1C23"/>
    <w:rsid w:val="00BE2098"/>
    <w:rsid w:val="00BE2118"/>
    <w:rsid w:val="00BE27D0"/>
    <w:rsid w:val="00BE2A7F"/>
    <w:rsid w:val="00BE2CED"/>
    <w:rsid w:val="00BE2EE7"/>
    <w:rsid w:val="00BE362B"/>
    <w:rsid w:val="00BE36D2"/>
    <w:rsid w:val="00BE3EA4"/>
    <w:rsid w:val="00BE3F65"/>
    <w:rsid w:val="00BE4239"/>
    <w:rsid w:val="00BE42DD"/>
    <w:rsid w:val="00BE43C4"/>
    <w:rsid w:val="00BE4880"/>
    <w:rsid w:val="00BE48B4"/>
    <w:rsid w:val="00BE49E7"/>
    <w:rsid w:val="00BE4AC7"/>
    <w:rsid w:val="00BE4EA1"/>
    <w:rsid w:val="00BE5359"/>
    <w:rsid w:val="00BE53AF"/>
    <w:rsid w:val="00BE5BB7"/>
    <w:rsid w:val="00BE628B"/>
    <w:rsid w:val="00BE6E5F"/>
    <w:rsid w:val="00BE7788"/>
    <w:rsid w:val="00BE7AB1"/>
    <w:rsid w:val="00BE7BAE"/>
    <w:rsid w:val="00BF0184"/>
    <w:rsid w:val="00BF06EE"/>
    <w:rsid w:val="00BF071E"/>
    <w:rsid w:val="00BF0B6B"/>
    <w:rsid w:val="00BF0C13"/>
    <w:rsid w:val="00BF0F03"/>
    <w:rsid w:val="00BF1237"/>
    <w:rsid w:val="00BF1325"/>
    <w:rsid w:val="00BF1350"/>
    <w:rsid w:val="00BF1803"/>
    <w:rsid w:val="00BF1930"/>
    <w:rsid w:val="00BF1AD9"/>
    <w:rsid w:val="00BF1ED9"/>
    <w:rsid w:val="00BF23E6"/>
    <w:rsid w:val="00BF2636"/>
    <w:rsid w:val="00BF2C6F"/>
    <w:rsid w:val="00BF2EE9"/>
    <w:rsid w:val="00BF350C"/>
    <w:rsid w:val="00BF381D"/>
    <w:rsid w:val="00BF3BF3"/>
    <w:rsid w:val="00BF3CAD"/>
    <w:rsid w:val="00BF56F3"/>
    <w:rsid w:val="00BF57FB"/>
    <w:rsid w:val="00BF58D7"/>
    <w:rsid w:val="00BF5DBB"/>
    <w:rsid w:val="00BF5FD6"/>
    <w:rsid w:val="00BF68C1"/>
    <w:rsid w:val="00BF6F38"/>
    <w:rsid w:val="00BF73E5"/>
    <w:rsid w:val="00BF74E2"/>
    <w:rsid w:val="00BF75A9"/>
    <w:rsid w:val="00BF7D82"/>
    <w:rsid w:val="00C001FA"/>
    <w:rsid w:val="00C00335"/>
    <w:rsid w:val="00C00553"/>
    <w:rsid w:val="00C00E8A"/>
    <w:rsid w:val="00C0103F"/>
    <w:rsid w:val="00C01327"/>
    <w:rsid w:val="00C01469"/>
    <w:rsid w:val="00C015A0"/>
    <w:rsid w:val="00C01729"/>
    <w:rsid w:val="00C018EF"/>
    <w:rsid w:val="00C01B55"/>
    <w:rsid w:val="00C01D24"/>
    <w:rsid w:val="00C025C9"/>
    <w:rsid w:val="00C02731"/>
    <w:rsid w:val="00C030EB"/>
    <w:rsid w:val="00C038C8"/>
    <w:rsid w:val="00C03B0F"/>
    <w:rsid w:val="00C03EBA"/>
    <w:rsid w:val="00C03FF4"/>
    <w:rsid w:val="00C0435F"/>
    <w:rsid w:val="00C04596"/>
    <w:rsid w:val="00C0468B"/>
    <w:rsid w:val="00C04902"/>
    <w:rsid w:val="00C04B67"/>
    <w:rsid w:val="00C04C3E"/>
    <w:rsid w:val="00C04C8C"/>
    <w:rsid w:val="00C05A8A"/>
    <w:rsid w:val="00C05D96"/>
    <w:rsid w:val="00C05E76"/>
    <w:rsid w:val="00C05E84"/>
    <w:rsid w:val="00C062A6"/>
    <w:rsid w:val="00C06578"/>
    <w:rsid w:val="00C067E9"/>
    <w:rsid w:val="00C06AF1"/>
    <w:rsid w:val="00C06BC8"/>
    <w:rsid w:val="00C07243"/>
    <w:rsid w:val="00C073BF"/>
    <w:rsid w:val="00C07637"/>
    <w:rsid w:val="00C07AEC"/>
    <w:rsid w:val="00C07C1F"/>
    <w:rsid w:val="00C07F73"/>
    <w:rsid w:val="00C07F8D"/>
    <w:rsid w:val="00C10849"/>
    <w:rsid w:val="00C10A95"/>
    <w:rsid w:val="00C10CBC"/>
    <w:rsid w:val="00C10F3B"/>
    <w:rsid w:val="00C11013"/>
    <w:rsid w:val="00C112C1"/>
    <w:rsid w:val="00C11433"/>
    <w:rsid w:val="00C115C4"/>
    <w:rsid w:val="00C11637"/>
    <w:rsid w:val="00C116AA"/>
    <w:rsid w:val="00C11B9B"/>
    <w:rsid w:val="00C11FD7"/>
    <w:rsid w:val="00C121AA"/>
    <w:rsid w:val="00C123F0"/>
    <w:rsid w:val="00C1242E"/>
    <w:rsid w:val="00C12490"/>
    <w:rsid w:val="00C126AE"/>
    <w:rsid w:val="00C13364"/>
    <w:rsid w:val="00C13BFF"/>
    <w:rsid w:val="00C13C96"/>
    <w:rsid w:val="00C14009"/>
    <w:rsid w:val="00C142BC"/>
    <w:rsid w:val="00C1430D"/>
    <w:rsid w:val="00C143B0"/>
    <w:rsid w:val="00C14408"/>
    <w:rsid w:val="00C144AB"/>
    <w:rsid w:val="00C14726"/>
    <w:rsid w:val="00C14BAC"/>
    <w:rsid w:val="00C1551B"/>
    <w:rsid w:val="00C15522"/>
    <w:rsid w:val="00C15558"/>
    <w:rsid w:val="00C15688"/>
    <w:rsid w:val="00C15690"/>
    <w:rsid w:val="00C15BF0"/>
    <w:rsid w:val="00C15EDF"/>
    <w:rsid w:val="00C1612A"/>
    <w:rsid w:val="00C1619A"/>
    <w:rsid w:val="00C1645D"/>
    <w:rsid w:val="00C164AE"/>
    <w:rsid w:val="00C167E7"/>
    <w:rsid w:val="00C16860"/>
    <w:rsid w:val="00C168D5"/>
    <w:rsid w:val="00C16912"/>
    <w:rsid w:val="00C169C8"/>
    <w:rsid w:val="00C16A61"/>
    <w:rsid w:val="00C1751B"/>
    <w:rsid w:val="00C176FF"/>
    <w:rsid w:val="00C1776D"/>
    <w:rsid w:val="00C17BD0"/>
    <w:rsid w:val="00C2007E"/>
    <w:rsid w:val="00C206EC"/>
    <w:rsid w:val="00C2084A"/>
    <w:rsid w:val="00C211CA"/>
    <w:rsid w:val="00C21706"/>
    <w:rsid w:val="00C21A92"/>
    <w:rsid w:val="00C2210D"/>
    <w:rsid w:val="00C2244F"/>
    <w:rsid w:val="00C224E2"/>
    <w:rsid w:val="00C22504"/>
    <w:rsid w:val="00C225DF"/>
    <w:rsid w:val="00C22811"/>
    <w:rsid w:val="00C2290B"/>
    <w:rsid w:val="00C229A8"/>
    <w:rsid w:val="00C22B0B"/>
    <w:rsid w:val="00C22DAA"/>
    <w:rsid w:val="00C23763"/>
    <w:rsid w:val="00C23812"/>
    <w:rsid w:val="00C23C63"/>
    <w:rsid w:val="00C23D43"/>
    <w:rsid w:val="00C23E07"/>
    <w:rsid w:val="00C23E45"/>
    <w:rsid w:val="00C2430D"/>
    <w:rsid w:val="00C2493A"/>
    <w:rsid w:val="00C251F3"/>
    <w:rsid w:val="00C25A85"/>
    <w:rsid w:val="00C25C3B"/>
    <w:rsid w:val="00C260E0"/>
    <w:rsid w:val="00C260EB"/>
    <w:rsid w:val="00C265C1"/>
    <w:rsid w:val="00C265E2"/>
    <w:rsid w:val="00C266B1"/>
    <w:rsid w:val="00C268FC"/>
    <w:rsid w:val="00C275E1"/>
    <w:rsid w:val="00C27993"/>
    <w:rsid w:val="00C27A46"/>
    <w:rsid w:val="00C27CA4"/>
    <w:rsid w:val="00C3012D"/>
    <w:rsid w:val="00C302F9"/>
    <w:rsid w:val="00C303D6"/>
    <w:rsid w:val="00C306E7"/>
    <w:rsid w:val="00C30BE8"/>
    <w:rsid w:val="00C30D9D"/>
    <w:rsid w:val="00C31028"/>
    <w:rsid w:val="00C312F9"/>
    <w:rsid w:val="00C317A5"/>
    <w:rsid w:val="00C318F2"/>
    <w:rsid w:val="00C31F2E"/>
    <w:rsid w:val="00C31FB9"/>
    <w:rsid w:val="00C3261B"/>
    <w:rsid w:val="00C32F54"/>
    <w:rsid w:val="00C32F59"/>
    <w:rsid w:val="00C33128"/>
    <w:rsid w:val="00C33639"/>
    <w:rsid w:val="00C33834"/>
    <w:rsid w:val="00C3403F"/>
    <w:rsid w:val="00C3419A"/>
    <w:rsid w:val="00C344C1"/>
    <w:rsid w:val="00C34A85"/>
    <w:rsid w:val="00C34B7F"/>
    <w:rsid w:val="00C34F03"/>
    <w:rsid w:val="00C34FE0"/>
    <w:rsid w:val="00C352C7"/>
    <w:rsid w:val="00C36136"/>
    <w:rsid w:val="00C3633D"/>
    <w:rsid w:val="00C36649"/>
    <w:rsid w:val="00C36738"/>
    <w:rsid w:val="00C36914"/>
    <w:rsid w:val="00C371C4"/>
    <w:rsid w:val="00C37ACF"/>
    <w:rsid w:val="00C37BCE"/>
    <w:rsid w:val="00C37BF7"/>
    <w:rsid w:val="00C40168"/>
    <w:rsid w:val="00C40592"/>
    <w:rsid w:val="00C40BB8"/>
    <w:rsid w:val="00C40CBF"/>
    <w:rsid w:val="00C40F84"/>
    <w:rsid w:val="00C4124A"/>
    <w:rsid w:val="00C41AC9"/>
    <w:rsid w:val="00C41EAC"/>
    <w:rsid w:val="00C4220A"/>
    <w:rsid w:val="00C424F9"/>
    <w:rsid w:val="00C42527"/>
    <w:rsid w:val="00C426FC"/>
    <w:rsid w:val="00C428A2"/>
    <w:rsid w:val="00C42987"/>
    <w:rsid w:val="00C42AD0"/>
    <w:rsid w:val="00C42C65"/>
    <w:rsid w:val="00C43184"/>
    <w:rsid w:val="00C436F4"/>
    <w:rsid w:val="00C43F8F"/>
    <w:rsid w:val="00C4492B"/>
    <w:rsid w:val="00C44CF7"/>
    <w:rsid w:val="00C453A3"/>
    <w:rsid w:val="00C46213"/>
    <w:rsid w:val="00C463C2"/>
    <w:rsid w:val="00C465B6"/>
    <w:rsid w:val="00C46645"/>
    <w:rsid w:val="00C467E1"/>
    <w:rsid w:val="00C468C1"/>
    <w:rsid w:val="00C469CE"/>
    <w:rsid w:val="00C472FF"/>
    <w:rsid w:val="00C4772B"/>
    <w:rsid w:val="00C478BD"/>
    <w:rsid w:val="00C50292"/>
    <w:rsid w:val="00C502DE"/>
    <w:rsid w:val="00C507F9"/>
    <w:rsid w:val="00C50C75"/>
    <w:rsid w:val="00C50D9F"/>
    <w:rsid w:val="00C51AB0"/>
    <w:rsid w:val="00C51FA4"/>
    <w:rsid w:val="00C520D9"/>
    <w:rsid w:val="00C52376"/>
    <w:rsid w:val="00C524A2"/>
    <w:rsid w:val="00C52BE0"/>
    <w:rsid w:val="00C530A3"/>
    <w:rsid w:val="00C53694"/>
    <w:rsid w:val="00C53C55"/>
    <w:rsid w:val="00C53F0B"/>
    <w:rsid w:val="00C53FA4"/>
    <w:rsid w:val="00C54563"/>
    <w:rsid w:val="00C549A0"/>
    <w:rsid w:val="00C54AC6"/>
    <w:rsid w:val="00C54BBC"/>
    <w:rsid w:val="00C54C2B"/>
    <w:rsid w:val="00C54E55"/>
    <w:rsid w:val="00C5539E"/>
    <w:rsid w:val="00C5571B"/>
    <w:rsid w:val="00C55AED"/>
    <w:rsid w:val="00C55B36"/>
    <w:rsid w:val="00C56563"/>
    <w:rsid w:val="00C56AE1"/>
    <w:rsid w:val="00C56AE7"/>
    <w:rsid w:val="00C57318"/>
    <w:rsid w:val="00C5765F"/>
    <w:rsid w:val="00C57682"/>
    <w:rsid w:val="00C576B2"/>
    <w:rsid w:val="00C57A51"/>
    <w:rsid w:val="00C57C3A"/>
    <w:rsid w:val="00C608D7"/>
    <w:rsid w:val="00C60D40"/>
    <w:rsid w:val="00C60DC8"/>
    <w:rsid w:val="00C61019"/>
    <w:rsid w:val="00C610E5"/>
    <w:rsid w:val="00C612D6"/>
    <w:rsid w:val="00C61567"/>
    <w:rsid w:val="00C61CBD"/>
    <w:rsid w:val="00C620CB"/>
    <w:rsid w:val="00C626E8"/>
    <w:rsid w:val="00C628AC"/>
    <w:rsid w:val="00C62A7C"/>
    <w:rsid w:val="00C632C0"/>
    <w:rsid w:val="00C63367"/>
    <w:rsid w:val="00C63822"/>
    <w:rsid w:val="00C639CC"/>
    <w:rsid w:val="00C63C2B"/>
    <w:rsid w:val="00C63DD1"/>
    <w:rsid w:val="00C642E8"/>
    <w:rsid w:val="00C6462F"/>
    <w:rsid w:val="00C648DE"/>
    <w:rsid w:val="00C64FCE"/>
    <w:rsid w:val="00C65129"/>
    <w:rsid w:val="00C65788"/>
    <w:rsid w:val="00C659F1"/>
    <w:rsid w:val="00C65B1E"/>
    <w:rsid w:val="00C65CDC"/>
    <w:rsid w:val="00C662D1"/>
    <w:rsid w:val="00C662E6"/>
    <w:rsid w:val="00C665EB"/>
    <w:rsid w:val="00C66A45"/>
    <w:rsid w:val="00C66B8E"/>
    <w:rsid w:val="00C671B5"/>
    <w:rsid w:val="00C67284"/>
    <w:rsid w:val="00C67483"/>
    <w:rsid w:val="00C67DB5"/>
    <w:rsid w:val="00C71658"/>
    <w:rsid w:val="00C7183A"/>
    <w:rsid w:val="00C7219A"/>
    <w:rsid w:val="00C72236"/>
    <w:rsid w:val="00C72448"/>
    <w:rsid w:val="00C72727"/>
    <w:rsid w:val="00C72819"/>
    <w:rsid w:val="00C72E07"/>
    <w:rsid w:val="00C73C93"/>
    <w:rsid w:val="00C740D3"/>
    <w:rsid w:val="00C74AA8"/>
    <w:rsid w:val="00C74F73"/>
    <w:rsid w:val="00C750EB"/>
    <w:rsid w:val="00C75CFC"/>
    <w:rsid w:val="00C75DA4"/>
    <w:rsid w:val="00C76115"/>
    <w:rsid w:val="00C76170"/>
    <w:rsid w:val="00C76AF4"/>
    <w:rsid w:val="00C76B79"/>
    <w:rsid w:val="00C77559"/>
    <w:rsid w:val="00C7763A"/>
    <w:rsid w:val="00C77BC7"/>
    <w:rsid w:val="00C77D65"/>
    <w:rsid w:val="00C77DB7"/>
    <w:rsid w:val="00C8016C"/>
    <w:rsid w:val="00C801A0"/>
    <w:rsid w:val="00C801EE"/>
    <w:rsid w:val="00C80E22"/>
    <w:rsid w:val="00C815EE"/>
    <w:rsid w:val="00C816DD"/>
    <w:rsid w:val="00C8171F"/>
    <w:rsid w:val="00C8224A"/>
    <w:rsid w:val="00C82AFF"/>
    <w:rsid w:val="00C82E1C"/>
    <w:rsid w:val="00C8381B"/>
    <w:rsid w:val="00C83C25"/>
    <w:rsid w:val="00C83D95"/>
    <w:rsid w:val="00C83FCB"/>
    <w:rsid w:val="00C8401A"/>
    <w:rsid w:val="00C84333"/>
    <w:rsid w:val="00C84ADC"/>
    <w:rsid w:val="00C84E5E"/>
    <w:rsid w:val="00C84EBD"/>
    <w:rsid w:val="00C8507C"/>
    <w:rsid w:val="00C85352"/>
    <w:rsid w:val="00C85A2C"/>
    <w:rsid w:val="00C85FC2"/>
    <w:rsid w:val="00C86424"/>
    <w:rsid w:val="00C864D4"/>
    <w:rsid w:val="00C865DB"/>
    <w:rsid w:val="00C86BC9"/>
    <w:rsid w:val="00C86DB6"/>
    <w:rsid w:val="00C86DD4"/>
    <w:rsid w:val="00C87596"/>
    <w:rsid w:val="00C87934"/>
    <w:rsid w:val="00C8794B"/>
    <w:rsid w:val="00C90FCD"/>
    <w:rsid w:val="00C91316"/>
    <w:rsid w:val="00C914DF"/>
    <w:rsid w:val="00C9189C"/>
    <w:rsid w:val="00C91990"/>
    <w:rsid w:val="00C91A59"/>
    <w:rsid w:val="00C91B72"/>
    <w:rsid w:val="00C91F55"/>
    <w:rsid w:val="00C92013"/>
    <w:rsid w:val="00C921CB"/>
    <w:rsid w:val="00C92660"/>
    <w:rsid w:val="00C92904"/>
    <w:rsid w:val="00C92AD9"/>
    <w:rsid w:val="00C9361F"/>
    <w:rsid w:val="00C9362F"/>
    <w:rsid w:val="00C93A95"/>
    <w:rsid w:val="00C93B55"/>
    <w:rsid w:val="00C93DBB"/>
    <w:rsid w:val="00C93FCD"/>
    <w:rsid w:val="00C941F9"/>
    <w:rsid w:val="00C94444"/>
    <w:rsid w:val="00C94DBB"/>
    <w:rsid w:val="00C952F3"/>
    <w:rsid w:val="00C95326"/>
    <w:rsid w:val="00C9566C"/>
    <w:rsid w:val="00C95CE8"/>
    <w:rsid w:val="00C95CFC"/>
    <w:rsid w:val="00C9608B"/>
    <w:rsid w:val="00C962CF"/>
    <w:rsid w:val="00C96389"/>
    <w:rsid w:val="00C96655"/>
    <w:rsid w:val="00C9708E"/>
    <w:rsid w:val="00C97E19"/>
    <w:rsid w:val="00CA0B97"/>
    <w:rsid w:val="00CA0D2F"/>
    <w:rsid w:val="00CA0ECD"/>
    <w:rsid w:val="00CA10DF"/>
    <w:rsid w:val="00CA1578"/>
    <w:rsid w:val="00CA1A8C"/>
    <w:rsid w:val="00CA1D91"/>
    <w:rsid w:val="00CA2077"/>
    <w:rsid w:val="00CA2431"/>
    <w:rsid w:val="00CA3142"/>
    <w:rsid w:val="00CA330D"/>
    <w:rsid w:val="00CA34B3"/>
    <w:rsid w:val="00CA3718"/>
    <w:rsid w:val="00CA3C92"/>
    <w:rsid w:val="00CA44B1"/>
    <w:rsid w:val="00CA4643"/>
    <w:rsid w:val="00CA4685"/>
    <w:rsid w:val="00CA46ED"/>
    <w:rsid w:val="00CA49EF"/>
    <w:rsid w:val="00CA49FB"/>
    <w:rsid w:val="00CA4B61"/>
    <w:rsid w:val="00CA4E17"/>
    <w:rsid w:val="00CA51EA"/>
    <w:rsid w:val="00CA5219"/>
    <w:rsid w:val="00CA529E"/>
    <w:rsid w:val="00CA561B"/>
    <w:rsid w:val="00CA5699"/>
    <w:rsid w:val="00CA5776"/>
    <w:rsid w:val="00CA5988"/>
    <w:rsid w:val="00CA60E5"/>
    <w:rsid w:val="00CA6164"/>
    <w:rsid w:val="00CA6906"/>
    <w:rsid w:val="00CA750C"/>
    <w:rsid w:val="00CA7C76"/>
    <w:rsid w:val="00CA7E51"/>
    <w:rsid w:val="00CB05E4"/>
    <w:rsid w:val="00CB0B73"/>
    <w:rsid w:val="00CB0BCC"/>
    <w:rsid w:val="00CB1077"/>
    <w:rsid w:val="00CB1224"/>
    <w:rsid w:val="00CB12CD"/>
    <w:rsid w:val="00CB1534"/>
    <w:rsid w:val="00CB159C"/>
    <w:rsid w:val="00CB1D37"/>
    <w:rsid w:val="00CB1EFF"/>
    <w:rsid w:val="00CB1FB7"/>
    <w:rsid w:val="00CB2383"/>
    <w:rsid w:val="00CB2576"/>
    <w:rsid w:val="00CB2648"/>
    <w:rsid w:val="00CB29F9"/>
    <w:rsid w:val="00CB2A3D"/>
    <w:rsid w:val="00CB309F"/>
    <w:rsid w:val="00CB31A3"/>
    <w:rsid w:val="00CB3E00"/>
    <w:rsid w:val="00CB3E4E"/>
    <w:rsid w:val="00CB4011"/>
    <w:rsid w:val="00CB4183"/>
    <w:rsid w:val="00CB4326"/>
    <w:rsid w:val="00CB43E6"/>
    <w:rsid w:val="00CB4441"/>
    <w:rsid w:val="00CB5004"/>
    <w:rsid w:val="00CB54D5"/>
    <w:rsid w:val="00CB5613"/>
    <w:rsid w:val="00CB5620"/>
    <w:rsid w:val="00CB567F"/>
    <w:rsid w:val="00CB5F8A"/>
    <w:rsid w:val="00CB64E0"/>
    <w:rsid w:val="00CB655F"/>
    <w:rsid w:val="00CB66A6"/>
    <w:rsid w:val="00CB6802"/>
    <w:rsid w:val="00CB6AE6"/>
    <w:rsid w:val="00CB6D80"/>
    <w:rsid w:val="00CB6DC5"/>
    <w:rsid w:val="00CB71FF"/>
    <w:rsid w:val="00CB75D4"/>
    <w:rsid w:val="00CB77FA"/>
    <w:rsid w:val="00CB7D88"/>
    <w:rsid w:val="00CC0016"/>
    <w:rsid w:val="00CC038C"/>
    <w:rsid w:val="00CC0D17"/>
    <w:rsid w:val="00CC0D1D"/>
    <w:rsid w:val="00CC0ED9"/>
    <w:rsid w:val="00CC0FEF"/>
    <w:rsid w:val="00CC13CC"/>
    <w:rsid w:val="00CC14A4"/>
    <w:rsid w:val="00CC2273"/>
    <w:rsid w:val="00CC274A"/>
    <w:rsid w:val="00CC2A21"/>
    <w:rsid w:val="00CC2CE5"/>
    <w:rsid w:val="00CC2E1C"/>
    <w:rsid w:val="00CC3D82"/>
    <w:rsid w:val="00CC418C"/>
    <w:rsid w:val="00CC4317"/>
    <w:rsid w:val="00CC4859"/>
    <w:rsid w:val="00CC4F46"/>
    <w:rsid w:val="00CC50AA"/>
    <w:rsid w:val="00CC5A11"/>
    <w:rsid w:val="00CC6188"/>
    <w:rsid w:val="00CC6344"/>
    <w:rsid w:val="00CC6430"/>
    <w:rsid w:val="00CC6CD0"/>
    <w:rsid w:val="00CC6D91"/>
    <w:rsid w:val="00CC72C3"/>
    <w:rsid w:val="00CC72FC"/>
    <w:rsid w:val="00CC7586"/>
    <w:rsid w:val="00CC7A55"/>
    <w:rsid w:val="00CC7DC2"/>
    <w:rsid w:val="00CC7F0E"/>
    <w:rsid w:val="00CC7F10"/>
    <w:rsid w:val="00CC7FDA"/>
    <w:rsid w:val="00CD0829"/>
    <w:rsid w:val="00CD0A95"/>
    <w:rsid w:val="00CD0CDF"/>
    <w:rsid w:val="00CD0DCF"/>
    <w:rsid w:val="00CD0F2C"/>
    <w:rsid w:val="00CD146A"/>
    <w:rsid w:val="00CD1731"/>
    <w:rsid w:val="00CD1758"/>
    <w:rsid w:val="00CD17B0"/>
    <w:rsid w:val="00CD1881"/>
    <w:rsid w:val="00CD1963"/>
    <w:rsid w:val="00CD1AA7"/>
    <w:rsid w:val="00CD1BB1"/>
    <w:rsid w:val="00CD20E8"/>
    <w:rsid w:val="00CD242F"/>
    <w:rsid w:val="00CD3D17"/>
    <w:rsid w:val="00CD4D47"/>
    <w:rsid w:val="00CD4DBA"/>
    <w:rsid w:val="00CD4EE2"/>
    <w:rsid w:val="00CD4EF8"/>
    <w:rsid w:val="00CD5013"/>
    <w:rsid w:val="00CD5267"/>
    <w:rsid w:val="00CD5290"/>
    <w:rsid w:val="00CD5387"/>
    <w:rsid w:val="00CD54F1"/>
    <w:rsid w:val="00CD56FA"/>
    <w:rsid w:val="00CD5E86"/>
    <w:rsid w:val="00CD6009"/>
    <w:rsid w:val="00CD60DD"/>
    <w:rsid w:val="00CD6930"/>
    <w:rsid w:val="00CD715B"/>
    <w:rsid w:val="00CD71EB"/>
    <w:rsid w:val="00CD72B3"/>
    <w:rsid w:val="00CD72D9"/>
    <w:rsid w:val="00CD779D"/>
    <w:rsid w:val="00CD79DB"/>
    <w:rsid w:val="00CD7B7C"/>
    <w:rsid w:val="00CE0089"/>
    <w:rsid w:val="00CE08BC"/>
    <w:rsid w:val="00CE0959"/>
    <w:rsid w:val="00CE09F0"/>
    <w:rsid w:val="00CE0B47"/>
    <w:rsid w:val="00CE1631"/>
    <w:rsid w:val="00CE1793"/>
    <w:rsid w:val="00CE1825"/>
    <w:rsid w:val="00CE1CD9"/>
    <w:rsid w:val="00CE1D30"/>
    <w:rsid w:val="00CE2236"/>
    <w:rsid w:val="00CE24DC"/>
    <w:rsid w:val="00CE267D"/>
    <w:rsid w:val="00CE29FB"/>
    <w:rsid w:val="00CE3422"/>
    <w:rsid w:val="00CE3729"/>
    <w:rsid w:val="00CE37AA"/>
    <w:rsid w:val="00CE3995"/>
    <w:rsid w:val="00CE3A7A"/>
    <w:rsid w:val="00CE3DFB"/>
    <w:rsid w:val="00CE4024"/>
    <w:rsid w:val="00CE4456"/>
    <w:rsid w:val="00CE45DA"/>
    <w:rsid w:val="00CE464C"/>
    <w:rsid w:val="00CE4BC3"/>
    <w:rsid w:val="00CE5B34"/>
    <w:rsid w:val="00CE5EC8"/>
    <w:rsid w:val="00CE6732"/>
    <w:rsid w:val="00CE6999"/>
    <w:rsid w:val="00CE6ED8"/>
    <w:rsid w:val="00CE70EC"/>
    <w:rsid w:val="00CE7127"/>
    <w:rsid w:val="00CE7260"/>
    <w:rsid w:val="00CE7312"/>
    <w:rsid w:val="00CE75C5"/>
    <w:rsid w:val="00CE774B"/>
    <w:rsid w:val="00CE77D9"/>
    <w:rsid w:val="00CE78CF"/>
    <w:rsid w:val="00CE7B4F"/>
    <w:rsid w:val="00CE7CB0"/>
    <w:rsid w:val="00CE7EA2"/>
    <w:rsid w:val="00CE7F25"/>
    <w:rsid w:val="00CF0211"/>
    <w:rsid w:val="00CF031A"/>
    <w:rsid w:val="00CF03A4"/>
    <w:rsid w:val="00CF0508"/>
    <w:rsid w:val="00CF060C"/>
    <w:rsid w:val="00CF0DA0"/>
    <w:rsid w:val="00CF13AB"/>
    <w:rsid w:val="00CF1DD1"/>
    <w:rsid w:val="00CF1F9B"/>
    <w:rsid w:val="00CF2367"/>
    <w:rsid w:val="00CF2744"/>
    <w:rsid w:val="00CF2796"/>
    <w:rsid w:val="00CF2891"/>
    <w:rsid w:val="00CF2C46"/>
    <w:rsid w:val="00CF3609"/>
    <w:rsid w:val="00CF3776"/>
    <w:rsid w:val="00CF3B1F"/>
    <w:rsid w:val="00CF3FA9"/>
    <w:rsid w:val="00CF48FC"/>
    <w:rsid w:val="00CF4B02"/>
    <w:rsid w:val="00CF50D4"/>
    <w:rsid w:val="00CF5150"/>
    <w:rsid w:val="00CF51A1"/>
    <w:rsid w:val="00CF5AB3"/>
    <w:rsid w:val="00CF5F38"/>
    <w:rsid w:val="00CF6B5B"/>
    <w:rsid w:val="00CF6B7D"/>
    <w:rsid w:val="00CF6D14"/>
    <w:rsid w:val="00CF6E54"/>
    <w:rsid w:val="00CF6E92"/>
    <w:rsid w:val="00CF6E96"/>
    <w:rsid w:val="00CF7263"/>
    <w:rsid w:val="00CF73AD"/>
    <w:rsid w:val="00CF76D9"/>
    <w:rsid w:val="00CF78A8"/>
    <w:rsid w:val="00CF7BDF"/>
    <w:rsid w:val="00CF7C5D"/>
    <w:rsid w:val="00CF7EF6"/>
    <w:rsid w:val="00D00241"/>
    <w:rsid w:val="00D00BDC"/>
    <w:rsid w:val="00D0141F"/>
    <w:rsid w:val="00D016B1"/>
    <w:rsid w:val="00D01C86"/>
    <w:rsid w:val="00D01E31"/>
    <w:rsid w:val="00D01E61"/>
    <w:rsid w:val="00D01F92"/>
    <w:rsid w:val="00D02041"/>
    <w:rsid w:val="00D026DE"/>
    <w:rsid w:val="00D02DAD"/>
    <w:rsid w:val="00D02EBA"/>
    <w:rsid w:val="00D02ED2"/>
    <w:rsid w:val="00D030FC"/>
    <w:rsid w:val="00D0382D"/>
    <w:rsid w:val="00D03832"/>
    <w:rsid w:val="00D03839"/>
    <w:rsid w:val="00D04075"/>
    <w:rsid w:val="00D0408A"/>
    <w:rsid w:val="00D040A3"/>
    <w:rsid w:val="00D040CE"/>
    <w:rsid w:val="00D043CE"/>
    <w:rsid w:val="00D0472D"/>
    <w:rsid w:val="00D0491B"/>
    <w:rsid w:val="00D04A3B"/>
    <w:rsid w:val="00D04A65"/>
    <w:rsid w:val="00D04AA4"/>
    <w:rsid w:val="00D05663"/>
    <w:rsid w:val="00D05787"/>
    <w:rsid w:val="00D0578D"/>
    <w:rsid w:val="00D05843"/>
    <w:rsid w:val="00D05AF8"/>
    <w:rsid w:val="00D05F85"/>
    <w:rsid w:val="00D05FB0"/>
    <w:rsid w:val="00D062F6"/>
    <w:rsid w:val="00D067AD"/>
    <w:rsid w:val="00D06AFB"/>
    <w:rsid w:val="00D0798A"/>
    <w:rsid w:val="00D079EE"/>
    <w:rsid w:val="00D07AF6"/>
    <w:rsid w:val="00D07CE2"/>
    <w:rsid w:val="00D07DB3"/>
    <w:rsid w:val="00D07EFD"/>
    <w:rsid w:val="00D10280"/>
    <w:rsid w:val="00D1048D"/>
    <w:rsid w:val="00D10787"/>
    <w:rsid w:val="00D107E4"/>
    <w:rsid w:val="00D10930"/>
    <w:rsid w:val="00D11440"/>
    <w:rsid w:val="00D11484"/>
    <w:rsid w:val="00D11D6B"/>
    <w:rsid w:val="00D11F80"/>
    <w:rsid w:val="00D1208C"/>
    <w:rsid w:val="00D12425"/>
    <w:rsid w:val="00D124DE"/>
    <w:rsid w:val="00D12648"/>
    <w:rsid w:val="00D12809"/>
    <w:rsid w:val="00D129E0"/>
    <w:rsid w:val="00D12FD1"/>
    <w:rsid w:val="00D1300B"/>
    <w:rsid w:val="00D1312D"/>
    <w:rsid w:val="00D1322C"/>
    <w:rsid w:val="00D13905"/>
    <w:rsid w:val="00D13A36"/>
    <w:rsid w:val="00D1454B"/>
    <w:rsid w:val="00D145D0"/>
    <w:rsid w:val="00D146BD"/>
    <w:rsid w:val="00D151AA"/>
    <w:rsid w:val="00D151AF"/>
    <w:rsid w:val="00D15E6D"/>
    <w:rsid w:val="00D165B7"/>
    <w:rsid w:val="00D168EB"/>
    <w:rsid w:val="00D16A7E"/>
    <w:rsid w:val="00D16B50"/>
    <w:rsid w:val="00D16BC4"/>
    <w:rsid w:val="00D172C3"/>
    <w:rsid w:val="00D17694"/>
    <w:rsid w:val="00D17A13"/>
    <w:rsid w:val="00D20024"/>
    <w:rsid w:val="00D20473"/>
    <w:rsid w:val="00D204DF"/>
    <w:rsid w:val="00D20750"/>
    <w:rsid w:val="00D21789"/>
    <w:rsid w:val="00D219C1"/>
    <w:rsid w:val="00D21D69"/>
    <w:rsid w:val="00D21EAE"/>
    <w:rsid w:val="00D2268B"/>
    <w:rsid w:val="00D22CC4"/>
    <w:rsid w:val="00D23203"/>
    <w:rsid w:val="00D23494"/>
    <w:rsid w:val="00D239C4"/>
    <w:rsid w:val="00D23C52"/>
    <w:rsid w:val="00D23E6B"/>
    <w:rsid w:val="00D23EFD"/>
    <w:rsid w:val="00D248B1"/>
    <w:rsid w:val="00D24C17"/>
    <w:rsid w:val="00D2566F"/>
    <w:rsid w:val="00D2573B"/>
    <w:rsid w:val="00D25A48"/>
    <w:rsid w:val="00D25CD5"/>
    <w:rsid w:val="00D25D1C"/>
    <w:rsid w:val="00D26042"/>
    <w:rsid w:val="00D260E4"/>
    <w:rsid w:val="00D26466"/>
    <w:rsid w:val="00D26720"/>
    <w:rsid w:val="00D26974"/>
    <w:rsid w:val="00D26BF0"/>
    <w:rsid w:val="00D27371"/>
    <w:rsid w:val="00D27396"/>
    <w:rsid w:val="00D276DD"/>
    <w:rsid w:val="00D279D5"/>
    <w:rsid w:val="00D27D04"/>
    <w:rsid w:val="00D301DC"/>
    <w:rsid w:val="00D30251"/>
    <w:rsid w:val="00D302AD"/>
    <w:rsid w:val="00D30342"/>
    <w:rsid w:val="00D30494"/>
    <w:rsid w:val="00D305CB"/>
    <w:rsid w:val="00D30990"/>
    <w:rsid w:val="00D30C77"/>
    <w:rsid w:val="00D30C92"/>
    <w:rsid w:val="00D30D83"/>
    <w:rsid w:val="00D3106C"/>
    <w:rsid w:val="00D31723"/>
    <w:rsid w:val="00D31751"/>
    <w:rsid w:val="00D3182B"/>
    <w:rsid w:val="00D32105"/>
    <w:rsid w:val="00D32427"/>
    <w:rsid w:val="00D324A6"/>
    <w:rsid w:val="00D32703"/>
    <w:rsid w:val="00D3275E"/>
    <w:rsid w:val="00D34248"/>
    <w:rsid w:val="00D3457E"/>
    <w:rsid w:val="00D34AD7"/>
    <w:rsid w:val="00D34B4E"/>
    <w:rsid w:val="00D34F4A"/>
    <w:rsid w:val="00D3535C"/>
    <w:rsid w:val="00D35432"/>
    <w:rsid w:val="00D359A6"/>
    <w:rsid w:val="00D36132"/>
    <w:rsid w:val="00D36DD1"/>
    <w:rsid w:val="00D36F3B"/>
    <w:rsid w:val="00D370B4"/>
    <w:rsid w:val="00D373DA"/>
    <w:rsid w:val="00D37F43"/>
    <w:rsid w:val="00D4042B"/>
    <w:rsid w:val="00D4043B"/>
    <w:rsid w:val="00D407E7"/>
    <w:rsid w:val="00D40840"/>
    <w:rsid w:val="00D411DB"/>
    <w:rsid w:val="00D41592"/>
    <w:rsid w:val="00D415B2"/>
    <w:rsid w:val="00D41608"/>
    <w:rsid w:val="00D4188B"/>
    <w:rsid w:val="00D41F58"/>
    <w:rsid w:val="00D4223C"/>
    <w:rsid w:val="00D42446"/>
    <w:rsid w:val="00D4269C"/>
    <w:rsid w:val="00D42A1B"/>
    <w:rsid w:val="00D42DB2"/>
    <w:rsid w:val="00D436C3"/>
    <w:rsid w:val="00D43A58"/>
    <w:rsid w:val="00D43CCF"/>
    <w:rsid w:val="00D43F23"/>
    <w:rsid w:val="00D43FF3"/>
    <w:rsid w:val="00D44677"/>
    <w:rsid w:val="00D449E9"/>
    <w:rsid w:val="00D44FDC"/>
    <w:rsid w:val="00D452DC"/>
    <w:rsid w:val="00D457EA"/>
    <w:rsid w:val="00D45A1D"/>
    <w:rsid w:val="00D45EB7"/>
    <w:rsid w:val="00D46246"/>
    <w:rsid w:val="00D46392"/>
    <w:rsid w:val="00D464AA"/>
    <w:rsid w:val="00D46523"/>
    <w:rsid w:val="00D4670D"/>
    <w:rsid w:val="00D46878"/>
    <w:rsid w:val="00D46E49"/>
    <w:rsid w:val="00D47021"/>
    <w:rsid w:val="00D47806"/>
    <w:rsid w:val="00D4789F"/>
    <w:rsid w:val="00D47A28"/>
    <w:rsid w:val="00D47AA6"/>
    <w:rsid w:val="00D47C58"/>
    <w:rsid w:val="00D50241"/>
    <w:rsid w:val="00D50921"/>
    <w:rsid w:val="00D50D6B"/>
    <w:rsid w:val="00D50D86"/>
    <w:rsid w:val="00D50F02"/>
    <w:rsid w:val="00D50FEE"/>
    <w:rsid w:val="00D5118F"/>
    <w:rsid w:val="00D51377"/>
    <w:rsid w:val="00D513B1"/>
    <w:rsid w:val="00D520AD"/>
    <w:rsid w:val="00D52197"/>
    <w:rsid w:val="00D524AB"/>
    <w:rsid w:val="00D52E08"/>
    <w:rsid w:val="00D535E2"/>
    <w:rsid w:val="00D538AC"/>
    <w:rsid w:val="00D53E3D"/>
    <w:rsid w:val="00D54489"/>
    <w:rsid w:val="00D545B0"/>
    <w:rsid w:val="00D54FA7"/>
    <w:rsid w:val="00D559E6"/>
    <w:rsid w:val="00D55B16"/>
    <w:rsid w:val="00D55B88"/>
    <w:rsid w:val="00D55BDE"/>
    <w:rsid w:val="00D55D4D"/>
    <w:rsid w:val="00D55F65"/>
    <w:rsid w:val="00D56490"/>
    <w:rsid w:val="00D56574"/>
    <w:rsid w:val="00D565C2"/>
    <w:rsid w:val="00D56CDA"/>
    <w:rsid w:val="00D5700F"/>
    <w:rsid w:val="00D570BF"/>
    <w:rsid w:val="00D57100"/>
    <w:rsid w:val="00D57A6C"/>
    <w:rsid w:val="00D57DD5"/>
    <w:rsid w:val="00D600C8"/>
    <w:rsid w:val="00D6010D"/>
    <w:rsid w:val="00D60157"/>
    <w:rsid w:val="00D60834"/>
    <w:rsid w:val="00D61274"/>
    <w:rsid w:val="00D619A3"/>
    <w:rsid w:val="00D61AE6"/>
    <w:rsid w:val="00D61B71"/>
    <w:rsid w:val="00D61BA0"/>
    <w:rsid w:val="00D61EF4"/>
    <w:rsid w:val="00D61F43"/>
    <w:rsid w:val="00D61F5B"/>
    <w:rsid w:val="00D62275"/>
    <w:rsid w:val="00D62427"/>
    <w:rsid w:val="00D625AE"/>
    <w:rsid w:val="00D62795"/>
    <w:rsid w:val="00D62DDA"/>
    <w:rsid w:val="00D6331B"/>
    <w:rsid w:val="00D63354"/>
    <w:rsid w:val="00D6359E"/>
    <w:rsid w:val="00D636BB"/>
    <w:rsid w:val="00D6371B"/>
    <w:rsid w:val="00D63862"/>
    <w:rsid w:val="00D63C53"/>
    <w:rsid w:val="00D63D97"/>
    <w:rsid w:val="00D64034"/>
    <w:rsid w:val="00D64327"/>
    <w:rsid w:val="00D643F8"/>
    <w:rsid w:val="00D64532"/>
    <w:rsid w:val="00D648AA"/>
    <w:rsid w:val="00D64FA7"/>
    <w:rsid w:val="00D6504C"/>
    <w:rsid w:val="00D65A16"/>
    <w:rsid w:val="00D65C89"/>
    <w:rsid w:val="00D660E8"/>
    <w:rsid w:val="00D6646A"/>
    <w:rsid w:val="00D665CA"/>
    <w:rsid w:val="00D66ABD"/>
    <w:rsid w:val="00D66EBE"/>
    <w:rsid w:val="00D6736B"/>
    <w:rsid w:val="00D674D3"/>
    <w:rsid w:val="00D67866"/>
    <w:rsid w:val="00D67B46"/>
    <w:rsid w:val="00D67BCD"/>
    <w:rsid w:val="00D67E21"/>
    <w:rsid w:val="00D708D5"/>
    <w:rsid w:val="00D70E8E"/>
    <w:rsid w:val="00D71270"/>
    <w:rsid w:val="00D71280"/>
    <w:rsid w:val="00D71753"/>
    <w:rsid w:val="00D718D2"/>
    <w:rsid w:val="00D71AFE"/>
    <w:rsid w:val="00D71F9A"/>
    <w:rsid w:val="00D72365"/>
    <w:rsid w:val="00D72608"/>
    <w:rsid w:val="00D72AB0"/>
    <w:rsid w:val="00D72F9C"/>
    <w:rsid w:val="00D7318B"/>
    <w:rsid w:val="00D737E9"/>
    <w:rsid w:val="00D73804"/>
    <w:rsid w:val="00D741A6"/>
    <w:rsid w:val="00D7450D"/>
    <w:rsid w:val="00D74DD3"/>
    <w:rsid w:val="00D74FF6"/>
    <w:rsid w:val="00D75226"/>
    <w:rsid w:val="00D75920"/>
    <w:rsid w:val="00D75A91"/>
    <w:rsid w:val="00D75D8D"/>
    <w:rsid w:val="00D75E99"/>
    <w:rsid w:val="00D760CE"/>
    <w:rsid w:val="00D76199"/>
    <w:rsid w:val="00D76629"/>
    <w:rsid w:val="00D76CA4"/>
    <w:rsid w:val="00D770BC"/>
    <w:rsid w:val="00D77367"/>
    <w:rsid w:val="00D777A2"/>
    <w:rsid w:val="00D80185"/>
    <w:rsid w:val="00D8028F"/>
    <w:rsid w:val="00D804D7"/>
    <w:rsid w:val="00D808C3"/>
    <w:rsid w:val="00D80F16"/>
    <w:rsid w:val="00D81348"/>
    <w:rsid w:val="00D81868"/>
    <w:rsid w:val="00D818BA"/>
    <w:rsid w:val="00D82293"/>
    <w:rsid w:val="00D82906"/>
    <w:rsid w:val="00D829CC"/>
    <w:rsid w:val="00D82A71"/>
    <w:rsid w:val="00D82E5C"/>
    <w:rsid w:val="00D82F8A"/>
    <w:rsid w:val="00D8335F"/>
    <w:rsid w:val="00D836E5"/>
    <w:rsid w:val="00D83893"/>
    <w:rsid w:val="00D83B13"/>
    <w:rsid w:val="00D83C07"/>
    <w:rsid w:val="00D84125"/>
    <w:rsid w:val="00D844CD"/>
    <w:rsid w:val="00D847CE"/>
    <w:rsid w:val="00D84AD8"/>
    <w:rsid w:val="00D84C1A"/>
    <w:rsid w:val="00D84C90"/>
    <w:rsid w:val="00D85475"/>
    <w:rsid w:val="00D855C5"/>
    <w:rsid w:val="00D8591B"/>
    <w:rsid w:val="00D85F1B"/>
    <w:rsid w:val="00D86556"/>
    <w:rsid w:val="00D8655A"/>
    <w:rsid w:val="00D86AB5"/>
    <w:rsid w:val="00D8710E"/>
    <w:rsid w:val="00D8784B"/>
    <w:rsid w:val="00D87DAF"/>
    <w:rsid w:val="00D87E6E"/>
    <w:rsid w:val="00D87EF9"/>
    <w:rsid w:val="00D904FF"/>
    <w:rsid w:val="00D9076F"/>
    <w:rsid w:val="00D909F5"/>
    <w:rsid w:val="00D90F61"/>
    <w:rsid w:val="00D912A4"/>
    <w:rsid w:val="00D91497"/>
    <w:rsid w:val="00D915AD"/>
    <w:rsid w:val="00D91AA4"/>
    <w:rsid w:val="00D9214A"/>
    <w:rsid w:val="00D9219C"/>
    <w:rsid w:val="00D92A78"/>
    <w:rsid w:val="00D92E59"/>
    <w:rsid w:val="00D92ED7"/>
    <w:rsid w:val="00D93138"/>
    <w:rsid w:val="00D935C5"/>
    <w:rsid w:val="00D93F4F"/>
    <w:rsid w:val="00D94498"/>
    <w:rsid w:val="00D94604"/>
    <w:rsid w:val="00D947A1"/>
    <w:rsid w:val="00D94C5A"/>
    <w:rsid w:val="00D94F19"/>
    <w:rsid w:val="00D95572"/>
    <w:rsid w:val="00D958FB"/>
    <w:rsid w:val="00D95FDF"/>
    <w:rsid w:val="00D960BE"/>
    <w:rsid w:val="00D962BB"/>
    <w:rsid w:val="00D9681C"/>
    <w:rsid w:val="00D96F65"/>
    <w:rsid w:val="00D97069"/>
    <w:rsid w:val="00D970E7"/>
    <w:rsid w:val="00D971B9"/>
    <w:rsid w:val="00D9782A"/>
    <w:rsid w:val="00D9789A"/>
    <w:rsid w:val="00D979CD"/>
    <w:rsid w:val="00D97A78"/>
    <w:rsid w:val="00D97CE4"/>
    <w:rsid w:val="00D97EEC"/>
    <w:rsid w:val="00DA00C4"/>
    <w:rsid w:val="00DA01DE"/>
    <w:rsid w:val="00DA02DF"/>
    <w:rsid w:val="00DA0484"/>
    <w:rsid w:val="00DA0528"/>
    <w:rsid w:val="00DA08AB"/>
    <w:rsid w:val="00DA0D15"/>
    <w:rsid w:val="00DA0D8E"/>
    <w:rsid w:val="00DA23E7"/>
    <w:rsid w:val="00DA25EF"/>
    <w:rsid w:val="00DA296C"/>
    <w:rsid w:val="00DA297F"/>
    <w:rsid w:val="00DA2A43"/>
    <w:rsid w:val="00DA2B16"/>
    <w:rsid w:val="00DA32D5"/>
    <w:rsid w:val="00DA33FC"/>
    <w:rsid w:val="00DA34F4"/>
    <w:rsid w:val="00DA38B2"/>
    <w:rsid w:val="00DA3CE1"/>
    <w:rsid w:val="00DA404C"/>
    <w:rsid w:val="00DA436F"/>
    <w:rsid w:val="00DA4465"/>
    <w:rsid w:val="00DA44DD"/>
    <w:rsid w:val="00DA4644"/>
    <w:rsid w:val="00DA48A1"/>
    <w:rsid w:val="00DA4A1B"/>
    <w:rsid w:val="00DA4F58"/>
    <w:rsid w:val="00DA5154"/>
    <w:rsid w:val="00DA562F"/>
    <w:rsid w:val="00DA573B"/>
    <w:rsid w:val="00DA5B9E"/>
    <w:rsid w:val="00DA5D54"/>
    <w:rsid w:val="00DA60D2"/>
    <w:rsid w:val="00DA613E"/>
    <w:rsid w:val="00DA680A"/>
    <w:rsid w:val="00DA69AF"/>
    <w:rsid w:val="00DA6C96"/>
    <w:rsid w:val="00DA6E0E"/>
    <w:rsid w:val="00DA7055"/>
    <w:rsid w:val="00DA73D4"/>
    <w:rsid w:val="00DA76C2"/>
    <w:rsid w:val="00DA7760"/>
    <w:rsid w:val="00DA7876"/>
    <w:rsid w:val="00DA7A6B"/>
    <w:rsid w:val="00DA7C8F"/>
    <w:rsid w:val="00DA7CD4"/>
    <w:rsid w:val="00DA7D05"/>
    <w:rsid w:val="00DB04AA"/>
    <w:rsid w:val="00DB05DF"/>
    <w:rsid w:val="00DB0786"/>
    <w:rsid w:val="00DB0A64"/>
    <w:rsid w:val="00DB0AE8"/>
    <w:rsid w:val="00DB10AD"/>
    <w:rsid w:val="00DB15D9"/>
    <w:rsid w:val="00DB1A01"/>
    <w:rsid w:val="00DB1B5C"/>
    <w:rsid w:val="00DB1FB4"/>
    <w:rsid w:val="00DB2207"/>
    <w:rsid w:val="00DB2799"/>
    <w:rsid w:val="00DB282A"/>
    <w:rsid w:val="00DB2933"/>
    <w:rsid w:val="00DB2D38"/>
    <w:rsid w:val="00DB32C2"/>
    <w:rsid w:val="00DB3418"/>
    <w:rsid w:val="00DB3EDD"/>
    <w:rsid w:val="00DB3F28"/>
    <w:rsid w:val="00DB4467"/>
    <w:rsid w:val="00DB4518"/>
    <w:rsid w:val="00DB468F"/>
    <w:rsid w:val="00DB4AFD"/>
    <w:rsid w:val="00DB4B14"/>
    <w:rsid w:val="00DB4C09"/>
    <w:rsid w:val="00DB4DBA"/>
    <w:rsid w:val="00DB4E53"/>
    <w:rsid w:val="00DB501C"/>
    <w:rsid w:val="00DB5365"/>
    <w:rsid w:val="00DB53BC"/>
    <w:rsid w:val="00DB570A"/>
    <w:rsid w:val="00DB5A30"/>
    <w:rsid w:val="00DB5B00"/>
    <w:rsid w:val="00DB64AC"/>
    <w:rsid w:val="00DB668D"/>
    <w:rsid w:val="00DB694F"/>
    <w:rsid w:val="00DB69F5"/>
    <w:rsid w:val="00DB6E2B"/>
    <w:rsid w:val="00DB6ECF"/>
    <w:rsid w:val="00DB726B"/>
    <w:rsid w:val="00DB747E"/>
    <w:rsid w:val="00DB74A4"/>
    <w:rsid w:val="00DB7B5F"/>
    <w:rsid w:val="00DB7D87"/>
    <w:rsid w:val="00DC04BD"/>
    <w:rsid w:val="00DC060A"/>
    <w:rsid w:val="00DC072F"/>
    <w:rsid w:val="00DC0B89"/>
    <w:rsid w:val="00DC133A"/>
    <w:rsid w:val="00DC20CD"/>
    <w:rsid w:val="00DC263F"/>
    <w:rsid w:val="00DC26E8"/>
    <w:rsid w:val="00DC2BD0"/>
    <w:rsid w:val="00DC2CED"/>
    <w:rsid w:val="00DC305E"/>
    <w:rsid w:val="00DC39BF"/>
    <w:rsid w:val="00DC3A83"/>
    <w:rsid w:val="00DC3D9F"/>
    <w:rsid w:val="00DC3F2A"/>
    <w:rsid w:val="00DC41FA"/>
    <w:rsid w:val="00DC4468"/>
    <w:rsid w:val="00DC4947"/>
    <w:rsid w:val="00DC4B84"/>
    <w:rsid w:val="00DC530D"/>
    <w:rsid w:val="00DC53C1"/>
    <w:rsid w:val="00DC54AC"/>
    <w:rsid w:val="00DC5EDE"/>
    <w:rsid w:val="00DC6080"/>
    <w:rsid w:val="00DC6252"/>
    <w:rsid w:val="00DC66CC"/>
    <w:rsid w:val="00DC680C"/>
    <w:rsid w:val="00DC68CA"/>
    <w:rsid w:val="00DC6CCD"/>
    <w:rsid w:val="00DC70A5"/>
    <w:rsid w:val="00DC71DE"/>
    <w:rsid w:val="00DC7231"/>
    <w:rsid w:val="00DC7235"/>
    <w:rsid w:val="00DC7313"/>
    <w:rsid w:val="00DC7424"/>
    <w:rsid w:val="00DC7613"/>
    <w:rsid w:val="00DC7AE6"/>
    <w:rsid w:val="00DC7C55"/>
    <w:rsid w:val="00DC7CC4"/>
    <w:rsid w:val="00DD0297"/>
    <w:rsid w:val="00DD02C4"/>
    <w:rsid w:val="00DD069B"/>
    <w:rsid w:val="00DD07ED"/>
    <w:rsid w:val="00DD0946"/>
    <w:rsid w:val="00DD12E6"/>
    <w:rsid w:val="00DD132F"/>
    <w:rsid w:val="00DD16AC"/>
    <w:rsid w:val="00DD1863"/>
    <w:rsid w:val="00DD1A74"/>
    <w:rsid w:val="00DD1D5B"/>
    <w:rsid w:val="00DD2252"/>
    <w:rsid w:val="00DD24FE"/>
    <w:rsid w:val="00DD251C"/>
    <w:rsid w:val="00DD2C48"/>
    <w:rsid w:val="00DD2F69"/>
    <w:rsid w:val="00DD324F"/>
    <w:rsid w:val="00DD39D7"/>
    <w:rsid w:val="00DD3B9C"/>
    <w:rsid w:val="00DD45B8"/>
    <w:rsid w:val="00DD4F3E"/>
    <w:rsid w:val="00DD534D"/>
    <w:rsid w:val="00DD5763"/>
    <w:rsid w:val="00DD58A3"/>
    <w:rsid w:val="00DD596F"/>
    <w:rsid w:val="00DD5F86"/>
    <w:rsid w:val="00DD6070"/>
    <w:rsid w:val="00DD6281"/>
    <w:rsid w:val="00DD658C"/>
    <w:rsid w:val="00DD6666"/>
    <w:rsid w:val="00DD6733"/>
    <w:rsid w:val="00DD699E"/>
    <w:rsid w:val="00DD6AC4"/>
    <w:rsid w:val="00DD72A9"/>
    <w:rsid w:val="00DD74B6"/>
    <w:rsid w:val="00DD74FE"/>
    <w:rsid w:val="00DD789A"/>
    <w:rsid w:val="00DD7AE4"/>
    <w:rsid w:val="00DD7B75"/>
    <w:rsid w:val="00DE00E5"/>
    <w:rsid w:val="00DE00F0"/>
    <w:rsid w:val="00DE05E5"/>
    <w:rsid w:val="00DE0B8B"/>
    <w:rsid w:val="00DE0C3C"/>
    <w:rsid w:val="00DE11A6"/>
    <w:rsid w:val="00DE18A9"/>
    <w:rsid w:val="00DE1AA4"/>
    <w:rsid w:val="00DE1B7A"/>
    <w:rsid w:val="00DE2038"/>
    <w:rsid w:val="00DE2729"/>
    <w:rsid w:val="00DE2C58"/>
    <w:rsid w:val="00DE2E01"/>
    <w:rsid w:val="00DE2EA9"/>
    <w:rsid w:val="00DE3174"/>
    <w:rsid w:val="00DE3509"/>
    <w:rsid w:val="00DE3908"/>
    <w:rsid w:val="00DE3CC0"/>
    <w:rsid w:val="00DE3D61"/>
    <w:rsid w:val="00DE41F3"/>
    <w:rsid w:val="00DE42F4"/>
    <w:rsid w:val="00DE4371"/>
    <w:rsid w:val="00DE445A"/>
    <w:rsid w:val="00DE4495"/>
    <w:rsid w:val="00DE481F"/>
    <w:rsid w:val="00DE4E02"/>
    <w:rsid w:val="00DE503C"/>
    <w:rsid w:val="00DE50B9"/>
    <w:rsid w:val="00DE5159"/>
    <w:rsid w:val="00DE536A"/>
    <w:rsid w:val="00DE5487"/>
    <w:rsid w:val="00DE5571"/>
    <w:rsid w:val="00DE561B"/>
    <w:rsid w:val="00DE5627"/>
    <w:rsid w:val="00DE570D"/>
    <w:rsid w:val="00DE57CC"/>
    <w:rsid w:val="00DE6389"/>
    <w:rsid w:val="00DE6E05"/>
    <w:rsid w:val="00DE71FF"/>
    <w:rsid w:val="00DE725F"/>
    <w:rsid w:val="00DE743D"/>
    <w:rsid w:val="00DE7455"/>
    <w:rsid w:val="00DE74C2"/>
    <w:rsid w:val="00DE76F9"/>
    <w:rsid w:val="00DE793C"/>
    <w:rsid w:val="00DE7E68"/>
    <w:rsid w:val="00DE7EC9"/>
    <w:rsid w:val="00DE7F9F"/>
    <w:rsid w:val="00DF0036"/>
    <w:rsid w:val="00DF02F2"/>
    <w:rsid w:val="00DF08B8"/>
    <w:rsid w:val="00DF0F7B"/>
    <w:rsid w:val="00DF1280"/>
    <w:rsid w:val="00DF1511"/>
    <w:rsid w:val="00DF15BA"/>
    <w:rsid w:val="00DF19E3"/>
    <w:rsid w:val="00DF1C5D"/>
    <w:rsid w:val="00DF20E3"/>
    <w:rsid w:val="00DF2173"/>
    <w:rsid w:val="00DF21D8"/>
    <w:rsid w:val="00DF280D"/>
    <w:rsid w:val="00DF291A"/>
    <w:rsid w:val="00DF33CF"/>
    <w:rsid w:val="00DF3A2F"/>
    <w:rsid w:val="00DF3EF9"/>
    <w:rsid w:val="00DF4302"/>
    <w:rsid w:val="00DF46AA"/>
    <w:rsid w:val="00DF4D77"/>
    <w:rsid w:val="00DF5333"/>
    <w:rsid w:val="00DF53B9"/>
    <w:rsid w:val="00DF5816"/>
    <w:rsid w:val="00DF5F0E"/>
    <w:rsid w:val="00DF617F"/>
    <w:rsid w:val="00DF643B"/>
    <w:rsid w:val="00DF65F1"/>
    <w:rsid w:val="00DF67EB"/>
    <w:rsid w:val="00DF6AA5"/>
    <w:rsid w:val="00DF6C31"/>
    <w:rsid w:val="00DF6D9C"/>
    <w:rsid w:val="00DF6DE3"/>
    <w:rsid w:val="00DF6DE9"/>
    <w:rsid w:val="00DF7A1F"/>
    <w:rsid w:val="00DF7A7D"/>
    <w:rsid w:val="00DF7BD2"/>
    <w:rsid w:val="00DF7CDE"/>
    <w:rsid w:val="00E001EE"/>
    <w:rsid w:val="00E003E8"/>
    <w:rsid w:val="00E00427"/>
    <w:rsid w:val="00E00454"/>
    <w:rsid w:val="00E00621"/>
    <w:rsid w:val="00E006B7"/>
    <w:rsid w:val="00E00FBC"/>
    <w:rsid w:val="00E01679"/>
    <w:rsid w:val="00E01994"/>
    <w:rsid w:val="00E01B95"/>
    <w:rsid w:val="00E02627"/>
    <w:rsid w:val="00E027EC"/>
    <w:rsid w:val="00E02FF4"/>
    <w:rsid w:val="00E03346"/>
    <w:rsid w:val="00E034C4"/>
    <w:rsid w:val="00E035FE"/>
    <w:rsid w:val="00E038C9"/>
    <w:rsid w:val="00E03BD5"/>
    <w:rsid w:val="00E03EC5"/>
    <w:rsid w:val="00E042EA"/>
    <w:rsid w:val="00E043C4"/>
    <w:rsid w:val="00E0448B"/>
    <w:rsid w:val="00E04DF8"/>
    <w:rsid w:val="00E0504C"/>
    <w:rsid w:val="00E05541"/>
    <w:rsid w:val="00E05847"/>
    <w:rsid w:val="00E059F4"/>
    <w:rsid w:val="00E05B70"/>
    <w:rsid w:val="00E05EDF"/>
    <w:rsid w:val="00E05F1A"/>
    <w:rsid w:val="00E06155"/>
    <w:rsid w:val="00E062D5"/>
    <w:rsid w:val="00E063C5"/>
    <w:rsid w:val="00E06476"/>
    <w:rsid w:val="00E0672B"/>
    <w:rsid w:val="00E067D9"/>
    <w:rsid w:val="00E06810"/>
    <w:rsid w:val="00E06AE6"/>
    <w:rsid w:val="00E06E8E"/>
    <w:rsid w:val="00E0776E"/>
    <w:rsid w:val="00E07895"/>
    <w:rsid w:val="00E07C31"/>
    <w:rsid w:val="00E07CBD"/>
    <w:rsid w:val="00E07F3E"/>
    <w:rsid w:val="00E10503"/>
    <w:rsid w:val="00E11397"/>
    <w:rsid w:val="00E113EA"/>
    <w:rsid w:val="00E113F8"/>
    <w:rsid w:val="00E11611"/>
    <w:rsid w:val="00E117C1"/>
    <w:rsid w:val="00E11834"/>
    <w:rsid w:val="00E12193"/>
    <w:rsid w:val="00E1229D"/>
    <w:rsid w:val="00E123AC"/>
    <w:rsid w:val="00E12478"/>
    <w:rsid w:val="00E12986"/>
    <w:rsid w:val="00E12DCA"/>
    <w:rsid w:val="00E13BEE"/>
    <w:rsid w:val="00E13DD7"/>
    <w:rsid w:val="00E13E01"/>
    <w:rsid w:val="00E13E6B"/>
    <w:rsid w:val="00E14487"/>
    <w:rsid w:val="00E1456D"/>
    <w:rsid w:val="00E14DB7"/>
    <w:rsid w:val="00E1576E"/>
    <w:rsid w:val="00E157DA"/>
    <w:rsid w:val="00E159DB"/>
    <w:rsid w:val="00E15C1E"/>
    <w:rsid w:val="00E15D0F"/>
    <w:rsid w:val="00E167CA"/>
    <w:rsid w:val="00E1683E"/>
    <w:rsid w:val="00E16B65"/>
    <w:rsid w:val="00E16DB2"/>
    <w:rsid w:val="00E16F1B"/>
    <w:rsid w:val="00E17317"/>
    <w:rsid w:val="00E17839"/>
    <w:rsid w:val="00E17B4A"/>
    <w:rsid w:val="00E201E1"/>
    <w:rsid w:val="00E20594"/>
    <w:rsid w:val="00E207B4"/>
    <w:rsid w:val="00E21743"/>
    <w:rsid w:val="00E217EC"/>
    <w:rsid w:val="00E2199D"/>
    <w:rsid w:val="00E21D04"/>
    <w:rsid w:val="00E228F9"/>
    <w:rsid w:val="00E22A4F"/>
    <w:rsid w:val="00E23D3F"/>
    <w:rsid w:val="00E24680"/>
    <w:rsid w:val="00E246E6"/>
    <w:rsid w:val="00E2487B"/>
    <w:rsid w:val="00E249C9"/>
    <w:rsid w:val="00E24E36"/>
    <w:rsid w:val="00E24EF9"/>
    <w:rsid w:val="00E24FB9"/>
    <w:rsid w:val="00E256B6"/>
    <w:rsid w:val="00E25A70"/>
    <w:rsid w:val="00E25CCC"/>
    <w:rsid w:val="00E25D77"/>
    <w:rsid w:val="00E25F4C"/>
    <w:rsid w:val="00E25F7C"/>
    <w:rsid w:val="00E26425"/>
    <w:rsid w:val="00E265C3"/>
    <w:rsid w:val="00E266C9"/>
    <w:rsid w:val="00E26775"/>
    <w:rsid w:val="00E267BB"/>
    <w:rsid w:val="00E26D65"/>
    <w:rsid w:val="00E26E8F"/>
    <w:rsid w:val="00E271E8"/>
    <w:rsid w:val="00E27726"/>
    <w:rsid w:val="00E27846"/>
    <w:rsid w:val="00E27D46"/>
    <w:rsid w:val="00E30141"/>
    <w:rsid w:val="00E3029D"/>
    <w:rsid w:val="00E304AC"/>
    <w:rsid w:val="00E3064C"/>
    <w:rsid w:val="00E30724"/>
    <w:rsid w:val="00E311B4"/>
    <w:rsid w:val="00E31345"/>
    <w:rsid w:val="00E3138E"/>
    <w:rsid w:val="00E315D1"/>
    <w:rsid w:val="00E316E6"/>
    <w:rsid w:val="00E31A45"/>
    <w:rsid w:val="00E31E6C"/>
    <w:rsid w:val="00E31E7A"/>
    <w:rsid w:val="00E31ED5"/>
    <w:rsid w:val="00E31F41"/>
    <w:rsid w:val="00E32230"/>
    <w:rsid w:val="00E32AE9"/>
    <w:rsid w:val="00E32B17"/>
    <w:rsid w:val="00E33B33"/>
    <w:rsid w:val="00E33C0D"/>
    <w:rsid w:val="00E33F2B"/>
    <w:rsid w:val="00E34332"/>
    <w:rsid w:val="00E34EAC"/>
    <w:rsid w:val="00E35104"/>
    <w:rsid w:val="00E3517F"/>
    <w:rsid w:val="00E3520B"/>
    <w:rsid w:val="00E35A96"/>
    <w:rsid w:val="00E35ADD"/>
    <w:rsid w:val="00E35AF0"/>
    <w:rsid w:val="00E35BF5"/>
    <w:rsid w:val="00E35F13"/>
    <w:rsid w:val="00E3637C"/>
    <w:rsid w:val="00E36906"/>
    <w:rsid w:val="00E36BA0"/>
    <w:rsid w:val="00E36ED4"/>
    <w:rsid w:val="00E37484"/>
    <w:rsid w:val="00E37805"/>
    <w:rsid w:val="00E40084"/>
    <w:rsid w:val="00E40117"/>
    <w:rsid w:val="00E401D0"/>
    <w:rsid w:val="00E40352"/>
    <w:rsid w:val="00E405C5"/>
    <w:rsid w:val="00E40A4C"/>
    <w:rsid w:val="00E40AD0"/>
    <w:rsid w:val="00E40EDE"/>
    <w:rsid w:val="00E413C5"/>
    <w:rsid w:val="00E413F4"/>
    <w:rsid w:val="00E4157B"/>
    <w:rsid w:val="00E41755"/>
    <w:rsid w:val="00E41BC1"/>
    <w:rsid w:val="00E424B4"/>
    <w:rsid w:val="00E42E2F"/>
    <w:rsid w:val="00E42F46"/>
    <w:rsid w:val="00E42FF3"/>
    <w:rsid w:val="00E42FF6"/>
    <w:rsid w:val="00E43064"/>
    <w:rsid w:val="00E43463"/>
    <w:rsid w:val="00E436D5"/>
    <w:rsid w:val="00E43716"/>
    <w:rsid w:val="00E4386E"/>
    <w:rsid w:val="00E438EF"/>
    <w:rsid w:val="00E4397F"/>
    <w:rsid w:val="00E43D95"/>
    <w:rsid w:val="00E43F8E"/>
    <w:rsid w:val="00E445E0"/>
    <w:rsid w:val="00E45576"/>
    <w:rsid w:val="00E456CA"/>
    <w:rsid w:val="00E4599C"/>
    <w:rsid w:val="00E45CB2"/>
    <w:rsid w:val="00E460EB"/>
    <w:rsid w:val="00E46853"/>
    <w:rsid w:val="00E4691B"/>
    <w:rsid w:val="00E46A42"/>
    <w:rsid w:val="00E46FF3"/>
    <w:rsid w:val="00E4778B"/>
    <w:rsid w:val="00E47949"/>
    <w:rsid w:val="00E47F44"/>
    <w:rsid w:val="00E5001C"/>
    <w:rsid w:val="00E504D8"/>
    <w:rsid w:val="00E505A4"/>
    <w:rsid w:val="00E50BBD"/>
    <w:rsid w:val="00E50F4E"/>
    <w:rsid w:val="00E512C4"/>
    <w:rsid w:val="00E514C7"/>
    <w:rsid w:val="00E51B5F"/>
    <w:rsid w:val="00E522AD"/>
    <w:rsid w:val="00E52456"/>
    <w:rsid w:val="00E52BC8"/>
    <w:rsid w:val="00E52E8B"/>
    <w:rsid w:val="00E53275"/>
    <w:rsid w:val="00E535DE"/>
    <w:rsid w:val="00E53966"/>
    <w:rsid w:val="00E53B2C"/>
    <w:rsid w:val="00E53B36"/>
    <w:rsid w:val="00E53BFE"/>
    <w:rsid w:val="00E53D13"/>
    <w:rsid w:val="00E53EE4"/>
    <w:rsid w:val="00E5413E"/>
    <w:rsid w:val="00E54386"/>
    <w:rsid w:val="00E54977"/>
    <w:rsid w:val="00E54E7A"/>
    <w:rsid w:val="00E551E1"/>
    <w:rsid w:val="00E55412"/>
    <w:rsid w:val="00E559B5"/>
    <w:rsid w:val="00E55C94"/>
    <w:rsid w:val="00E55FEE"/>
    <w:rsid w:val="00E561F7"/>
    <w:rsid w:val="00E56213"/>
    <w:rsid w:val="00E567E3"/>
    <w:rsid w:val="00E568DE"/>
    <w:rsid w:val="00E5692E"/>
    <w:rsid w:val="00E571AF"/>
    <w:rsid w:val="00E57422"/>
    <w:rsid w:val="00E579CD"/>
    <w:rsid w:val="00E57AFC"/>
    <w:rsid w:val="00E57D40"/>
    <w:rsid w:val="00E60088"/>
    <w:rsid w:val="00E6027B"/>
    <w:rsid w:val="00E6039B"/>
    <w:rsid w:val="00E607C3"/>
    <w:rsid w:val="00E60B37"/>
    <w:rsid w:val="00E60C87"/>
    <w:rsid w:val="00E6108A"/>
    <w:rsid w:val="00E610AF"/>
    <w:rsid w:val="00E61192"/>
    <w:rsid w:val="00E61277"/>
    <w:rsid w:val="00E61F02"/>
    <w:rsid w:val="00E62131"/>
    <w:rsid w:val="00E62146"/>
    <w:rsid w:val="00E6226A"/>
    <w:rsid w:val="00E62D46"/>
    <w:rsid w:val="00E62D49"/>
    <w:rsid w:val="00E62F1F"/>
    <w:rsid w:val="00E63437"/>
    <w:rsid w:val="00E63557"/>
    <w:rsid w:val="00E63641"/>
    <w:rsid w:val="00E63A9D"/>
    <w:rsid w:val="00E63C02"/>
    <w:rsid w:val="00E642B6"/>
    <w:rsid w:val="00E644CD"/>
    <w:rsid w:val="00E6454F"/>
    <w:rsid w:val="00E64925"/>
    <w:rsid w:val="00E64FCE"/>
    <w:rsid w:val="00E65367"/>
    <w:rsid w:val="00E6538F"/>
    <w:rsid w:val="00E65F01"/>
    <w:rsid w:val="00E66CC7"/>
    <w:rsid w:val="00E66FE1"/>
    <w:rsid w:val="00E6725D"/>
    <w:rsid w:val="00E674B2"/>
    <w:rsid w:val="00E67A72"/>
    <w:rsid w:val="00E67D9B"/>
    <w:rsid w:val="00E67EDC"/>
    <w:rsid w:val="00E70079"/>
    <w:rsid w:val="00E70605"/>
    <w:rsid w:val="00E706E4"/>
    <w:rsid w:val="00E709BD"/>
    <w:rsid w:val="00E70BF1"/>
    <w:rsid w:val="00E70CFF"/>
    <w:rsid w:val="00E70E2E"/>
    <w:rsid w:val="00E7113F"/>
    <w:rsid w:val="00E71A42"/>
    <w:rsid w:val="00E71B78"/>
    <w:rsid w:val="00E71C77"/>
    <w:rsid w:val="00E71F02"/>
    <w:rsid w:val="00E71FB0"/>
    <w:rsid w:val="00E72928"/>
    <w:rsid w:val="00E731E8"/>
    <w:rsid w:val="00E73600"/>
    <w:rsid w:val="00E74C39"/>
    <w:rsid w:val="00E75958"/>
    <w:rsid w:val="00E75FD1"/>
    <w:rsid w:val="00E76100"/>
    <w:rsid w:val="00E763D7"/>
    <w:rsid w:val="00E7675A"/>
    <w:rsid w:val="00E767D8"/>
    <w:rsid w:val="00E76DA4"/>
    <w:rsid w:val="00E77129"/>
    <w:rsid w:val="00E772DA"/>
    <w:rsid w:val="00E77558"/>
    <w:rsid w:val="00E77D3B"/>
    <w:rsid w:val="00E77E63"/>
    <w:rsid w:val="00E77EC8"/>
    <w:rsid w:val="00E80921"/>
    <w:rsid w:val="00E80B77"/>
    <w:rsid w:val="00E80D5B"/>
    <w:rsid w:val="00E8162A"/>
    <w:rsid w:val="00E816ED"/>
    <w:rsid w:val="00E81865"/>
    <w:rsid w:val="00E81A55"/>
    <w:rsid w:val="00E81AD5"/>
    <w:rsid w:val="00E82637"/>
    <w:rsid w:val="00E82DDC"/>
    <w:rsid w:val="00E8335F"/>
    <w:rsid w:val="00E83427"/>
    <w:rsid w:val="00E834F6"/>
    <w:rsid w:val="00E84116"/>
    <w:rsid w:val="00E84677"/>
    <w:rsid w:val="00E84A6B"/>
    <w:rsid w:val="00E84A8C"/>
    <w:rsid w:val="00E8509E"/>
    <w:rsid w:val="00E85406"/>
    <w:rsid w:val="00E85742"/>
    <w:rsid w:val="00E857F7"/>
    <w:rsid w:val="00E8583F"/>
    <w:rsid w:val="00E85F67"/>
    <w:rsid w:val="00E85FAE"/>
    <w:rsid w:val="00E86491"/>
    <w:rsid w:val="00E867CE"/>
    <w:rsid w:val="00E86FEE"/>
    <w:rsid w:val="00E870A6"/>
    <w:rsid w:val="00E87271"/>
    <w:rsid w:val="00E87296"/>
    <w:rsid w:val="00E8740F"/>
    <w:rsid w:val="00E879D3"/>
    <w:rsid w:val="00E90A4D"/>
    <w:rsid w:val="00E91346"/>
    <w:rsid w:val="00E9149A"/>
    <w:rsid w:val="00E914D2"/>
    <w:rsid w:val="00E91A74"/>
    <w:rsid w:val="00E91FE9"/>
    <w:rsid w:val="00E92202"/>
    <w:rsid w:val="00E92349"/>
    <w:rsid w:val="00E927DE"/>
    <w:rsid w:val="00E927FA"/>
    <w:rsid w:val="00E92C1B"/>
    <w:rsid w:val="00E93688"/>
    <w:rsid w:val="00E93B2F"/>
    <w:rsid w:val="00E93FD5"/>
    <w:rsid w:val="00E940A7"/>
    <w:rsid w:val="00E942D9"/>
    <w:rsid w:val="00E942FB"/>
    <w:rsid w:val="00E9438E"/>
    <w:rsid w:val="00E94C5D"/>
    <w:rsid w:val="00E95037"/>
    <w:rsid w:val="00E950F3"/>
    <w:rsid w:val="00E95B3A"/>
    <w:rsid w:val="00E95F42"/>
    <w:rsid w:val="00E9629E"/>
    <w:rsid w:val="00E96562"/>
    <w:rsid w:val="00E965F3"/>
    <w:rsid w:val="00E97339"/>
    <w:rsid w:val="00E97715"/>
    <w:rsid w:val="00E97ECD"/>
    <w:rsid w:val="00EA0009"/>
    <w:rsid w:val="00EA0C9B"/>
    <w:rsid w:val="00EA0E0D"/>
    <w:rsid w:val="00EA17AF"/>
    <w:rsid w:val="00EA2487"/>
    <w:rsid w:val="00EA2592"/>
    <w:rsid w:val="00EA27EE"/>
    <w:rsid w:val="00EA2A42"/>
    <w:rsid w:val="00EA2E38"/>
    <w:rsid w:val="00EA2F24"/>
    <w:rsid w:val="00EA2F9B"/>
    <w:rsid w:val="00EA300A"/>
    <w:rsid w:val="00EA323C"/>
    <w:rsid w:val="00EA3336"/>
    <w:rsid w:val="00EA34F6"/>
    <w:rsid w:val="00EA350F"/>
    <w:rsid w:val="00EA3712"/>
    <w:rsid w:val="00EA3F6B"/>
    <w:rsid w:val="00EA4319"/>
    <w:rsid w:val="00EA469F"/>
    <w:rsid w:val="00EA4C8E"/>
    <w:rsid w:val="00EA525D"/>
    <w:rsid w:val="00EA5516"/>
    <w:rsid w:val="00EA597F"/>
    <w:rsid w:val="00EA5BA3"/>
    <w:rsid w:val="00EA607B"/>
    <w:rsid w:val="00EA6470"/>
    <w:rsid w:val="00EA6812"/>
    <w:rsid w:val="00EA6B44"/>
    <w:rsid w:val="00EA6B9F"/>
    <w:rsid w:val="00EA738F"/>
    <w:rsid w:val="00EA7C77"/>
    <w:rsid w:val="00EA7D43"/>
    <w:rsid w:val="00EB03C7"/>
    <w:rsid w:val="00EB0D25"/>
    <w:rsid w:val="00EB0D8A"/>
    <w:rsid w:val="00EB1715"/>
    <w:rsid w:val="00EB1894"/>
    <w:rsid w:val="00EB1B6B"/>
    <w:rsid w:val="00EB2164"/>
    <w:rsid w:val="00EB223E"/>
    <w:rsid w:val="00EB2681"/>
    <w:rsid w:val="00EB299B"/>
    <w:rsid w:val="00EB2BF8"/>
    <w:rsid w:val="00EB2CCF"/>
    <w:rsid w:val="00EB31BB"/>
    <w:rsid w:val="00EB4016"/>
    <w:rsid w:val="00EB43E9"/>
    <w:rsid w:val="00EB4FD6"/>
    <w:rsid w:val="00EB52A1"/>
    <w:rsid w:val="00EB5543"/>
    <w:rsid w:val="00EB5691"/>
    <w:rsid w:val="00EB623E"/>
    <w:rsid w:val="00EB6623"/>
    <w:rsid w:val="00EB67F9"/>
    <w:rsid w:val="00EB6948"/>
    <w:rsid w:val="00EB6C24"/>
    <w:rsid w:val="00EB718B"/>
    <w:rsid w:val="00EB72BE"/>
    <w:rsid w:val="00EB73E2"/>
    <w:rsid w:val="00EB73ED"/>
    <w:rsid w:val="00EB74D2"/>
    <w:rsid w:val="00EB74F3"/>
    <w:rsid w:val="00EB7734"/>
    <w:rsid w:val="00EB79DA"/>
    <w:rsid w:val="00EB7FF7"/>
    <w:rsid w:val="00EC0052"/>
    <w:rsid w:val="00EC0106"/>
    <w:rsid w:val="00EC050F"/>
    <w:rsid w:val="00EC061D"/>
    <w:rsid w:val="00EC0940"/>
    <w:rsid w:val="00EC09DA"/>
    <w:rsid w:val="00EC0C5F"/>
    <w:rsid w:val="00EC0DA0"/>
    <w:rsid w:val="00EC0ED1"/>
    <w:rsid w:val="00EC1199"/>
    <w:rsid w:val="00EC12D9"/>
    <w:rsid w:val="00EC1F12"/>
    <w:rsid w:val="00EC2038"/>
    <w:rsid w:val="00EC2905"/>
    <w:rsid w:val="00EC2A93"/>
    <w:rsid w:val="00EC2B51"/>
    <w:rsid w:val="00EC2C07"/>
    <w:rsid w:val="00EC2D1A"/>
    <w:rsid w:val="00EC3372"/>
    <w:rsid w:val="00EC3763"/>
    <w:rsid w:val="00EC37C9"/>
    <w:rsid w:val="00EC3BEC"/>
    <w:rsid w:val="00EC3C3F"/>
    <w:rsid w:val="00EC3FA9"/>
    <w:rsid w:val="00EC4209"/>
    <w:rsid w:val="00EC5085"/>
    <w:rsid w:val="00EC556E"/>
    <w:rsid w:val="00EC5F66"/>
    <w:rsid w:val="00EC60A3"/>
    <w:rsid w:val="00EC6124"/>
    <w:rsid w:val="00EC61B6"/>
    <w:rsid w:val="00EC61BE"/>
    <w:rsid w:val="00EC644B"/>
    <w:rsid w:val="00EC67E6"/>
    <w:rsid w:val="00EC6927"/>
    <w:rsid w:val="00EC6AC2"/>
    <w:rsid w:val="00EC6E5A"/>
    <w:rsid w:val="00EC7002"/>
    <w:rsid w:val="00EC70AB"/>
    <w:rsid w:val="00EC7443"/>
    <w:rsid w:val="00EC747D"/>
    <w:rsid w:val="00EC77B9"/>
    <w:rsid w:val="00EC7F74"/>
    <w:rsid w:val="00ED02C5"/>
    <w:rsid w:val="00ED04D5"/>
    <w:rsid w:val="00ED05F2"/>
    <w:rsid w:val="00ED0F11"/>
    <w:rsid w:val="00ED1450"/>
    <w:rsid w:val="00ED158D"/>
    <w:rsid w:val="00ED194B"/>
    <w:rsid w:val="00ED19F5"/>
    <w:rsid w:val="00ED1C56"/>
    <w:rsid w:val="00ED1CCD"/>
    <w:rsid w:val="00ED1E1E"/>
    <w:rsid w:val="00ED2D91"/>
    <w:rsid w:val="00ED2E49"/>
    <w:rsid w:val="00ED30D6"/>
    <w:rsid w:val="00ED322D"/>
    <w:rsid w:val="00ED3AFD"/>
    <w:rsid w:val="00ED3E99"/>
    <w:rsid w:val="00ED43F5"/>
    <w:rsid w:val="00ED50BA"/>
    <w:rsid w:val="00ED52EC"/>
    <w:rsid w:val="00ED5507"/>
    <w:rsid w:val="00ED56D8"/>
    <w:rsid w:val="00ED5988"/>
    <w:rsid w:val="00ED625D"/>
    <w:rsid w:val="00ED65F9"/>
    <w:rsid w:val="00ED67C8"/>
    <w:rsid w:val="00ED69D6"/>
    <w:rsid w:val="00ED6BC8"/>
    <w:rsid w:val="00ED778E"/>
    <w:rsid w:val="00ED789F"/>
    <w:rsid w:val="00ED7DF1"/>
    <w:rsid w:val="00EE026E"/>
    <w:rsid w:val="00EE05D0"/>
    <w:rsid w:val="00EE0BBF"/>
    <w:rsid w:val="00EE0D5A"/>
    <w:rsid w:val="00EE0F68"/>
    <w:rsid w:val="00EE1331"/>
    <w:rsid w:val="00EE1358"/>
    <w:rsid w:val="00EE165A"/>
    <w:rsid w:val="00EE2248"/>
    <w:rsid w:val="00EE29A9"/>
    <w:rsid w:val="00EE2B42"/>
    <w:rsid w:val="00EE2EB6"/>
    <w:rsid w:val="00EE367E"/>
    <w:rsid w:val="00EE397F"/>
    <w:rsid w:val="00EE3E1D"/>
    <w:rsid w:val="00EE3E3C"/>
    <w:rsid w:val="00EE402D"/>
    <w:rsid w:val="00EE4517"/>
    <w:rsid w:val="00EE45EE"/>
    <w:rsid w:val="00EE4697"/>
    <w:rsid w:val="00EE4C6B"/>
    <w:rsid w:val="00EE50F8"/>
    <w:rsid w:val="00EE56F4"/>
    <w:rsid w:val="00EE5848"/>
    <w:rsid w:val="00EE59A1"/>
    <w:rsid w:val="00EE5CDA"/>
    <w:rsid w:val="00EE5DFD"/>
    <w:rsid w:val="00EE5EA8"/>
    <w:rsid w:val="00EE5FC6"/>
    <w:rsid w:val="00EE63D2"/>
    <w:rsid w:val="00EE6630"/>
    <w:rsid w:val="00EE6945"/>
    <w:rsid w:val="00EE69F6"/>
    <w:rsid w:val="00EE7351"/>
    <w:rsid w:val="00EE738B"/>
    <w:rsid w:val="00EE788C"/>
    <w:rsid w:val="00EE7A3E"/>
    <w:rsid w:val="00EE7AC3"/>
    <w:rsid w:val="00EE7D50"/>
    <w:rsid w:val="00EF0517"/>
    <w:rsid w:val="00EF060F"/>
    <w:rsid w:val="00EF0682"/>
    <w:rsid w:val="00EF0716"/>
    <w:rsid w:val="00EF0801"/>
    <w:rsid w:val="00EF0A22"/>
    <w:rsid w:val="00EF0B8C"/>
    <w:rsid w:val="00EF0D7D"/>
    <w:rsid w:val="00EF171D"/>
    <w:rsid w:val="00EF18A4"/>
    <w:rsid w:val="00EF18E5"/>
    <w:rsid w:val="00EF2EA5"/>
    <w:rsid w:val="00EF3002"/>
    <w:rsid w:val="00EF30AF"/>
    <w:rsid w:val="00EF4391"/>
    <w:rsid w:val="00EF453C"/>
    <w:rsid w:val="00EF4CEE"/>
    <w:rsid w:val="00EF4DA8"/>
    <w:rsid w:val="00EF4F1E"/>
    <w:rsid w:val="00EF51FA"/>
    <w:rsid w:val="00EF56EA"/>
    <w:rsid w:val="00EF5B5D"/>
    <w:rsid w:val="00EF5EC6"/>
    <w:rsid w:val="00EF61CF"/>
    <w:rsid w:val="00EF6243"/>
    <w:rsid w:val="00EF67FC"/>
    <w:rsid w:val="00EF6E33"/>
    <w:rsid w:val="00EF7506"/>
    <w:rsid w:val="00EF775A"/>
    <w:rsid w:val="00EF7CF5"/>
    <w:rsid w:val="00F001F6"/>
    <w:rsid w:val="00F00262"/>
    <w:rsid w:val="00F003E4"/>
    <w:rsid w:val="00F0041D"/>
    <w:rsid w:val="00F004C2"/>
    <w:rsid w:val="00F00B4C"/>
    <w:rsid w:val="00F00C84"/>
    <w:rsid w:val="00F00F6E"/>
    <w:rsid w:val="00F010D0"/>
    <w:rsid w:val="00F0170B"/>
    <w:rsid w:val="00F01C24"/>
    <w:rsid w:val="00F0212C"/>
    <w:rsid w:val="00F024B3"/>
    <w:rsid w:val="00F02589"/>
    <w:rsid w:val="00F0258F"/>
    <w:rsid w:val="00F02681"/>
    <w:rsid w:val="00F026DB"/>
    <w:rsid w:val="00F02F07"/>
    <w:rsid w:val="00F031AA"/>
    <w:rsid w:val="00F03457"/>
    <w:rsid w:val="00F03799"/>
    <w:rsid w:val="00F03A58"/>
    <w:rsid w:val="00F03A67"/>
    <w:rsid w:val="00F04086"/>
    <w:rsid w:val="00F04AB9"/>
    <w:rsid w:val="00F04CF7"/>
    <w:rsid w:val="00F052D3"/>
    <w:rsid w:val="00F0563E"/>
    <w:rsid w:val="00F05C97"/>
    <w:rsid w:val="00F05E48"/>
    <w:rsid w:val="00F06461"/>
    <w:rsid w:val="00F06573"/>
    <w:rsid w:val="00F067AA"/>
    <w:rsid w:val="00F0684A"/>
    <w:rsid w:val="00F0686E"/>
    <w:rsid w:val="00F06CC6"/>
    <w:rsid w:val="00F0700F"/>
    <w:rsid w:val="00F07317"/>
    <w:rsid w:val="00F07372"/>
    <w:rsid w:val="00F078C9"/>
    <w:rsid w:val="00F07CB2"/>
    <w:rsid w:val="00F10606"/>
    <w:rsid w:val="00F109FB"/>
    <w:rsid w:val="00F10D47"/>
    <w:rsid w:val="00F111FE"/>
    <w:rsid w:val="00F11244"/>
    <w:rsid w:val="00F113FE"/>
    <w:rsid w:val="00F115D7"/>
    <w:rsid w:val="00F11A99"/>
    <w:rsid w:val="00F11B5B"/>
    <w:rsid w:val="00F11C04"/>
    <w:rsid w:val="00F1229B"/>
    <w:rsid w:val="00F125F6"/>
    <w:rsid w:val="00F12AC6"/>
    <w:rsid w:val="00F12AE4"/>
    <w:rsid w:val="00F12C4D"/>
    <w:rsid w:val="00F12E53"/>
    <w:rsid w:val="00F13045"/>
    <w:rsid w:val="00F13200"/>
    <w:rsid w:val="00F13777"/>
    <w:rsid w:val="00F13EE4"/>
    <w:rsid w:val="00F140F0"/>
    <w:rsid w:val="00F14153"/>
    <w:rsid w:val="00F14DB8"/>
    <w:rsid w:val="00F150AB"/>
    <w:rsid w:val="00F15103"/>
    <w:rsid w:val="00F153DF"/>
    <w:rsid w:val="00F153E5"/>
    <w:rsid w:val="00F1581F"/>
    <w:rsid w:val="00F15DF3"/>
    <w:rsid w:val="00F16246"/>
    <w:rsid w:val="00F16413"/>
    <w:rsid w:val="00F16BC6"/>
    <w:rsid w:val="00F1705B"/>
    <w:rsid w:val="00F17311"/>
    <w:rsid w:val="00F1744E"/>
    <w:rsid w:val="00F17848"/>
    <w:rsid w:val="00F17CDB"/>
    <w:rsid w:val="00F20342"/>
    <w:rsid w:val="00F20A34"/>
    <w:rsid w:val="00F20A3B"/>
    <w:rsid w:val="00F211ED"/>
    <w:rsid w:val="00F21845"/>
    <w:rsid w:val="00F21B02"/>
    <w:rsid w:val="00F21C02"/>
    <w:rsid w:val="00F224A8"/>
    <w:rsid w:val="00F224DE"/>
    <w:rsid w:val="00F2262F"/>
    <w:rsid w:val="00F227FD"/>
    <w:rsid w:val="00F22AAA"/>
    <w:rsid w:val="00F22D35"/>
    <w:rsid w:val="00F2300E"/>
    <w:rsid w:val="00F2317F"/>
    <w:rsid w:val="00F23B85"/>
    <w:rsid w:val="00F23EC3"/>
    <w:rsid w:val="00F241AA"/>
    <w:rsid w:val="00F245CA"/>
    <w:rsid w:val="00F24816"/>
    <w:rsid w:val="00F24834"/>
    <w:rsid w:val="00F25108"/>
    <w:rsid w:val="00F2529F"/>
    <w:rsid w:val="00F25CD0"/>
    <w:rsid w:val="00F26112"/>
    <w:rsid w:val="00F2617D"/>
    <w:rsid w:val="00F26379"/>
    <w:rsid w:val="00F267CC"/>
    <w:rsid w:val="00F26928"/>
    <w:rsid w:val="00F2692A"/>
    <w:rsid w:val="00F26BC1"/>
    <w:rsid w:val="00F26E3C"/>
    <w:rsid w:val="00F26FA5"/>
    <w:rsid w:val="00F27069"/>
    <w:rsid w:val="00F27077"/>
    <w:rsid w:val="00F27105"/>
    <w:rsid w:val="00F276BD"/>
    <w:rsid w:val="00F2784A"/>
    <w:rsid w:val="00F27A60"/>
    <w:rsid w:val="00F27BB2"/>
    <w:rsid w:val="00F27FAD"/>
    <w:rsid w:val="00F3004E"/>
    <w:rsid w:val="00F30074"/>
    <w:rsid w:val="00F30266"/>
    <w:rsid w:val="00F30593"/>
    <w:rsid w:val="00F3093E"/>
    <w:rsid w:val="00F30CF3"/>
    <w:rsid w:val="00F310EA"/>
    <w:rsid w:val="00F313F3"/>
    <w:rsid w:val="00F3143B"/>
    <w:rsid w:val="00F3184C"/>
    <w:rsid w:val="00F31933"/>
    <w:rsid w:val="00F31AA9"/>
    <w:rsid w:val="00F31AF8"/>
    <w:rsid w:val="00F31BCE"/>
    <w:rsid w:val="00F31C7D"/>
    <w:rsid w:val="00F31E7D"/>
    <w:rsid w:val="00F32351"/>
    <w:rsid w:val="00F3255E"/>
    <w:rsid w:val="00F32B7F"/>
    <w:rsid w:val="00F32C3E"/>
    <w:rsid w:val="00F32D01"/>
    <w:rsid w:val="00F33003"/>
    <w:rsid w:val="00F338E0"/>
    <w:rsid w:val="00F33A8F"/>
    <w:rsid w:val="00F33C0E"/>
    <w:rsid w:val="00F33F60"/>
    <w:rsid w:val="00F342B1"/>
    <w:rsid w:val="00F34767"/>
    <w:rsid w:val="00F34955"/>
    <w:rsid w:val="00F34B76"/>
    <w:rsid w:val="00F34BCA"/>
    <w:rsid w:val="00F35148"/>
    <w:rsid w:val="00F3527D"/>
    <w:rsid w:val="00F35480"/>
    <w:rsid w:val="00F355A3"/>
    <w:rsid w:val="00F355AD"/>
    <w:rsid w:val="00F356DF"/>
    <w:rsid w:val="00F35AE7"/>
    <w:rsid w:val="00F35E1F"/>
    <w:rsid w:val="00F365CB"/>
    <w:rsid w:val="00F36951"/>
    <w:rsid w:val="00F37155"/>
    <w:rsid w:val="00F37244"/>
    <w:rsid w:val="00F374CD"/>
    <w:rsid w:val="00F37CFA"/>
    <w:rsid w:val="00F37D3D"/>
    <w:rsid w:val="00F37F65"/>
    <w:rsid w:val="00F4018A"/>
    <w:rsid w:val="00F40418"/>
    <w:rsid w:val="00F40F47"/>
    <w:rsid w:val="00F40FF8"/>
    <w:rsid w:val="00F411CA"/>
    <w:rsid w:val="00F4122C"/>
    <w:rsid w:val="00F41303"/>
    <w:rsid w:val="00F41478"/>
    <w:rsid w:val="00F41815"/>
    <w:rsid w:val="00F4192C"/>
    <w:rsid w:val="00F41B50"/>
    <w:rsid w:val="00F42013"/>
    <w:rsid w:val="00F420BB"/>
    <w:rsid w:val="00F42351"/>
    <w:rsid w:val="00F424B3"/>
    <w:rsid w:val="00F42646"/>
    <w:rsid w:val="00F428F2"/>
    <w:rsid w:val="00F42ABD"/>
    <w:rsid w:val="00F42DE7"/>
    <w:rsid w:val="00F431E6"/>
    <w:rsid w:val="00F44480"/>
    <w:rsid w:val="00F44507"/>
    <w:rsid w:val="00F446C8"/>
    <w:rsid w:val="00F44C9D"/>
    <w:rsid w:val="00F45800"/>
    <w:rsid w:val="00F46B35"/>
    <w:rsid w:val="00F46B37"/>
    <w:rsid w:val="00F4755C"/>
    <w:rsid w:val="00F47EA6"/>
    <w:rsid w:val="00F47F21"/>
    <w:rsid w:val="00F50099"/>
    <w:rsid w:val="00F505B9"/>
    <w:rsid w:val="00F507C1"/>
    <w:rsid w:val="00F50AD1"/>
    <w:rsid w:val="00F51029"/>
    <w:rsid w:val="00F51042"/>
    <w:rsid w:val="00F51A6A"/>
    <w:rsid w:val="00F51B98"/>
    <w:rsid w:val="00F51D5C"/>
    <w:rsid w:val="00F51E6E"/>
    <w:rsid w:val="00F51FDA"/>
    <w:rsid w:val="00F52598"/>
    <w:rsid w:val="00F529FF"/>
    <w:rsid w:val="00F52A06"/>
    <w:rsid w:val="00F52C99"/>
    <w:rsid w:val="00F52D3D"/>
    <w:rsid w:val="00F53402"/>
    <w:rsid w:val="00F53E78"/>
    <w:rsid w:val="00F54431"/>
    <w:rsid w:val="00F5495A"/>
    <w:rsid w:val="00F549E4"/>
    <w:rsid w:val="00F54B6B"/>
    <w:rsid w:val="00F54C23"/>
    <w:rsid w:val="00F551C8"/>
    <w:rsid w:val="00F551E6"/>
    <w:rsid w:val="00F5542D"/>
    <w:rsid w:val="00F55454"/>
    <w:rsid w:val="00F55C7E"/>
    <w:rsid w:val="00F55D1D"/>
    <w:rsid w:val="00F5612B"/>
    <w:rsid w:val="00F56A50"/>
    <w:rsid w:val="00F56BFA"/>
    <w:rsid w:val="00F56D9E"/>
    <w:rsid w:val="00F56E24"/>
    <w:rsid w:val="00F571B6"/>
    <w:rsid w:val="00F57539"/>
    <w:rsid w:val="00F575E3"/>
    <w:rsid w:val="00F57791"/>
    <w:rsid w:val="00F57799"/>
    <w:rsid w:val="00F57AE4"/>
    <w:rsid w:val="00F57C50"/>
    <w:rsid w:val="00F600F7"/>
    <w:rsid w:val="00F603B8"/>
    <w:rsid w:val="00F603E5"/>
    <w:rsid w:val="00F604CE"/>
    <w:rsid w:val="00F618DA"/>
    <w:rsid w:val="00F61D5C"/>
    <w:rsid w:val="00F627BA"/>
    <w:rsid w:val="00F62A3D"/>
    <w:rsid w:val="00F62D2A"/>
    <w:rsid w:val="00F630DF"/>
    <w:rsid w:val="00F63964"/>
    <w:rsid w:val="00F63BB4"/>
    <w:rsid w:val="00F63EE3"/>
    <w:rsid w:val="00F63EE6"/>
    <w:rsid w:val="00F642B7"/>
    <w:rsid w:val="00F64358"/>
    <w:rsid w:val="00F646A9"/>
    <w:rsid w:val="00F64DB5"/>
    <w:rsid w:val="00F64E02"/>
    <w:rsid w:val="00F65806"/>
    <w:rsid w:val="00F65990"/>
    <w:rsid w:val="00F6653A"/>
    <w:rsid w:val="00F6660F"/>
    <w:rsid w:val="00F6674E"/>
    <w:rsid w:val="00F66EFB"/>
    <w:rsid w:val="00F670D1"/>
    <w:rsid w:val="00F672EE"/>
    <w:rsid w:val="00F67D9E"/>
    <w:rsid w:val="00F67F6F"/>
    <w:rsid w:val="00F7019E"/>
    <w:rsid w:val="00F70591"/>
    <w:rsid w:val="00F706E6"/>
    <w:rsid w:val="00F70916"/>
    <w:rsid w:val="00F72C94"/>
    <w:rsid w:val="00F73080"/>
    <w:rsid w:val="00F7356E"/>
    <w:rsid w:val="00F73BF3"/>
    <w:rsid w:val="00F73FBB"/>
    <w:rsid w:val="00F74295"/>
    <w:rsid w:val="00F7496E"/>
    <w:rsid w:val="00F74CA1"/>
    <w:rsid w:val="00F75200"/>
    <w:rsid w:val="00F75307"/>
    <w:rsid w:val="00F756EE"/>
    <w:rsid w:val="00F7570B"/>
    <w:rsid w:val="00F75B95"/>
    <w:rsid w:val="00F75D77"/>
    <w:rsid w:val="00F75D8E"/>
    <w:rsid w:val="00F75E05"/>
    <w:rsid w:val="00F75EA0"/>
    <w:rsid w:val="00F75F2A"/>
    <w:rsid w:val="00F76777"/>
    <w:rsid w:val="00F7698F"/>
    <w:rsid w:val="00F76C9F"/>
    <w:rsid w:val="00F76DE5"/>
    <w:rsid w:val="00F76EB2"/>
    <w:rsid w:val="00F773C9"/>
    <w:rsid w:val="00F7746A"/>
    <w:rsid w:val="00F7782E"/>
    <w:rsid w:val="00F779ED"/>
    <w:rsid w:val="00F77A18"/>
    <w:rsid w:val="00F77A93"/>
    <w:rsid w:val="00F77F8D"/>
    <w:rsid w:val="00F8022A"/>
    <w:rsid w:val="00F805EC"/>
    <w:rsid w:val="00F80975"/>
    <w:rsid w:val="00F80CB4"/>
    <w:rsid w:val="00F812A2"/>
    <w:rsid w:val="00F814CA"/>
    <w:rsid w:val="00F8150F"/>
    <w:rsid w:val="00F816C0"/>
    <w:rsid w:val="00F816D6"/>
    <w:rsid w:val="00F81739"/>
    <w:rsid w:val="00F8175E"/>
    <w:rsid w:val="00F8177E"/>
    <w:rsid w:val="00F81B3A"/>
    <w:rsid w:val="00F8202B"/>
    <w:rsid w:val="00F8271E"/>
    <w:rsid w:val="00F82A43"/>
    <w:rsid w:val="00F82A6C"/>
    <w:rsid w:val="00F832E1"/>
    <w:rsid w:val="00F83302"/>
    <w:rsid w:val="00F83DD6"/>
    <w:rsid w:val="00F843A8"/>
    <w:rsid w:val="00F843EF"/>
    <w:rsid w:val="00F844EF"/>
    <w:rsid w:val="00F84586"/>
    <w:rsid w:val="00F84685"/>
    <w:rsid w:val="00F847AA"/>
    <w:rsid w:val="00F84BA8"/>
    <w:rsid w:val="00F84D94"/>
    <w:rsid w:val="00F84EF1"/>
    <w:rsid w:val="00F84F5A"/>
    <w:rsid w:val="00F858FA"/>
    <w:rsid w:val="00F85942"/>
    <w:rsid w:val="00F85E7E"/>
    <w:rsid w:val="00F85FC1"/>
    <w:rsid w:val="00F86268"/>
    <w:rsid w:val="00F86455"/>
    <w:rsid w:val="00F86875"/>
    <w:rsid w:val="00F8696C"/>
    <w:rsid w:val="00F86AF8"/>
    <w:rsid w:val="00F87995"/>
    <w:rsid w:val="00F87BF1"/>
    <w:rsid w:val="00F87D2A"/>
    <w:rsid w:val="00F87DA4"/>
    <w:rsid w:val="00F87DAB"/>
    <w:rsid w:val="00F87DFD"/>
    <w:rsid w:val="00F90197"/>
    <w:rsid w:val="00F90460"/>
    <w:rsid w:val="00F906A3"/>
    <w:rsid w:val="00F90779"/>
    <w:rsid w:val="00F90D61"/>
    <w:rsid w:val="00F91A06"/>
    <w:rsid w:val="00F91B8D"/>
    <w:rsid w:val="00F91D07"/>
    <w:rsid w:val="00F91D2A"/>
    <w:rsid w:val="00F91D5E"/>
    <w:rsid w:val="00F92329"/>
    <w:rsid w:val="00F92AED"/>
    <w:rsid w:val="00F92C0A"/>
    <w:rsid w:val="00F92C68"/>
    <w:rsid w:val="00F92F8F"/>
    <w:rsid w:val="00F93145"/>
    <w:rsid w:val="00F935D2"/>
    <w:rsid w:val="00F93626"/>
    <w:rsid w:val="00F93D08"/>
    <w:rsid w:val="00F93E40"/>
    <w:rsid w:val="00F94370"/>
    <w:rsid w:val="00F94747"/>
    <w:rsid w:val="00F94B33"/>
    <w:rsid w:val="00F94EA3"/>
    <w:rsid w:val="00F95117"/>
    <w:rsid w:val="00F956F9"/>
    <w:rsid w:val="00F9584D"/>
    <w:rsid w:val="00F958B8"/>
    <w:rsid w:val="00F95909"/>
    <w:rsid w:val="00F9596D"/>
    <w:rsid w:val="00F95980"/>
    <w:rsid w:val="00F95A12"/>
    <w:rsid w:val="00F95A6B"/>
    <w:rsid w:val="00F95D1F"/>
    <w:rsid w:val="00F95D8C"/>
    <w:rsid w:val="00F9605D"/>
    <w:rsid w:val="00F96540"/>
    <w:rsid w:val="00F96918"/>
    <w:rsid w:val="00F96921"/>
    <w:rsid w:val="00F96DEE"/>
    <w:rsid w:val="00F97DB5"/>
    <w:rsid w:val="00FA0668"/>
    <w:rsid w:val="00FA07A2"/>
    <w:rsid w:val="00FA07C4"/>
    <w:rsid w:val="00FA1565"/>
    <w:rsid w:val="00FA170E"/>
    <w:rsid w:val="00FA1A7D"/>
    <w:rsid w:val="00FA1B0A"/>
    <w:rsid w:val="00FA1D16"/>
    <w:rsid w:val="00FA2008"/>
    <w:rsid w:val="00FA26BC"/>
    <w:rsid w:val="00FA279A"/>
    <w:rsid w:val="00FA29B6"/>
    <w:rsid w:val="00FA2A0C"/>
    <w:rsid w:val="00FA2ACE"/>
    <w:rsid w:val="00FA31FE"/>
    <w:rsid w:val="00FA354D"/>
    <w:rsid w:val="00FA358D"/>
    <w:rsid w:val="00FA3B3C"/>
    <w:rsid w:val="00FA3C18"/>
    <w:rsid w:val="00FA43A4"/>
    <w:rsid w:val="00FA5A4D"/>
    <w:rsid w:val="00FA60DF"/>
    <w:rsid w:val="00FA692D"/>
    <w:rsid w:val="00FA6D8C"/>
    <w:rsid w:val="00FA7382"/>
    <w:rsid w:val="00FA73F2"/>
    <w:rsid w:val="00FB01B4"/>
    <w:rsid w:val="00FB0A1A"/>
    <w:rsid w:val="00FB0BEA"/>
    <w:rsid w:val="00FB0BFB"/>
    <w:rsid w:val="00FB0EAF"/>
    <w:rsid w:val="00FB1200"/>
    <w:rsid w:val="00FB13BF"/>
    <w:rsid w:val="00FB1820"/>
    <w:rsid w:val="00FB1A3C"/>
    <w:rsid w:val="00FB2169"/>
    <w:rsid w:val="00FB22F4"/>
    <w:rsid w:val="00FB25D5"/>
    <w:rsid w:val="00FB33AC"/>
    <w:rsid w:val="00FB3D22"/>
    <w:rsid w:val="00FB421B"/>
    <w:rsid w:val="00FB49AE"/>
    <w:rsid w:val="00FB4B9A"/>
    <w:rsid w:val="00FB4D3F"/>
    <w:rsid w:val="00FB4E94"/>
    <w:rsid w:val="00FB520C"/>
    <w:rsid w:val="00FB544E"/>
    <w:rsid w:val="00FB5572"/>
    <w:rsid w:val="00FB573D"/>
    <w:rsid w:val="00FB5741"/>
    <w:rsid w:val="00FB5C50"/>
    <w:rsid w:val="00FB5EE1"/>
    <w:rsid w:val="00FB63D7"/>
    <w:rsid w:val="00FB681C"/>
    <w:rsid w:val="00FB7416"/>
    <w:rsid w:val="00FB74ED"/>
    <w:rsid w:val="00FB74F3"/>
    <w:rsid w:val="00FB767C"/>
    <w:rsid w:val="00FB794E"/>
    <w:rsid w:val="00FB7A28"/>
    <w:rsid w:val="00FB7BAF"/>
    <w:rsid w:val="00FB7C76"/>
    <w:rsid w:val="00FB7EED"/>
    <w:rsid w:val="00FB7F84"/>
    <w:rsid w:val="00FC04C6"/>
    <w:rsid w:val="00FC05FA"/>
    <w:rsid w:val="00FC0635"/>
    <w:rsid w:val="00FC069A"/>
    <w:rsid w:val="00FC08C3"/>
    <w:rsid w:val="00FC0ADF"/>
    <w:rsid w:val="00FC0F25"/>
    <w:rsid w:val="00FC1392"/>
    <w:rsid w:val="00FC15BB"/>
    <w:rsid w:val="00FC1DE0"/>
    <w:rsid w:val="00FC1F7E"/>
    <w:rsid w:val="00FC2059"/>
    <w:rsid w:val="00FC27EC"/>
    <w:rsid w:val="00FC2A2E"/>
    <w:rsid w:val="00FC2C2F"/>
    <w:rsid w:val="00FC2CBF"/>
    <w:rsid w:val="00FC3294"/>
    <w:rsid w:val="00FC3553"/>
    <w:rsid w:val="00FC38B2"/>
    <w:rsid w:val="00FC3977"/>
    <w:rsid w:val="00FC3AA0"/>
    <w:rsid w:val="00FC3BAC"/>
    <w:rsid w:val="00FC3D4F"/>
    <w:rsid w:val="00FC4214"/>
    <w:rsid w:val="00FC48B6"/>
    <w:rsid w:val="00FC4C25"/>
    <w:rsid w:val="00FC4D86"/>
    <w:rsid w:val="00FC54D8"/>
    <w:rsid w:val="00FC5787"/>
    <w:rsid w:val="00FC597C"/>
    <w:rsid w:val="00FC5AAD"/>
    <w:rsid w:val="00FC5AD0"/>
    <w:rsid w:val="00FC5DA4"/>
    <w:rsid w:val="00FC5FA5"/>
    <w:rsid w:val="00FC60A4"/>
    <w:rsid w:val="00FC6636"/>
    <w:rsid w:val="00FC68F1"/>
    <w:rsid w:val="00FC6C59"/>
    <w:rsid w:val="00FC709A"/>
    <w:rsid w:val="00FC7127"/>
    <w:rsid w:val="00FC72B1"/>
    <w:rsid w:val="00FC7594"/>
    <w:rsid w:val="00FC788A"/>
    <w:rsid w:val="00FC7CD6"/>
    <w:rsid w:val="00FD0528"/>
    <w:rsid w:val="00FD0807"/>
    <w:rsid w:val="00FD087E"/>
    <w:rsid w:val="00FD0AB8"/>
    <w:rsid w:val="00FD0C64"/>
    <w:rsid w:val="00FD0F15"/>
    <w:rsid w:val="00FD0F5C"/>
    <w:rsid w:val="00FD0FA4"/>
    <w:rsid w:val="00FD1305"/>
    <w:rsid w:val="00FD1F6C"/>
    <w:rsid w:val="00FD25C0"/>
    <w:rsid w:val="00FD27FD"/>
    <w:rsid w:val="00FD2872"/>
    <w:rsid w:val="00FD2A4F"/>
    <w:rsid w:val="00FD2B38"/>
    <w:rsid w:val="00FD2C3E"/>
    <w:rsid w:val="00FD2DD0"/>
    <w:rsid w:val="00FD2E68"/>
    <w:rsid w:val="00FD2FA6"/>
    <w:rsid w:val="00FD34F8"/>
    <w:rsid w:val="00FD3577"/>
    <w:rsid w:val="00FD37E8"/>
    <w:rsid w:val="00FD380D"/>
    <w:rsid w:val="00FD3C2C"/>
    <w:rsid w:val="00FD4567"/>
    <w:rsid w:val="00FD5176"/>
    <w:rsid w:val="00FD5679"/>
    <w:rsid w:val="00FD5C7A"/>
    <w:rsid w:val="00FD622A"/>
    <w:rsid w:val="00FD6463"/>
    <w:rsid w:val="00FD657E"/>
    <w:rsid w:val="00FD65B8"/>
    <w:rsid w:val="00FD7A2B"/>
    <w:rsid w:val="00FD7C61"/>
    <w:rsid w:val="00FD7D82"/>
    <w:rsid w:val="00FE015B"/>
    <w:rsid w:val="00FE03F6"/>
    <w:rsid w:val="00FE0B92"/>
    <w:rsid w:val="00FE0BCB"/>
    <w:rsid w:val="00FE0CB6"/>
    <w:rsid w:val="00FE0DF5"/>
    <w:rsid w:val="00FE1079"/>
    <w:rsid w:val="00FE12ED"/>
    <w:rsid w:val="00FE1410"/>
    <w:rsid w:val="00FE150C"/>
    <w:rsid w:val="00FE17A1"/>
    <w:rsid w:val="00FE1BAE"/>
    <w:rsid w:val="00FE1D61"/>
    <w:rsid w:val="00FE227E"/>
    <w:rsid w:val="00FE228B"/>
    <w:rsid w:val="00FE241C"/>
    <w:rsid w:val="00FE25BD"/>
    <w:rsid w:val="00FE2F31"/>
    <w:rsid w:val="00FE321F"/>
    <w:rsid w:val="00FE3751"/>
    <w:rsid w:val="00FE37BE"/>
    <w:rsid w:val="00FE3A24"/>
    <w:rsid w:val="00FE3BB5"/>
    <w:rsid w:val="00FE3DE6"/>
    <w:rsid w:val="00FE4700"/>
    <w:rsid w:val="00FE4914"/>
    <w:rsid w:val="00FE5042"/>
    <w:rsid w:val="00FE506A"/>
    <w:rsid w:val="00FE5151"/>
    <w:rsid w:val="00FE55EC"/>
    <w:rsid w:val="00FE5C2D"/>
    <w:rsid w:val="00FE64EF"/>
    <w:rsid w:val="00FE6979"/>
    <w:rsid w:val="00FE6D2A"/>
    <w:rsid w:val="00FE70A9"/>
    <w:rsid w:val="00FE70F2"/>
    <w:rsid w:val="00FE72F4"/>
    <w:rsid w:val="00FE76E2"/>
    <w:rsid w:val="00FF0422"/>
    <w:rsid w:val="00FF1897"/>
    <w:rsid w:val="00FF23FE"/>
    <w:rsid w:val="00FF2B02"/>
    <w:rsid w:val="00FF3417"/>
    <w:rsid w:val="00FF3742"/>
    <w:rsid w:val="00FF40C7"/>
    <w:rsid w:val="00FF422F"/>
    <w:rsid w:val="00FF467F"/>
    <w:rsid w:val="00FF58A4"/>
    <w:rsid w:val="00FF5ACA"/>
    <w:rsid w:val="00FF5B49"/>
    <w:rsid w:val="00FF5D4B"/>
    <w:rsid w:val="00FF5E09"/>
    <w:rsid w:val="00FF5EA2"/>
    <w:rsid w:val="00FF6221"/>
    <w:rsid w:val="00FF63CF"/>
    <w:rsid w:val="00FF67A4"/>
    <w:rsid w:val="00FF74FB"/>
    <w:rsid w:val="00FF79A7"/>
    <w:rsid w:val="00FF7BC1"/>
    <w:rsid w:val="00FF7C19"/>
    <w:rsid w:val="04E33A4D"/>
    <w:rsid w:val="244FAC2F"/>
    <w:rsid w:val="2AB30FD4"/>
    <w:rsid w:val="2ABA95B9"/>
    <w:rsid w:val="74482961"/>
    <w:rsid w:val="77D36C3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0f5fa"/>
    </o:shapedefaults>
    <o:shapelayout v:ext="edit">
      <o:idmap v:ext="edit" data="2"/>
    </o:shapelayout>
  </w:shapeDefaults>
  <w:decimalSymbol w:val="."/>
  <w:listSeparator w:val=","/>
  <w14:docId w14:val="1D489E21"/>
  <w15:chartTrackingRefBased/>
  <w15:docId w15:val="{8A1CFBE4-0007-4817-8CFD-95152A0EA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2FC3"/>
  </w:style>
  <w:style w:type="paragraph" w:styleId="Heading1">
    <w:name w:val="heading 1"/>
    <w:basedOn w:val="Normal"/>
    <w:next w:val="Normal"/>
    <w:link w:val="Heading1Char"/>
    <w:uiPriority w:val="9"/>
    <w:qFormat/>
    <w:rsid w:val="00033A8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25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2583"/>
  </w:style>
  <w:style w:type="paragraph" w:styleId="Footer">
    <w:name w:val="footer"/>
    <w:basedOn w:val="Normal"/>
    <w:link w:val="FooterChar"/>
    <w:uiPriority w:val="99"/>
    <w:unhideWhenUsed/>
    <w:rsid w:val="00BD25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2583"/>
  </w:style>
  <w:style w:type="character" w:styleId="PlaceholderText">
    <w:name w:val="Placeholder Text"/>
    <w:basedOn w:val="DefaultParagraphFont"/>
    <w:uiPriority w:val="99"/>
    <w:semiHidden/>
    <w:rsid w:val="00BD2583"/>
    <w:rPr>
      <w:color w:val="808080"/>
    </w:rPr>
  </w:style>
  <w:style w:type="table" w:styleId="TableGrid">
    <w:name w:val="Table Grid"/>
    <w:basedOn w:val="TableNormal"/>
    <w:uiPriority w:val="39"/>
    <w:rsid w:val="00BD25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4386E"/>
    <w:pPr>
      <w:ind w:left="720"/>
      <w:contextualSpacing/>
    </w:pPr>
  </w:style>
  <w:style w:type="character" w:customStyle="1" w:styleId="Heading1Char">
    <w:name w:val="Heading 1 Char"/>
    <w:basedOn w:val="DefaultParagraphFont"/>
    <w:link w:val="Heading1"/>
    <w:uiPriority w:val="9"/>
    <w:rsid w:val="00033A87"/>
    <w:rPr>
      <w:rFonts w:asciiTheme="majorHAnsi" w:eastAsiaTheme="majorEastAsia" w:hAnsiTheme="majorHAnsi" w:cstheme="majorBidi"/>
      <w:color w:val="2F5496" w:themeColor="accent1" w:themeShade="BF"/>
      <w:sz w:val="32"/>
      <w:szCs w:val="32"/>
    </w:rPr>
  </w:style>
  <w:style w:type="table" w:customStyle="1" w:styleId="TableGrid4">
    <w:name w:val="Table Grid4"/>
    <w:basedOn w:val="TableNormal"/>
    <w:next w:val="TableGrid"/>
    <w:uiPriority w:val="39"/>
    <w:rsid w:val="00E512C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4537C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7E257D"/>
    <w:pPr>
      <w:outlineLvl w:val="9"/>
    </w:pPr>
    <w:rPr>
      <w:lang w:val="en-US"/>
    </w:rPr>
  </w:style>
  <w:style w:type="paragraph" w:styleId="TOC1">
    <w:name w:val="toc 1"/>
    <w:basedOn w:val="Normal"/>
    <w:next w:val="Normal"/>
    <w:autoRedefine/>
    <w:uiPriority w:val="39"/>
    <w:unhideWhenUsed/>
    <w:rsid w:val="007E257D"/>
    <w:pPr>
      <w:spacing w:after="100"/>
    </w:pPr>
  </w:style>
  <w:style w:type="character" w:styleId="Hyperlink">
    <w:name w:val="Hyperlink"/>
    <w:basedOn w:val="DefaultParagraphFont"/>
    <w:uiPriority w:val="99"/>
    <w:unhideWhenUsed/>
    <w:rsid w:val="007E257D"/>
    <w:rPr>
      <w:color w:val="0563C1" w:themeColor="hyperlink"/>
      <w:u w:val="single"/>
    </w:rPr>
  </w:style>
  <w:style w:type="paragraph" w:styleId="FootnoteText">
    <w:name w:val="footnote text"/>
    <w:basedOn w:val="Normal"/>
    <w:link w:val="FootnoteTextChar"/>
    <w:uiPriority w:val="99"/>
    <w:semiHidden/>
    <w:unhideWhenUsed/>
    <w:rsid w:val="00510E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0E05"/>
    <w:rPr>
      <w:sz w:val="20"/>
      <w:szCs w:val="20"/>
    </w:rPr>
  </w:style>
  <w:style w:type="character" w:styleId="FootnoteReference">
    <w:name w:val="footnote reference"/>
    <w:basedOn w:val="DefaultParagraphFont"/>
    <w:uiPriority w:val="99"/>
    <w:semiHidden/>
    <w:unhideWhenUsed/>
    <w:rsid w:val="00510E05"/>
    <w:rPr>
      <w:vertAlign w:val="superscript"/>
    </w:rPr>
  </w:style>
  <w:style w:type="paragraph" w:styleId="BalloonText">
    <w:name w:val="Balloon Text"/>
    <w:basedOn w:val="Normal"/>
    <w:link w:val="BalloonTextChar"/>
    <w:uiPriority w:val="99"/>
    <w:semiHidden/>
    <w:unhideWhenUsed/>
    <w:rsid w:val="00510E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0E05"/>
    <w:rPr>
      <w:rFonts w:ascii="Segoe UI" w:hAnsi="Segoe UI" w:cs="Segoe UI"/>
      <w:sz w:val="18"/>
      <w:szCs w:val="18"/>
    </w:rPr>
  </w:style>
  <w:style w:type="paragraph" w:customStyle="1" w:styleId="AuditBodyText">
    <w:name w:val="Audit Body Text"/>
    <w:basedOn w:val="BodyText"/>
    <w:link w:val="AuditBodyTextChar"/>
    <w:qFormat/>
    <w:rsid w:val="005327DE"/>
    <w:pPr>
      <w:tabs>
        <w:tab w:val="left" w:pos="6840"/>
      </w:tabs>
      <w:spacing w:line="240" w:lineRule="auto"/>
      <w:jc w:val="both"/>
    </w:pPr>
    <w:rPr>
      <w:rFonts w:ascii="Verdana" w:eastAsiaTheme="minorEastAsia" w:hAnsi="Verdana" w:cs="Arial"/>
      <w:sz w:val="24"/>
      <w:szCs w:val="21"/>
      <w:lang w:eastAsia="en-GB"/>
    </w:rPr>
  </w:style>
  <w:style w:type="character" w:customStyle="1" w:styleId="AuditBodyTextChar">
    <w:name w:val="Audit Body Text Char"/>
    <w:basedOn w:val="BodyTextChar"/>
    <w:link w:val="AuditBodyText"/>
    <w:rsid w:val="005327DE"/>
    <w:rPr>
      <w:rFonts w:ascii="Verdana" w:eastAsiaTheme="minorEastAsia" w:hAnsi="Verdana" w:cs="Arial"/>
      <w:sz w:val="24"/>
      <w:szCs w:val="21"/>
      <w:lang w:eastAsia="en-GB"/>
    </w:rPr>
  </w:style>
  <w:style w:type="paragraph" w:styleId="BodyText">
    <w:name w:val="Body Text"/>
    <w:basedOn w:val="Normal"/>
    <w:link w:val="BodyTextChar"/>
    <w:uiPriority w:val="99"/>
    <w:semiHidden/>
    <w:unhideWhenUsed/>
    <w:rsid w:val="005327DE"/>
    <w:pPr>
      <w:spacing w:after="120"/>
    </w:pPr>
  </w:style>
  <w:style w:type="character" w:customStyle="1" w:styleId="BodyTextChar">
    <w:name w:val="Body Text Char"/>
    <w:basedOn w:val="DefaultParagraphFont"/>
    <w:link w:val="BodyText"/>
    <w:uiPriority w:val="99"/>
    <w:semiHidden/>
    <w:rsid w:val="005327DE"/>
  </w:style>
  <w:style w:type="paragraph" w:customStyle="1" w:styleId="Default">
    <w:name w:val="Default"/>
    <w:rsid w:val="00A0240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CA0ECD"/>
    <w:rPr>
      <w:sz w:val="16"/>
      <w:szCs w:val="16"/>
    </w:rPr>
  </w:style>
  <w:style w:type="paragraph" w:styleId="CommentText">
    <w:name w:val="annotation text"/>
    <w:basedOn w:val="Normal"/>
    <w:link w:val="CommentTextChar"/>
    <w:uiPriority w:val="99"/>
    <w:unhideWhenUsed/>
    <w:rsid w:val="00CA0ECD"/>
    <w:pPr>
      <w:spacing w:line="240" w:lineRule="auto"/>
    </w:pPr>
    <w:rPr>
      <w:sz w:val="20"/>
      <w:szCs w:val="20"/>
    </w:rPr>
  </w:style>
  <w:style w:type="character" w:customStyle="1" w:styleId="CommentTextChar">
    <w:name w:val="Comment Text Char"/>
    <w:basedOn w:val="DefaultParagraphFont"/>
    <w:link w:val="CommentText"/>
    <w:uiPriority w:val="99"/>
    <w:rsid w:val="00CA0ECD"/>
    <w:rPr>
      <w:sz w:val="20"/>
      <w:szCs w:val="20"/>
    </w:rPr>
  </w:style>
  <w:style w:type="paragraph" w:styleId="CommentSubject">
    <w:name w:val="annotation subject"/>
    <w:basedOn w:val="CommentText"/>
    <w:next w:val="CommentText"/>
    <w:link w:val="CommentSubjectChar"/>
    <w:uiPriority w:val="99"/>
    <w:semiHidden/>
    <w:unhideWhenUsed/>
    <w:rsid w:val="00CA0ECD"/>
    <w:rPr>
      <w:b/>
      <w:bCs/>
    </w:rPr>
  </w:style>
  <w:style w:type="character" w:customStyle="1" w:styleId="CommentSubjectChar">
    <w:name w:val="Comment Subject Char"/>
    <w:basedOn w:val="CommentTextChar"/>
    <w:link w:val="CommentSubject"/>
    <w:uiPriority w:val="99"/>
    <w:semiHidden/>
    <w:rsid w:val="00CA0ECD"/>
    <w:rPr>
      <w:b/>
      <w:bCs/>
      <w:sz w:val="20"/>
      <w:szCs w:val="20"/>
    </w:rPr>
  </w:style>
  <w:style w:type="character" w:customStyle="1" w:styleId="Mention1">
    <w:name w:val="Mention1"/>
    <w:basedOn w:val="DefaultParagraphFont"/>
    <w:uiPriority w:val="99"/>
    <w:unhideWhenUsed/>
    <w:rsid w:val="00D86556"/>
    <w:rPr>
      <w:color w:val="2B579A"/>
      <w:shd w:val="clear" w:color="auto" w:fill="E6E6E6"/>
    </w:rPr>
  </w:style>
  <w:style w:type="paragraph" w:styleId="Revision">
    <w:name w:val="Revision"/>
    <w:hidden/>
    <w:uiPriority w:val="99"/>
    <w:semiHidden/>
    <w:rsid w:val="004345D4"/>
    <w:pPr>
      <w:spacing w:after="0" w:line="240" w:lineRule="auto"/>
    </w:pPr>
  </w:style>
  <w:style w:type="character" w:customStyle="1" w:styleId="UnresolvedMention1">
    <w:name w:val="Unresolved Mention1"/>
    <w:basedOn w:val="DefaultParagraphFont"/>
    <w:uiPriority w:val="99"/>
    <w:semiHidden/>
    <w:unhideWhenUsed/>
    <w:rsid w:val="00C10CBC"/>
    <w:rPr>
      <w:color w:val="605E5C"/>
      <w:shd w:val="clear" w:color="auto" w:fill="E1DFDD"/>
    </w:rPr>
  </w:style>
  <w:style w:type="character" w:styleId="FollowedHyperlink">
    <w:name w:val="FollowedHyperlink"/>
    <w:basedOn w:val="DefaultParagraphFont"/>
    <w:uiPriority w:val="99"/>
    <w:semiHidden/>
    <w:unhideWhenUsed/>
    <w:rsid w:val="00552192"/>
    <w:rPr>
      <w:color w:val="954F72" w:themeColor="followedHyperlink"/>
      <w:u w:val="single"/>
    </w:rPr>
  </w:style>
  <w:style w:type="table" w:styleId="PlainTable1">
    <w:name w:val="Plain Table 1"/>
    <w:basedOn w:val="TableNormal"/>
    <w:uiPriority w:val="41"/>
    <w:rsid w:val="000077C9"/>
    <w:pPr>
      <w:spacing w:after="0" w:line="240" w:lineRule="auto"/>
    </w:pPr>
    <w:rPr>
      <w:rFonts w:eastAsiaTheme="minorEastAsia"/>
      <w:lang w:val="en-US" w:eastAsia="ja-JP"/>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2">
    <w:name w:val="toc 2"/>
    <w:basedOn w:val="Normal"/>
    <w:next w:val="Normal"/>
    <w:autoRedefine/>
    <w:uiPriority w:val="39"/>
    <w:unhideWhenUsed/>
    <w:rsid w:val="00E24EF9"/>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E24EF9"/>
    <w:pPr>
      <w:spacing w:after="100"/>
      <w:ind w:left="440"/>
    </w:pPr>
    <w:rPr>
      <w:rFonts w:eastAsiaTheme="minorEastAsia" w:cs="Times New Roman"/>
      <w:lang w:val="en-US"/>
    </w:rPr>
  </w:style>
  <w:style w:type="table" w:customStyle="1" w:styleId="TableGrid1">
    <w:name w:val="Table Grid1"/>
    <w:basedOn w:val="TableNormal"/>
    <w:next w:val="TableGrid"/>
    <w:rsid w:val="0095178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hemes">
    <w:name w:val="Themes"/>
    <w:basedOn w:val="DefaultParagraphFont"/>
    <w:uiPriority w:val="1"/>
    <w:rsid w:val="00DD24FE"/>
    <w:rPr>
      <w:rFonts w:ascii="Verdana" w:hAnsi="Verdana"/>
      <w:sz w:val="20"/>
    </w:rPr>
  </w:style>
  <w:style w:type="paragraph" w:styleId="Caption">
    <w:name w:val="caption"/>
    <w:basedOn w:val="Normal"/>
    <w:next w:val="Normal"/>
    <w:uiPriority w:val="35"/>
    <w:unhideWhenUsed/>
    <w:qFormat/>
    <w:rsid w:val="00C015A0"/>
    <w:pPr>
      <w:spacing w:after="200" w:line="240" w:lineRule="auto"/>
    </w:pPr>
    <w:rPr>
      <w:i/>
      <w:iCs/>
      <w:color w:val="44546A" w:themeColor="text2"/>
      <w:sz w:val="18"/>
      <w:szCs w:val="18"/>
    </w:rPr>
  </w:style>
  <w:style w:type="table" w:styleId="GridTable4-Accent1">
    <w:name w:val="Grid Table 4 Accent 1"/>
    <w:basedOn w:val="TableNormal"/>
    <w:uiPriority w:val="49"/>
    <w:rsid w:val="00B313BC"/>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UnresolvedMention">
    <w:name w:val="Unresolved Mention"/>
    <w:basedOn w:val="DefaultParagraphFont"/>
    <w:uiPriority w:val="99"/>
    <w:unhideWhenUsed/>
    <w:rsid w:val="00052A94"/>
    <w:rPr>
      <w:color w:val="605E5C"/>
      <w:shd w:val="clear" w:color="auto" w:fill="E1DFDD"/>
    </w:rPr>
  </w:style>
  <w:style w:type="character" w:styleId="Mention">
    <w:name w:val="Mention"/>
    <w:basedOn w:val="DefaultParagraphFont"/>
    <w:uiPriority w:val="99"/>
    <w:unhideWhenUsed/>
    <w:rsid w:val="00052A94"/>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921409">
      <w:bodyDiv w:val="1"/>
      <w:marLeft w:val="0"/>
      <w:marRight w:val="0"/>
      <w:marTop w:val="0"/>
      <w:marBottom w:val="0"/>
      <w:divBdr>
        <w:top w:val="none" w:sz="0" w:space="0" w:color="auto"/>
        <w:left w:val="none" w:sz="0" w:space="0" w:color="auto"/>
        <w:bottom w:val="none" w:sz="0" w:space="0" w:color="auto"/>
        <w:right w:val="none" w:sz="0" w:space="0" w:color="auto"/>
      </w:divBdr>
    </w:div>
    <w:div w:id="325936467">
      <w:bodyDiv w:val="1"/>
      <w:marLeft w:val="0"/>
      <w:marRight w:val="0"/>
      <w:marTop w:val="0"/>
      <w:marBottom w:val="0"/>
      <w:divBdr>
        <w:top w:val="none" w:sz="0" w:space="0" w:color="auto"/>
        <w:left w:val="none" w:sz="0" w:space="0" w:color="auto"/>
        <w:bottom w:val="none" w:sz="0" w:space="0" w:color="auto"/>
        <w:right w:val="none" w:sz="0" w:space="0" w:color="auto"/>
      </w:divBdr>
    </w:div>
    <w:div w:id="326521259">
      <w:bodyDiv w:val="1"/>
      <w:marLeft w:val="0"/>
      <w:marRight w:val="0"/>
      <w:marTop w:val="0"/>
      <w:marBottom w:val="0"/>
      <w:divBdr>
        <w:top w:val="none" w:sz="0" w:space="0" w:color="auto"/>
        <w:left w:val="none" w:sz="0" w:space="0" w:color="auto"/>
        <w:bottom w:val="none" w:sz="0" w:space="0" w:color="auto"/>
        <w:right w:val="none" w:sz="0" w:space="0" w:color="auto"/>
      </w:divBdr>
    </w:div>
    <w:div w:id="951520777">
      <w:bodyDiv w:val="1"/>
      <w:marLeft w:val="0"/>
      <w:marRight w:val="0"/>
      <w:marTop w:val="0"/>
      <w:marBottom w:val="0"/>
      <w:divBdr>
        <w:top w:val="none" w:sz="0" w:space="0" w:color="auto"/>
        <w:left w:val="none" w:sz="0" w:space="0" w:color="auto"/>
        <w:bottom w:val="none" w:sz="0" w:space="0" w:color="auto"/>
        <w:right w:val="none" w:sz="0" w:space="0" w:color="auto"/>
      </w:divBdr>
    </w:div>
    <w:div w:id="1371300172">
      <w:bodyDiv w:val="1"/>
      <w:marLeft w:val="0"/>
      <w:marRight w:val="0"/>
      <w:marTop w:val="0"/>
      <w:marBottom w:val="0"/>
      <w:divBdr>
        <w:top w:val="none" w:sz="0" w:space="0" w:color="auto"/>
        <w:left w:val="none" w:sz="0" w:space="0" w:color="auto"/>
        <w:bottom w:val="none" w:sz="0" w:space="0" w:color="auto"/>
        <w:right w:val="none" w:sz="0" w:space="0" w:color="auto"/>
      </w:divBdr>
    </w:div>
    <w:div w:id="1808628014">
      <w:bodyDiv w:val="1"/>
      <w:marLeft w:val="0"/>
      <w:marRight w:val="0"/>
      <w:marTop w:val="0"/>
      <w:marBottom w:val="0"/>
      <w:divBdr>
        <w:top w:val="none" w:sz="0" w:space="0" w:color="auto"/>
        <w:left w:val="none" w:sz="0" w:space="0" w:color="auto"/>
        <w:bottom w:val="none" w:sz="0" w:space="0" w:color="auto"/>
        <w:right w:val="none" w:sz="0" w:space="0" w:color="auto"/>
      </w:divBdr>
    </w:div>
    <w:div w:id="1909685435">
      <w:bodyDiv w:val="1"/>
      <w:marLeft w:val="0"/>
      <w:marRight w:val="0"/>
      <w:marTop w:val="0"/>
      <w:marBottom w:val="0"/>
      <w:divBdr>
        <w:top w:val="none" w:sz="0" w:space="0" w:color="auto"/>
        <w:left w:val="none" w:sz="0" w:space="0" w:color="auto"/>
        <w:bottom w:val="none" w:sz="0" w:space="0" w:color="auto"/>
        <w:right w:val="none" w:sz="0" w:space="0" w:color="auto"/>
      </w:divBdr>
      <w:divsChild>
        <w:div w:id="173593508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2.xml"/><Relationship Id="rId26" Type="http://schemas.openxmlformats.org/officeDocument/2006/relationships/image" Target="media/image6.png"/><Relationship Id="rId21" Type="http://schemas.openxmlformats.org/officeDocument/2006/relationships/footer" Target="footer3.xm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chart" Target="charts/chart1.xml"/><Relationship Id="rId25" Type="http://schemas.openxmlformats.org/officeDocument/2006/relationships/hyperlink" Target="file:///C:/Users/jo125575/AppData/Local/Microsoft/Windows/INetCache/Content.MSO/6F5919CF.xlsx" TargetMode="External"/><Relationship Id="rId33"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2.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file:///C:/Users/jo125575/AppData/Local/Microsoft/Windows/INetCache/Content.MSO/6F5919CF.xlsx" TargetMode="External"/><Relationship Id="rId32" Type="http://schemas.openxmlformats.org/officeDocument/2006/relationships/header" Target="header5.xml"/><Relationship Id="rId37" Type="http://schemas.microsoft.com/office/2019/05/relationships/documenttasks" Target="documenttasks/documenttasks1.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footer" Target="footer4.xml"/><Relationship Id="rId28" Type="http://schemas.openxmlformats.org/officeDocument/2006/relationships/image" Target="media/image8.png"/><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hyperlink" Target="https://nwssp.nhs.wales/ourservices/audit-assurance-service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glossaryDocument" Target="glossary/document.xml"/><Relationship Id="rId8" Type="http://schemas.openxmlformats.org/officeDocument/2006/relationships/settings" Target="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04211337989531"/>
          <c:y val="3.247342283653392E-2"/>
          <c:w val="0.41380280854723667"/>
          <c:h val="0.96752657716346613"/>
        </c:manualLayout>
      </c:layout>
      <c:doughnutChart>
        <c:varyColors val="1"/>
        <c:ser>
          <c:idx val="0"/>
          <c:order val="0"/>
          <c:tx>
            <c:strRef>
              <c:f>Sheet1!$B$1</c:f>
              <c:strCache>
                <c:ptCount val="1"/>
                <c:pt idx="0">
                  <c:v>Themes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822-4967-A717-A77F602F26F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822-4967-A717-A77F602F26F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822-4967-A717-A77F602F26F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A328-4ECE-9A53-B0CD56D1D737}"/>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A328-4ECE-9A53-B0CD56D1D737}"/>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Verdana" panose="020B0604030504040204" pitchFamily="34" charset="0"/>
                    <a:ea typeface="Verdana" panose="020B0604030504040204" pitchFamily="34" charset="0"/>
                    <a:cs typeface="+mn-cs"/>
                  </a:defRPr>
                </a:pPr>
                <a:endParaRPr lang="en-US"/>
              </a:p>
            </c:txPr>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Sheet1!$A$2:$A$19</c:f>
              <c:strCache>
                <c:ptCount val="5"/>
                <c:pt idx="0">
                  <c:v>Governance</c:v>
                </c:pt>
                <c:pt idx="1">
                  <c:v>Performance Monitoring</c:v>
                </c:pt>
                <c:pt idx="2">
                  <c:v>Planning, Delivery &amp; Deadline Management</c:v>
                </c:pt>
                <c:pt idx="3">
                  <c:v>Policies &amp; Procedures</c:v>
                </c:pt>
                <c:pt idx="4">
                  <c:v>Reporting</c:v>
                </c:pt>
              </c:strCache>
            </c:strRef>
          </c:cat>
          <c:val>
            <c:numRef>
              <c:f>Sheet1!$B$2:$B$19</c:f>
              <c:numCache>
                <c:formatCode>General</c:formatCode>
                <c:ptCount val="5"/>
                <c:pt idx="0">
                  <c:v>2</c:v>
                </c:pt>
                <c:pt idx="1">
                  <c:v>3</c:v>
                </c:pt>
                <c:pt idx="2">
                  <c:v>1</c:v>
                </c:pt>
                <c:pt idx="3">
                  <c:v>1</c:v>
                </c:pt>
                <c:pt idx="4">
                  <c:v>1</c:v>
                </c:pt>
              </c:numCache>
            </c:numRef>
          </c:val>
          <c:extLst>
            <c:ext xmlns:c16="http://schemas.microsoft.com/office/drawing/2014/chart" uri="{C3380CC4-5D6E-409C-BE32-E72D297353CC}">
              <c16:uniqueId val="{00000006-A822-4967-A717-A77F602F26F8}"/>
            </c:ext>
          </c:extLst>
        </c:ser>
        <c:dLbls>
          <c:showLegendKey val="0"/>
          <c:showVal val="0"/>
          <c:showCatName val="0"/>
          <c:showSerName val="0"/>
          <c:showPercent val="1"/>
          <c:showBubbleSize val="0"/>
          <c:showLeaderLines val="1"/>
        </c:dLbls>
        <c:firstSliceAng val="0"/>
        <c:holeSize val="50"/>
      </c:doughnutChart>
      <c:spPr>
        <a:noFill/>
        <a:ln>
          <a:solidFill>
            <a:schemeClr val="bg1"/>
          </a:solidFill>
        </a:ln>
        <a:effectLst>
          <a:outerShdw blurRad="50800" dist="50800" dir="5400000" algn="ctr" rotWithShape="0">
            <a:schemeClr val="bg1"/>
          </a:outerShdw>
        </a:effectLst>
      </c:spPr>
    </c:plotArea>
    <c:legend>
      <c:legendPos val="r"/>
      <c:layout>
        <c:manualLayout>
          <c:xMode val="edge"/>
          <c:yMode val="edge"/>
          <c:x val="0.53801592597535475"/>
          <c:y val="7.4937970883136015E-2"/>
          <c:w val="0.40172042054065277"/>
          <c:h val="0.88849260748881209"/>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dk1">
                  <a:lumMod val="75000"/>
                  <a:lumOff val="25000"/>
                </a:schemeClr>
              </a:solidFill>
              <a:latin typeface="Verdana" panose="020B0604030504040204" pitchFamily="34" charset="0"/>
              <a:ea typeface="Verdana" panose="020B0604030504040204" pitchFamily="34" charset="0"/>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ocumenttasks/documenttasks1.xml><?xml version="1.0" encoding="utf-8"?>
<t:Tasks xmlns:t="http://schemas.microsoft.com/office/tasks/2019/documenttasks" xmlns:oel="http://schemas.microsoft.com/office/2019/extlst">
  <t:Task id="{1659CA88-BE96-4B6E-A8E6-290D128AC91E}">
    <t:Anchor>
      <t:Comment id="658618110"/>
    </t:Anchor>
    <t:History>
      <t:Event id="{31B536D5-C4FF-415A-8862-61E0166267B0}" time="2022-12-12T14:30:47.408Z">
        <t:Attribution userId="S::dave.harries@wales.nhs.uk::02ccb04c-b17a-408a-a215-abd8578dc746" userProvider="AD" userName="Dave Harries (NWSSP - Internal Audit)"/>
        <t:Anchor>
          <t:Comment id="984724506"/>
        </t:Anchor>
        <t:Create/>
      </t:Event>
      <t:Event id="{0298BC93-1AED-40BE-BB08-67A7F0A4653F}" time="2022-12-12T14:30:47.408Z">
        <t:Attribution userId="S::dave.harries@wales.nhs.uk::02ccb04c-b17a-408a-a215-abd8578dc746" userProvider="AD" userName="Dave Harries (NWSSP - Internal Audit)"/>
        <t:Anchor>
          <t:Comment id="984724506"/>
        </t:Anchor>
        <t:Assign userId="S::Nicola.Jones25@wales.nhs.uk::e02d497f-e1de-4da4-85ad-612ac14e1136" userProvider="AD" userName="Nicola Jones (NWSSP - Audit &amp; Assurance Services)"/>
      </t:Event>
      <t:Event id="{C49922BF-DFB9-40E3-81DE-89334E27C16C}" time="2022-12-12T14:30:47.408Z">
        <t:Attribution userId="S::dave.harries@wales.nhs.uk::02ccb04c-b17a-408a-a215-abd8578dc746" userProvider="AD" userName="Dave Harries (NWSSP - Internal Audit)"/>
        <t:Anchor>
          <t:Comment id="984724506"/>
        </t:Anchor>
        <t:SetTitle title="@Nicola Jones (NWSSP - Audit &amp; Assurance Services) when you look at the IMTP Finance Plan there is only reported 12 and 7.5m showing as identified - please look at the FP incase I've misunderstood but dont think I have."/>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CA53BA64E084DB09E86CFFECB8D0282"/>
        <w:category>
          <w:name w:val="General"/>
          <w:gallery w:val="placeholder"/>
        </w:category>
        <w:types>
          <w:type w:val="bbPlcHdr"/>
        </w:types>
        <w:behaviors>
          <w:behavior w:val="content"/>
        </w:behaviors>
        <w:guid w:val="{355B3629-8086-4FB3-B634-E80A67FD15DC}"/>
      </w:docPartPr>
      <w:docPartBody>
        <w:p w:rsidR="00894CD2" w:rsidRDefault="00926F37" w:rsidP="00926F37">
          <w:pPr>
            <w:pStyle w:val="ACA53BA64E084DB09E86CFFECB8D0282"/>
          </w:pPr>
          <w:r w:rsidRPr="00825AF4">
            <w:rPr>
              <w:rStyle w:val="PlaceholderText"/>
            </w:rPr>
            <w:t>[Subject]</w:t>
          </w:r>
        </w:p>
      </w:docPartBody>
    </w:docPart>
    <w:docPart>
      <w:docPartPr>
        <w:name w:val="757D63D8DD004D6BB7CE9098E8770FBC"/>
        <w:category>
          <w:name w:val="General"/>
          <w:gallery w:val="placeholder"/>
        </w:category>
        <w:types>
          <w:type w:val="bbPlcHdr"/>
        </w:types>
        <w:behaviors>
          <w:behavior w:val="content"/>
        </w:behaviors>
        <w:guid w:val="{1E8743BF-EAF9-4F69-BAE9-FBB01E58FD9C}"/>
      </w:docPartPr>
      <w:docPartBody>
        <w:p w:rsidR="00894CD2" w:rsidRDefault="00926F37" w:rsidP="00926F37">
          <w:pPr>
            <w:pStyle w:val="757D63D8DD004D6BB7CE9098E8770FBC"/>
          </w:pPr>
          <w:r w:rsidRPr="00B171CE">
            <w:rPr>
              <w:rStyle w:val="PlaceholderText"/>
            </w:rPr>
            <w:t>[Title]</w:t>
          </w:r>
        </w:p>
      </w:docPartBody>
    </w:docPart>
    <w:docPart>
      <w:docPartPr>
        <w:name w:val="D315CD3D893F49EC89750C6713CE275C"/>
        <w:category>
          <w:name w:val="General"/>
          <w:gallery w:val="placeholder"/>
        </w:category>
        <w:types>
          <w:type w:val="bbPlcHdr"/>
        </w:types>
        <w:behaviors>
          <w:behavior w:val="content"/>
        </w:behaviors>
        <w:guid w:val="{F0333E32-FFE4-46E2-A77A-A406A0017116}"/>
      </w:docPartPr>
      <w:docPartBody>
        <w:p w:rsidR="00BC21D5" w:rsidRDefault="002508BC" w:rsidP="002508BC">
          <w:pPr>
            <w:pStyle w:val="D315CD3D893F49EC89750C6713CE275C1"/>
          </w:pPr>
          <w:r w:rsidRPr="005044D5">
            <w:rPr>
              <w:rStyle w:val="PlaceholderText"/>
            </w:rPr>
            <w:t>Choose an item.</w:t>
          </w:r>
        </w:p>
      </w:docPartBody>
    </w:docPart>
    <w:docPart>
      <w:docPartPr>
        <w:name w:val="3169B92BC3694C64A390D272BAE3A390"/>
        <w:category>
          <w:name w:val="General"/>
          <w:gallery w:val="placeholder"/>
        </w:category>
        <w:types>
          <w:type w:val="bbPlcHdr"/>
        </w:types>
        <w:behaviors>
          <w:behavior w:val="content"/>
        </w:behaviors>
        <w:guid w:val="{06E06B01-B125-4E5C-9290-E5ED0332B030}"/>
      </w:docPartPr>
      <w:docPartBody>
        <w:p w:rsidR="00BC21D5" w:rsidRDefault="00913E0A" w:rsidP="00913E0A">
          <w:pPr>
            <w:pStyle w:val="3169B92BC3694C64A390D272BAE3A390"/>
          </w:pPr>
          <w:r w:rsidRPr="00C170DA">
            <w:rPr>
              <w:rStyle w:val="PlaceholderText"/>
            </w:rPr>
            <w:t>Choose an item.</w:t>
          </w:r>
        </w:p>
      </w:docPartBody>
    </w:docPart>
    <w:docPart>
      <w:docPartPr>
        <w:name w:val="4DEC48053F8A4B48AB373481AC870BE1"/>
        <w:category>
          <w:name w:val="General"/>
          <w:gallery w:val="placeholder"/>
        </w:category>
        <w:types>
          <w:type w:val="bbPlcHdr"/>
        </w:types>
        <w:behaviors>
          <w:behavior w:val="content"/>
        </w:behaviors>
        <w:guid w:val="{B7D46E06-742E-476B-B73B-0708027D53AC}"/>
      </w:docPartPr>
      <w:docPartBody>
        <w:p w:rsidR="00BC21D5" w:rsidRDefault="00913E0A" w:rsidP="00913E0A">
          <w:pPr>
            <w:pStyle w:val="4DEC48053F8A4B48AB373481AC870BE1"/>
          </w:pPr>
          <w:r w:rsidRPr="00C170DA">
            <w:rPr>
              <w:rStyle w:val="PlaceholderText"/>
            </w:rPr>
            <w:t>Choose an item.</w:t>
          </w:r>
        </w:p>
      </w:docPartBody>
    </w:docPart>
    <w:docPart>
      <w:docPartPr>
        <w:name w:val="2A7D1BB74B5C4788A1D8549B122CC41A"/>
        <w:category>
          <w:name w:val="General"/>
          <w:gallery w:val="placeholder"/>
        </w:category>
        <w:types>
          <w:type w:val="bbPlcHdr"/>
        </w:types>
        <w:behaviors>
          <w:behavior w:val="content"/>
        </w:behaviors>
        <w:guid w:val="{55D5A137-9168-41B5-823C-DD94825A88C3}"/>
      </w:docPartPr>
      <w:docPartBody>
        <w:p w:rsidR="003242AB" w:rsidRDefault="002508BC" w:rsidP="002508BC">
          <w:pPr>
            <w:pStyle w:val="2A7D1BB74B5C4788A1D8549B122CC41A"/>
          </w:pPr>
          <w:r w:rsidRPr="00C170D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BEAE76C3-4396-438B-83B1-9EB1F2E0DE93}"/>
      </w:docPartPr>
      <w:docPartBody>
        <w:p w:rsidR="003242AB" w:rsidRDefault="002508BC">
          <w:r w:rsidRPr="00E870F8">
            <w:rPr>
              <w:rStyle w:val="PlaceholderText"/>
            </w:rPr>
            <w:t>Choose an item.</w:t>
          </w:r>
        </w:p>
      </w:docPartBody>
    </w:docPart>
    <w:docPart>
      <w:docPartPr>
        <w:name w:val="17AC710D5BE24F0AB168B1FADDB94281"/>
        <w:category>
          <w:name w:val="General"/>
          <w:gallery w:val="placeholder"/>
        </w:category>
        <w:types>
          <w:type w:val="bbPlcHdr"/>
        </w:types>
        <w:behaviors>
          <w:behavior w:val="content"/>
        </w:behaviors>
        <w:guid w:val="{93F00B85-B27D-4F78-A298-5EA4B89154D0}"/>
      </w:docPartPr>
      <w:docPartBody>
        <w:p w:rsidR="003242AB" w:rsidRDefault="002508BC" w:rsidP="002508BC">
          <w:pPr>
            <w:pStyle w:val="17AC710D5BE24F0AB168B1FADDB94281"/>
          </w:pPr>
          <w:r w:rsidRPr="00E870F8">
            <w:rPr>
              <w:rStyle w:val="PlaceholderText"/>
            </w:rPr>
            <w:t>Choose an item.</w:t>
          </w:r>
        </w:p>
      </w:docPartBody>
    </w:docPart>
    <w:docPart>
      <w:docPartPr>
        <w:name w:val="E0D0434D25AE44A39406CC4926A9ED8A"/>
        <w:category>
          <w:name w:val="General"/>
          <w:gallery w:val="placeholder"/>
        </w:category>
        <w:types>
          <w:type w:val="bbPlcHdr"/>
        </w:types>
        <w:behaviors>
          <w:behavior w:val="content"/>
        </w:behaviors>
        <w:guid w:val="{88664380-1E3E-45C3-B5CD-9DB6AF6A5757}"/>
      </w:docPartPr>
      <w:docPartBody>
        <w:p w:rsidR="003242AB" w:rsidRDefault="002508BC" w:rsidP="002508BC">
          <w:pPr>
            <w:pStyle w:val="E0D0434D25AE44A39406CC4926A9ED8A"/>
          </w:pPr>
          <w:r w:rsidRPr="00E870F8">
            <w:rPr>
              <w:rStyle w:val="PlaceholderText"/>
            </w:rPr>
            <w:t>Choose an item.</w:t>
          </w:r>
        </w:p>
      </w:docPartBody>
    </w:docPart>
    <w:docPart>
      <w:docPartPr>
        <w:name w:val="30D0F6B42825495EB958C7AC9B607D1D"/>
        <w:category>
          <w:name w:val="General"/>
          <w:gallery w:val="placeholder"/>
        </w:category>
        <w:types>
          <w:type w:val="bbPlcHdr"/>
        </w:types>
        <w:behaviors>
          <w:behavior w:val="content"/>
        </w:behaviors>
        <w:guid w:val="{800B2A5B-C6D2-403B-8264-E535C84D663D}"/>
      </w:docPartPr>
      <w:docPartBody>
        <w:p w:rsidR="003242AB" w:rsidRDefault="002508BC" w:rsidP="002508BC">
          <w:pPr>
            <w:pStyle w:val="30D0F6B42825495EB958C7AC9B607D1D"/>
          </w:pPr>
          <w:r w:rsidRPr="00E870F8">
            <w:rPr>
              <w:rStyle w:val="PlaceholderText"/>
            </w:rPr>
            <w:t>Choose an item.</w:t>
          </w:r>
        </w:p>
      </w:docPartBody>
    </w:docPart>
    <w:docPart>
      <w:docPartPr>
        <w:name w:val="C5759FE585794CACB2397E7BC43F6DA3"/>
        <w:category>
          <w:name w:val="General"/>
          <w:gallery w:val="placeholder"/>
        </w:category>
        <w:types>
          <w:type w:val="bbPlcHdr"/>
        </w:types>
        <w:behaviors>
          <w:behavior w:val="content"/>
        </w:behaviors>
        <w:guid w:val="{4C51CA64-144D-4A38-A592-CFFEE7AF2D7E}"/>
      </w:docPartPr>
      <w:docPartBody>
        <w:p w:rsidR="003242AB" w:rsidRDefault="002508BC" w:rsidP="002508BC">
          <w:pPr>
            <w:pStyle w:val="C5759FE585794CACB2397E7BC43F6DA3"/>
          </w:pPr>
          <w:r w:rsidRPr="00E870F8">
            <w:rPr>
              <w:rStyle w:val="PlaceholderText"/>
            </w:rPr>
            <w:t>Choose an item.</w:t>
          </w:r>
        </w:p>
      </w:docPartBody>
    </w:docPart>
    <w:docPart>
      <w:docPartPr>
        <w:name w:val="ABAAF1F27E824616A4FF773F365ABF8A"/>
        <w:category>
          <w:name w:val="General"/>
          <w:gallery w:val="placeholder"/>
        </w:category>
        <w:types>
          <w:type w:val="bbPlcHdr"/>
        </w:types>
        <w:behaviors>
          <w:behavior w:val="content"/>
        </w:behaviors>
        <w:guid w:val="{0E12A7C5-F66B-4FEB-AFEA-549EE8323229}"/>
      </w:docPartPr>
      <w:docPartBody>
        <w:p w:rsidR="003242AB" w:rsidRDefault="002508BC" w:rsidP="002508BC">
          <w:pPr>
            <w:pStyle w:val="ABAAF1F27E824616A4FF773F365ABF8A"/>
          </w:pPr>
          <w:r w:rsidRPr="00E870F8">
            <w:rPr>
              <w:rStyle w:val="PlaceholderText"/>
            </w:rPr>
            <w:t>Choose an item.</w:t>
          </w:r>
        </w:p>
      </w:docPartBody>
    </w:docPart>
    <w:docPart>
      <w:docPartPr>
        <w:name w:val="F65A222D00174898BCBD059AC167DA01"/>
        <w:category>
          <w:name w:val="General"/>
          <w:gallery w:val="placeholder"/>
        </w:category>
        <w:types>
          <w:type w:val="bbPlcHdr"/>
        </w:types>
        <w:behaviors>
          <w:behavior w:val="content"/>
        </w:behaviors>
        <w:guid w:val="{DE53307B-A866-4681-B7BE-B330A46B1213}"/>
      </w:docPartPr>
      <w:docPartBody>
        <w:p w:rsidR="006F22E4" w:rsidRDefault="00D26192">
          <w:pPr>
            <w:pStyle w:val="F65A222D00174898BCBD059AC167DA01"/>
          </w:pPr>
          <w:r w:rsidRPr="005044D5">
            <w:rPr>
              <w:rStyle w:val="PlaceholderText"/>
            </w:rPr>
            <w:t>Choose an item.</w:t>
          </w:r>
        </w:p>
      </w:docPartBody>
    </w:docPart>
    <w:docPart>
      <w:docPartPr>
        <w:name w:val="B7471351E20E46DCBE941B38C1782032"/>
        <w:category>
          <w:name w:val="General"/>
          <w:gallery w:val="placeholder"/>
        </w:category>
        <w:types>
          <w:type w:val="bbPlcHdr"/>
        </w:types>
        <w:behaviors>
          <w:behavior w:val="content"/>
        </w:behaviors>
        <w:guid w:val="{CEF6BCEA-0DD5-4D80-9909-F8B65A7E2CA8}"/>
      </w:docPartPr>
      <w:docPartBody>
        <w:p w:rsidR="006F22E4" w:rsidRDefault="00D26192">
          <w:pPr>
            <w:pStyle w:val="B7471351E20E46DCBE941B38C1782032"/>
          </w:pPr>
          <w:r w:rsidRPr="00C170DA">
            <w:rPr>
              <w:rStyle w:val="PlaceholderText"/>
            </w:rPr>
            <w:t>Choose an item.</w:t>
          </w:r>
        </w:p>
      </w:docPartBody>
    </w:docPart>
    <w:docPart>
      <w:docPartPr>
        <w:name w:val="10885EA0F55F4A178662479A31AEF777"/>
        <w:category>
          <w:name w:val="General"/>
          <w:gallery w:val="placeholder"/>
        </w:category>
        <w:types>
          <w:type w:val="bbPlcHdr"/>
        </w:types>
        <w:behaviors>
          <w:behavior w:val="content"/>
        </w:behaviors>
        <w:guid w:val="{14492F87-0A38-4F3C-B0CA-30C32B303FCF}"/>
      </w:docPartPr>
      <w:docPartBody>
        <w:p w:rsidR="006F22E4" w:rsidRDefault="00D26192">
          <w:pPr>
            <w:pStyle w:val="10885EA0F55F4A178662479A31AEF777"/>
          </w:pPr>
          <w:r w:rsidRPr="005044D5">
            <w:rPr>
              <w:rStyle w:val="PlaceholderText"/>
            </w:rPr>
            <w:t>Choose an item.</w:t>
          </w:r>
        </w:p>
      </w:docPartBody>
    </w:docPart>
    <w:docPart>
      <w:docPartPr>
        <w:name w:val="31CBBDDC6E0B477F8A78CC99C7963453"/>
        <w:category>
          <w:name w:val="General"/>
          <w:gallery w:val="placeholder"/>
        </w:category>
        <w:types>
          <w:type w:val="bbPlcHdr"/>
        </w:types>
        <w:behaviors>
          <w:behavior w:val="content"/>
        </w:behaviors>
        <w:guid w:val="{53EF9D59-1442-44D5-BA22-16303BE8D8CB}"/>
      </w:docPartPr>
      <w:docPartBody>
        <w:p w:rsidR="006F22E4" w:rsidRDefault="00D26192">
          <w:pPr>
            <w:pStyle w:val="31CBBDDC6E0B477F8A78CC99C7963453"/>
          </w:pPr>
          <w:r w:rsidRPr="00332AFA">
            <w:rPr>
              <w:rStyle w:val="PlaceholderText"/>
              <w:rFonts w:ascii="Verdana" w:hAnsi="Verdana"/>
              <w:color w:val="auto"/>
            </w:rPr>
            <w:t>Choose an item.</w:t>
          </w:r>
        </w:p>
      </w:docPartBody>
    </w:docPart>
    <w:docPart>
      <w:docPartPr>
        <w:name w:val="C42BF7DCC1E644FB9571D039E755F636"/>
        <w:category>
          <w:name w:val="General"/>
          <w:gallery w:val="placeholder"/>
        </w:category>
        <w:types>
          <w:type w:val="bbPlcHdr"/>
        </w:types>
        <w:behaviors>
          <w:behavior w:val="content"/>
        </w:behaviors>
        <w:guid w:val="{3FCF0594-1E36-49A2-B193-B2AE1F307BD1}"/>
      </w:docPartPr>
      <w:docPartBody>
        <w:p w:rsidR="00132E5F" w:rsidRDefault="00132E5F" w:rsidP="00132E5F">
          <w:pPr>
            <w:pStyle w:val="C42BF7DCC1E644FB9571D039E755F636"/>
          </w:pPr>
          <w:r w:rsidRPr="00332AFA">
            <w:rPr>
              <w:rStyle w:val="PlaceholderText"/>
              <w:rFonts w:ascii="Verdana" w:hAnsi="Verdana"/>
              <w:color w:val="auto"/>
            </w:rPr>
            <w:t>Choose an item.</w:t>
          </w:r>
        </w:p>
      </w:docPartBody>
    </w:docPart>
    <w:docPart>
      <w:docPartPr>
        <w:name w:val="8C235789E5614764AD55DA1DE4791404"/>
        <w:category>
          <w:name w:val="General"/>
          <w:gallery w:val="placeholder"/>
        </w:category>
        <w:types>
          <w:type w:val="bbPlcHdr"/>
        </w:types>
        <w:behaviors>
          <w:behavior w:val="content"/>
        </w:behaviors>
        <w:guid w:val="{5A3E8730-D4A2-4C4E-AED8-000F8FEB41A7}"/>
      </w:docPartPr>
      <w:docPartBody>
        <w:p w:rsidR="00132E5F" w:rsidRDefault="00132E5F" w:rsidP="00132E5F">
          <w:pPr>
            <w:pStyle w:val="8C235789E5614764AD55DA1DE4791404"/>
          </w:pPr>
          <w:r w:rsidRPr="005044D5">
            <w:rPr>
              <w:rStyle w:val="PlaceholderText"/>
            </w:rPr>
            <w:t>Choose an item.</w:t>
          </w:r>
        </w:p>
      </w:docPartBody>
    </w:docPart>
    <w:docPart>
      <w:docPartPr>
        <w:name w:val="F6D5C48F9F554A86982257DF253DFB13"/>
        <w:category>
          <w:name w:val="General"/>
          <w:gallery w:val="placeholder"/>
        </w:category>
        <w:types>
          <w:type w:val="bbPlcHdr"/>
        </w:types>
        <w:behaviors>
          <w:behavior w:val="content"/>
        </w:behaviors>
        <w:guid w:val="{D54E0ACA-1941-4C79-8A8D-D64D3C7DE7DE}"/>
      </w:docPartPr>
      <w:docPartBody>
        <w:p w:rsidR="00132E5F" w:rsidRDefault="00132E5F" w:rsidP="00132E5F">
          <w:pPr>
            <w:pStyle w:val="F6D5C48F9F554A86982257DF253DFB13"/>
          </w:pPr>
          <w:r w:rsidRPr="00332AFA">
            <w:rPr>
              <w:rStyle w:val="PlaceholderText"/>
              <w:rFonts w:ascii="Verdana" w:hAnsi="Verdana"/>
              <w:color w:val="auto"/>
            </w:rPr>
            <w:t>Choose an item.</w:t>
          </w:r>
        </w:p>
      </w:docPartBody>
    </w:docPart>
    <w:docPart>
      <w:docPartPr>
        <w:name w:val="127CD407C7D74155BAF7BD99763BC21E"/>
        <w:category>
          <w:name w:val="General"/>
          <w:gallery w:val="placeholder"/>
        </w:category>
        <w:types>
          <w:type w:val="bbPlcHdr"/>
        </w:types>
        <w:behaviors>
          <w:behavior w:val="content"/>
        </w:behaviors>
        <w:guid w:val="{C47DD2F7-AFA3-4F80-A2B2-4815A48EDDBA}"/>
      </w:docPartPr>
      <w:docPartBody>
        <w:p w:rsidR="008C1B4A" w:rsidRDefault="002508BC">
          <w:pPr>
            <w:pStyle w:val="127CD407C7D74155BAF7BD99763BC21E"/>
          </w:pPr>
          <w:r w:rsidRPr="00332AFA">
            <w:rPr>
              <w:rStyle w:val="PlaceholderText"/>
              <w:rFonts w:ascii="Verdana" w:hAnsi="Verdana"/>
              <w:color w:val="auto"/>
            </w:rPr>
            <w:t>Choose an item.</w:t>
          </w:r>
        </w:p>
      </w:docPartBody>
    </w:docPart>
    <w:docPart>
      <w:docPartPr>
        <w:name w:val="0D7D0DDD322946AB82A7309D4D11455A"/>
        <w:category>
          <w:name w:val="General"/>
          <w:gallery w:val="placeholder"/>
        </w:category>
        <w:types>
          <w:type w:val="bbPlcHdr"/>
        </w:types>
        <w:behaviors>
          <w:behavior w:val="content"/>
        </w:behaviors>
        <w:guid w:val="{359EC8B8-049E-4F3A-938A-F1C986BC8BEC}"/>
      </w:docPartPr>
      <w:docPartBody>
        <w:p w:rsidR="00F2669D" w:rsidRDefault="00D47B6A" w:rsidP="00D47B6A">
          <w:pPr>
            <w:pStyle w:val="0D7D0DDD322946AB82A7309D4D11455A"/>
          </w:pPr>
          <w:r w:rsidRPr="00332AFA">
            <w:rPr>
              <w:rStyle w:val="PlaceholderText"/>
              <w:rFonts w:ascii="Verdana" w:hAnsi="Verdana"/>
              <w:color w:val="auto"/>
            </w:rPr>
            <w:t>Choose an item.</w:t>
          </w:r>
        </w:p>
      </w:docPartBody>
    </w:docPart>
    <w:docPart>
      <w:docPartPr>
        <w:name w:val="211EA8C8AC734D158E9DC9DC147AEA90"/>
        <w:category>
          <w:name w:val="General"/>
          <w:gallery w:val="placeholder"/>
        </w:category>
        <w:types>
          <w:type w:val="bbPlcHdr"/>
        </w:types>
        <w:behaviors>
          <w:behavior w:val="content"/>
        </w:behaviors>
        <w:guid w:val="{B0D9738B-B2B2-4847-8EFC-48663EFC9A36}"/>
      </w:docPartPr>
      <w:docPartBody>
        <w:p w:rsidR="00F2669D" w:rsidRDefault="00D47B6A" w:rsidP="00D47B6A">
          <w:pPr>
            <w:pStyle w:val="211EA8C8AC734D158E9DC9DC147AEA90"/>
          </w:pPr>
          <w:r w:rsidRPr="005044D5">
            <w:rPr>
              <w:rStyle w:val="PlaceholderText"/>
            </w:rPr>
            <w:t>Choose an item.</w:t>
          </w:r>
        </w:p>
      </w:docPartBody>
    </w:docPart>
    <w:docPart>
      <w:docPartPr>
        <w:name w:val="53BE9F9B397C4DDFA23CBA2FEEDDFE6B"/>
        <w:category>
          <w:name w:val="General"/>
          <w:gallery w:val="placeholder"/>
        </w:category>
        <w:types>
          <w:type w:val="bbPlcHdr"/>
        </w:types>
        <w:behaviors>
          <w:behavior w:val="content"/>
        </w:behaviors>
        <w:guid w:val="{7A114D7C-1695-4789-90D7-BD6AC8611EF8}"/>
      </w:docPartPr>
      <w:docPartBody>
        <w:p w:rsidR="00F2669D" w:rsidRDefault="00D47B6A" w:rsidP="00D47B6A">
          <w:pPr>
            <w:pStyle w:val="53BE9F9B397C4DDFA23CBA2FEEDDFE6B"/>
          </w:pPr>
          <w:r w:rsidRPr="00332AFA">
            <w:rPr>
              <w:rStyle w:val="PlaceholderText"/>
              <w:rFonts w:ascii="Verdana" w:hAnsi="Verdana"/>
              <w:color w:val="auto"/>
            </w:rPr>
            <w:t>Choose an item.</w:t>
          </w:r>
        </w:p>
      </w:docPartBody>
    </w:docPart>
    <w:docPart>
      <w:docPartPr>
        <w:name w:val="FC80AB8439FF45ECA2A8856F677DB596"/>
        <w:category>
          <w:name w:val="General"/>
          <w:gallery w:val="placeholder"/>
        </w:category>
        <w:types>
          <w:type w:val="bbPlcHdr"/>
        </w:types>
        <w:behaviors>
          <w:behavior w:val="content"/>
        </w:behaviors>
        <w:guid w:val="{3BB63827-5014-4DE7-8F21-65FFF497F10A}"/>
      </w:docPartPr>
      <w:docPartBody>
        <w:p w:rsidR="00F2669D" w:rsidRDefault="00D47B6A" w:rsidP="00D47B6A">
          <w:pPr>
            <w:pStyle w:val="FC80AB8439FF45ECA2A8856F677DB596"/>
          </w:pPr>
          <w:r w:rsidRPr="00332AFA">
            <w:rPr>
              <w:rStyle w:val="PlaceholderText"/>
              <w:rFonts w:ascii="Verdana" w:hAnsi="Verdana"/>
              <w:color w:val="auto"/>
            </w:rPr>
            <w:t>Choose an item.</w:t>
          </w:r>
        </w:p>
      </w:docPartBody>
    </w:docPart>
    <w:docPart>
      <w:docPartPr>
        <w:name w:val="14672A8D84A64E8089C15B5969C7DE9D"/>
        <w:category>
          <w:name w:val="General"/>
          <w:gallery w:val="placeholder"/>
        </w:category>
        <w:types>
          <w:type w:val="bbPlcHdr"/>
        </w:types>
        <w:behaviors>
          <w:behavior w:val="content"/>
        </w:behaviors>
        <w:guid w:val="{BAAE7C84-5CE0-48D4-837D-723F0C901AA4}"/>
      </w:docPartPr>
      <w:docPartBody>
        <w:p w:rsidR="00F2669D" w:rsidRDefault="00D47B6A" w:rsidP="00D47B6A">
          <w:pPr>
            <w:pStyle w:val="14672A8D84A64E8089C15B5969C7DE9D"/>
          </w:pPr>
          <w:r w:rsidRPr="005044D5">
            <w:rPr>
              <w:rStyle w:val="PlaceholderText"/>
            </w:rPr>
            <w:t>Choose an item.</w:t>
          </w:r>
        </w:p>
      </w:docPartBody>
    </w:docPart>
    <w:docPart>
      <w:docPartPr>
        <w:name w:val="3D0AC98762824D68BC439E08FEC19DE0"/>
        <w:category>
          <w:name w:val="General"/>
          <w:gallery w:val="placeholder"/>
        </w:category>
        <w:types>
          <w:type w:val="bbPlcHdr"/>
        </w:types>
        <w:behaviors>
          <w:behavior w:val="content"/>
        </w:behaviors>
        <w:guid w:val="{52D96AC8-B465-482C-99A0-47A469D5070E}"/>
      </w:docPartPr>
      <w:docPartBody>
        <w:p w:rsidR="00F2669D" w:rsidRDefault="00D47B6A" w:rsidP="00D47B6A">
          <w:pPr>
            <w:pStyle w:val="3D0AC98762824D68BC439E08FEC19DE0"/>
          </w:pPr>
          <w:r w:rsidRPr="00332AFA">
            <w:rPr>
              <w:rStyle w:val="PlaceholderText"/>
              <w:rFonts w:ascii="Verdana" w:hAnsi="Verdana"/>
              <w:color w:val="auto"/>
            </w:rPr>
            <w:t>Choose an item.</w:t>
          </w:r>
        </w:p>
      </w:docPartBody>
    </w:docPart>
    <w:docPart>
      <w:docPartPr>
        <w:name w:val="81B3A63B987E40B5BDF4DE7B7A64DFF0"/>
        <w:category>
          <w:name w:val="General"/>
          <w:gallery w:val="placeholder"/>
        </w:category>
        <w:types>
          <w:type w:val="bbPlcHdr"/>
        </w:types>
        <w:behaviors>
          <w:behavior w:val="content"/>
        </w:behaviors>
        <w:guid w:val="{E641D8FC-116C-42F3-9ED0-DAF64FF8DCF0}"/>
      </w:docPartPr>
      <w:docPartBody>
        <w:p w:rsidR="00F2669D" w:rsidRDefault="00D47B6A" w:rsidP="00D47B6A">
          <w:pPr>
            <w:pStyle w:val="81B3A63B987E40B5BDF4DE7B7A64DFF0"/>
          </w:pPr>
          <w:r w:rsidRPr="00332AFA">
            <w:rPr>
              <w:rStyle w:val="PlaceholderText"/>
              <w:rFonts w:ascii="Verdana" w:hAnsi="Verdana"/>
              <w:color w:val="auto"/>
            </w:rPr>
            <w:t>Choose an item.</w:t>
          </w:r>
        </w:p>
      </w:docPartBody>
    </w:docPart>
    <w:docPart>
      <w:docPartPr>
        <w:name w:val="B2D1F41074FA494584F514165EAD8275"/>
        <w:category>
          <w:name w:val="General"/>
          <w:gallery w:val="placeholder"/>
        </w:category>
        <w:types>
          <w:type w:val="bbPlcHdr"/>
        </w:types>
        <w:behaviors>
          <w:behavior w:val="content"/>
        </w:behaviors>
        <w:guid w:val="{FF642B36-41AE-4D2B-9C38-8FB437BD1917}"/>
      </w:docPartPr>
      <w:docPartBody>
        <w:p w:rsidR="00F2669D" w:rsidRDefault="00D47B6A" w:rsidP="00D47B6A">
          <w:pPr>
            <w:pStyle w:val="B2D1F41074FA494584F514165EAD8275"/>
          </w:pPr>
          <w:r w:rsidRPr="005044D5">
            <w:rPr>
              <w:rStyle w:val="PlaceholderText"/>
            </w:rPr>
            <w:t>Choose an item.</w:t>
          </w:r>
        </w:p>
      </w:docPartBody>
    </w:docPart>
    <w:docPart>
      <w:docPartPr>
        <w:name w:val="0E424C18B63744D6A427410ED7FF81CC"/>
        <w:category>
          <w:name w:val="General"/>
          <w:gallery w:val="placeholder"/>
        </w:category>
        <w:types>
          <w:type w:val="bbPlcHdr"/>
        </w:types>
        <w:behaviors>
          <w:behavior w:val="content"/>
        </w:behaviors>
        <w:guid w:val="{6504EB55-2B99-41A4-898F-8EB9AC83CC0E}"/>
      </w:docPartPr>
      <w:docPartBody>
        <w:p w:rsidR="00F2669D" w:rsidRDefault="00D47B6A" w:rsidP="00D47B6A">
          <w:pPr>
            <w:pStyle w:val="0E424C18B63744D6A427410ED7FF81CC"/>
          </w:pPr>
          <w:r w:rsidRPr="00332AFA">
            <w:rPr>
              <w:rStyle w:val="PlaceholderText"/>
              <w:rFonts w:ascii="Verdana" w:hAnsi="Verdana"/>
              <w:color w:val="auto"/>
            </w:rPr>
            <w:t>Choose an item.</w:t>
          </w:r>
        </w:p>
      </w:docPartBody>
    </w:docPart>
    <w:docPart>
      <w:docPartPr>
        <w:name w:val="D4393941BDD24A4C8B78BA7D8887C047"/>
        <w:category>
          <w:name w:val="General"/>
          <w:gallery w:val="placeholder"/>
        </w:category>
        <w:types>
          <w:type w:val="bbPlcHdr"/>
        </w:types>
        <w:behaviors>
          <w:behavior w:val="content"/>
        </w:behaviors>
        <w:guid w:val="{5919C862-72FB-41C4-A451-5033F9A476B5}"/>
      </w:docPartPr>
      <w:docPartBody>
        <w:p w:rsidR="00097D84" w:rsidRDefault="003C1315" w:rsidP="003C1315">
          <w:pPr>
            <w:pStyle w:val="D4393941BDD24A4C8B78BA7D8887C047"/>
          </w:pPr>
          <w:r w:rsidRPr="005044D5">
            <w:rPr>
              <w:rStyle w:val="PlaceholderText"/>
            </w:rPr>
            <w:t>Choose an item.</w:t>
          </w:r>
        </w:p>
      </w:docPartBody>
    </w:docPart>
    <w:docPart>
      <w:docPartPr>
        <w:name w:val="C5EA89AC6F58462E82BD0E560C149982"/>
        <w:category>
          <w:name w:val="General"/>
          <w:gallery w:val="placeholder"/>
        </w:category>
        <w:types>
          <w:type w:val="bbPlcHdr"/>
        </w:types>
        <w:behaviors>
          <w:behavior w:val="content"/>
        </w:behaviors>
        <w:guid w:val="{93C6D1EB-87CF-4788-93A2-B8C8984D4C40}"/>
      </w:docPartPr>
      <w:docPartBody>
        <w:p w:rsidR="00097D84" w:rsidRDefault="003C1315" w:rsidP="003C1315">
          <w:pPr>
            <w:pStyle w:val="C5EA89AC6F58462E82BD0E560C149982"/>
          </w:pPr>
          <w:r w:rsidRPr="00332AFA">
            <w:rPr>
              <w:rStyle w:val="PlaceholderText"/>
              <w:rFonts w:ascii="Verdana" w:hAnsi="Verdana"/>
              <w:color w:val="auto"/>
            </w:rPr>
            <w:t>Choose an item.</w:t>
          </w:r>
        </w:p>
      </w:docPartBody>
    </w:docPart>
    <w:docPart>
      <w:docPartPr>
        <w:name w:val="DA6E32E1547E4D96B9EAABE426836C8B"/>
        <w:category>
          <w:name w:val="General"/>
          <w:gallery w:val="placeholder"/>
        </w:category>
        <w:types>
          <w:type w:val="bbPlcHdr"/>
        </w:types>
        <w:behaviors>
          <w:behavior w:val="content"/>
        </w:behaviors>
        <w:guid w:val="{7BE3D4F5-99C1-4D23-A38E-CBF6AAC3E6DC}"/>
      </w:docPartPr>
      <w:docPartBody>
        <w:p w:rsidR="00097D84" w:rsidRDefault="003C1315" w:rsidP="003C1315">
          <w:pPr>
            <w:pStyle w:val="DA6E32E1547E4D96B9EAABE426836C8B"/>
          </w:pPr>
          <w:r w:rsidRPr="00332AFA">
            <w:rPr>
              <w:rStyle w:val="PlaceholderText"/>
              <w:rFonts w:ascii="Verdana" w:hAnsi="Verdana"/>
              <w:color w:val="auto"/>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A66"/>
    <w:rsid w:val="00007532"/>
    <w:rsid w:val="00031A06"/>
    <w:rsid w:val="00053134"/>
    <w:rsid w:val="000639B6"/>
    <w:rsid w:val="0007133B"/>
    <w:rsid w:val="000740F7"/>
    <w:rsid w:val="00077A0D"/>
    <w:rsid w:val="00083E12"/>
    <w:rsid w:val="00084A61"/>
    <w:rsid w:val="000916DE"/>
    <w:rsid w:val="000943F4"/>
    <w:rsid w:val="00097D84"/>
    <w:rsid w:val="000A1F10"/>
    <w:rsid w:val="000A28C2"/>
    <w:rsid w:val="000B567A"/>
    <w:rsid w:val="000C001A"/>
    <w:rsid w:val="000E3127"/>
    <w:rsid w:val="000F4D9A"/>
    <w:rsid w:val="00106E82"/>
    <w:rsid w:val="00113355"/>
    <w:rsid w:val="0011452D"/>
    <w:rsid w:val="00132E5F"/>
    <w:rsid w:val="0015096C"/>
    <w:rsid w:val="00156052"/>
    <w:rsid w:val="00161994"/>
    <w:rsid w:val="001659FD"/>
    <w:rsid w:val="00166BD9"/>
    <w:rsid w:val="0018046F"/>
    <w:rsid w:val="00183CD3"/>
    <w:rsid w:val="001904DF"/>
    <w:rsid w:val="001C5092"/>
    <w:rsid w:val="001C698B"/>
    <w:rsid w:val="001D138A"/>
    <w:rsid w:val="001D623C"/>
    <w:rsid w:val="001D72D6"/>
    <w:rsid w:val="0021243B"/>
    <w:rsid w:val="002233B7"/>
    <w:rsid w:val="002240FD"/>
    <w:rsid w:val="00236234"/>
    <w:rsid w:val="002508BC"/>
    <w:rsid w:val="00254260"/>
    <w:rsid w:val="00254B5A"/>
    <w:rsid w:val="00265FFC"/>
    <w:rsid w:val="0026627A"/>
    <w:rsid w:val="00282680"/>
    <w:rsid w:val="002A0389"/>
    <w:rsid w:val="002A5320"/>
    <w:rsid w:val="002A7DB4"/>
    <w:rsid w:val="002B1FD1"/>
    <w:rsid w:val="002B6E5D"/>
    <w:rsid w:val="002C0217"/>
    <w:rsid w:val="002C42AF"/>
    <w:rsid w:val="002D59AD"/>
    <w:rsid w:val="002E5D2D"/>
    <w:rsid w:val="002F39A4"/>
    <w:rsid w:val="0030309F"/>
    <w:rsid w:val="00315B65"/>
    <w:rsid w:val="003242AB"/>
    <w:rsid w:val="00343527"/>
    <w:rsid w:val="00356EFF"/>
    <w:rsid w:val="00360003"/>
    <w:rsid w:val="003600CE"/>
    <w:rsid w:val="0036367E"/>
    <w:rsid w:val="00370A15"/>
    <w:rsid w:val="00387D0A"/>
    <w:rsid w:val="00392460"/>
    <w:rsid w:val="003C1315"/>
    <w:rsid w:val="003C6E76"/>
    <w:rsid w:val="003E403C"/>
    <w:rsid w:val="003E6102"/>
    <w:rsid w:val="003F638A"/>
    <w:rsid w:val="00402A70"/>
    <w:rsid w:val="0040339C"/>
    <w:rsid w:val="00412AEE"/>
    <w:rsid w:val="004337FC"/>
    <w:rsid w:val="00451D2F"/>
    <w:rsid w:val="004720FC"/>
    <w:rsid w:val="00480C63"/>
    <w:rsid w:val="004A3193"/>
    <w:rsid w:val="004B2683"/>
    <w:rsid w:val="004C4E03"/>
    <w:rsid w:val="004E444D"/>
    <w:rsid w:val="004F3584"/>
    <w:rsid w:val="004F6053"/>
    <w:rsid w:val="004F6710"/>
    <w:rsid w:val="005049F6"/>
    <w:rsid w:val="0050582B"/>
    <w:rsid w:val="00511B2A"/>
    <w:rsid w:val="005227D3"/>
    <w:rsid w:val="00526EE6"/>
    <w:rsid w:val="005335F7"/>
    <w:rsid w:val="005353FC"/>
    <w:rsid w:val="00537E16"/>
    <w:rsid w:val="005566E7"/>
    <w:rsid w:val="005913FE"/>
    <w:rsid w:val="005A7148"/>
    <w:rsid w:val="005A7639"/>
    <w:rsid w:val="005D69C3"/>
    <w:rsid w:val="005E1937"/>
    <w:rsid w:val="005E3391"/>
    <w:rsid w:val="005E3604"/>
    <w:rsid w:val="005E7843"/>
    <w:rsid w:val="006003C7"/>
    <w:rsid w:val="00612EC0"/>
    <w:rsid w:val="00617C97"/>
    <w:rsid w:val="00646139"/>
    <w:rsid w:val="00647A79"/>
    <w:rsid w:val="006634E4"/>
    <w:rsid w:val="00666C28"/>
    <w:rsid w:val="006C20C6"/>
    <w:rsid w:val="006C62BC"/>
    <w:rsid w:val="006C7D3D"/>
    <w:rsid w:val="006D769A"/>
    <w:rsid w:val="006D7757"/>
    <w:rsid w:val="006E1195"/>
    <w:rsid w:val="006F22E4"/>
    <w:rsid w:val="006F427D"/>
    <w:rsid w:val="006F4CBE"/>
    <w:rsid w:val="006F6A09"/>
    <w:rsid w:val="00700BB3"/>
    <w:rsid w:val="00700FFA"/>
    <w:rsid w:val="00703245"/>
    <w:rsid w:val="00707391"/>
    <w:rsid w:val="00717D12"/>
    <w:rsid w:val="00732281"/>
    <w:rsid w:val="00732FD2"/>
    <w:rsid w:val="00733A66"/>
    <w:rsid w:val="00751EF4"/>
    <w:rsid w:val="007708D1"/>
    <w:rsid w:val="00771347"/>
    <w:rsid w:val="00774BF3"/>
    <w:rsid w:val="007B577F"/>
    <w:rsid w:val="007D05F8"/>
    <w:rsid w:val="007D1BBB"/>
    <w:rsid w:val="007D5236"/>
    <w:rsid w:val="007E075D"/>
    <w:rsid w:val="00803AE6"/>
    <w:rsid w:val="008042D1"/>
    <w:rsid w:val="00810423"/>
    <w:rsid w:val="00813620"/>
    <w:rsid w:val="00815060"/>
    <w:rsid w:val="00821B68"/>
    <w:rsid w:val="0082504E"/>
    <w:rsid w:val="008255DC"/>
    <w:rsid w:val="00830926"/>
    <w:rsid w:val="00830B36"/>
    <w:rsid w:val="008437DA"/>
    <w:rsid w:val="00843E7D"/>
    <w:rsid w:val="008663BD"/>
    <w:rsid w:val="00866A9F"/>
    <w:rsid w:val="00867663"/>
    <w:rsid w:val="00886DA6"/>
    <w:rsid w:val="00894CD2"/>
    <w:rsid w:val="008A34B1"/>
    <w:rsid w:val="008A442A"/>
    <w:rsid w:val="008A45B4"/>
    <w:rsid w:val="008B0ABD"/>
    <w:rsid w:val="008C1B4A"/>
    <w:rsid w:val="008D4D65"/>
    <w:rsid w:val="008E3A97"/>
    <w:rsid w:val="008E6F9B"/>
    <w:rsid w:val="008F0257"/>
    <w:rsid w:val="00913E0A"/>
    <w:rsid w:val="00915AA7"/>
    <w:rsid w:val="009260DF"/>
    <w:rsid w:val="00926F37"/>
    <w:rsid w:val="00943463"/>
    <w:rsid w:val="00943CA3"/>
    <w:rsid w:val="009452DE"/>
    <w:rsid w:val="009460CE"/>
    <w:rsid w:val="00961830"/>
    <w:rsid w:val="00966F34"/>
    <w:rsid w:val="00997A8D"/>
    <w:rsid w:val="009A4F81"/>
    <w:rsid w:val="009B11DA"/>
    <w:rsid w:val="009B37B1"/>
    <w:rsid w:val="009B582C"/>
    <w:rsid w:val="009C0B02"/>
    <w:rsid w:val="009E2C69"/>
    <w:rsid w:val="00A125E9"/>
    <w:rsid w:val="00A1430F"/>
    <w:rsid w:val="00A27CB2"/>
    <w:rsid w:val="00A30B8E"/>
    <w:rsid w:val="00A5327A"/>
    <w:rsid w:val="00A76D42"/>
    <w:rsid w:val="00A82829"/>
    <w:rsid w:val="00A82857"/>
    <w:rsid w:val="00AA2627"/>
    <w:rsid w:val="00AC29A3"/>
    <w:rsid w:val="00AD0B4A"/>
    <w:rsid w:val="00AE6B51"/>
    <w:rsid w:val="00AF5709"/>
    <w:rsid w:val="00B259F9"/>
    <w:rsid w:val="00B41FD6"/>
    <w:rsid w:val="00B5279D"/>
    <w:rsid w:val="00B65C59"/>
    <w:rsid w:val="00B72EAB"/>
    <w:rsid w:val="00B80331"/>
    <w:rsid w:val="00B81F15"/>
    <w:rsid w:val="00B84752"/>
    <w:rsid w:val="00B8730E"/>
    <w:rsid w:val="00BB050B"/>
    <w:rsid w:val="00BC21D5"/>
    <w:rsid w:val="00BD5A6F"/>
    <w:rsid w:val="00BD5DE3"/>
    <w:rsid w:val="00BF3115"/>
    <w:rsid w:val="00C054C3"/>
    <w:rsid w:val="00C062A6"/>
    <w:rsid w:val="00C067E9"/>
    <w:rsid w:val="00C15BF0"/>
    <w:rsid w:val="00C17C2D"/>
    <w:rsid w:val="00C42496"/>
    <w:rsid w:val="00C74DEB"/>
    <w:rsid w:val="00C93DBB"/>
    <w:rsid w:val="00CA561B"/>
    <w:rsid w:val="00CD1495"/>
    <w:rsid w:val="00CE2E31"/>
    <w:rsid w:val="00CE6D37"/>
    <w:rsid w:val="00CE7CB0"/>
    <w:rsid w:val="00D12611"/>
    <w:rsid w:val="00D12809"/>
    <w:rsid w:val="00D26192"/>
    <w:rsid w:val="00D27371"/>
    <w:rsid w:val="00D32CD6"/>
    <w:rsid w:val="00D34D57"/>
    <w:rsid w:val="00D41ACB"/>
    <w:rsid w:val="00D45EB7"/>
    <w:rsid w:val="00D47B6A"/>
    <w:rsid w:val="00D62275"/>
    <w:rsid w:val="00D64FA7"/>
    <w:rsid w:val="00D7191B"/>
    <w:rsid w:val="00D915AD"/>
    <w:rsid w:val="00DA4A1B"/>
    <w:rsid w:val="00DA773E"/>
    <w:rsid w:val="00DB2933"/>
    <w:rsid w:val="00DB5D62"/>
    <w:rsid w:val="00DC7613"/>
    <w:rsid w:val="00DC7C45"/>
    <w:rsid w:val="00DE41F2"/>
    <w:rsid w:val="00E06E8E"/>
    <w:rsid w:val="00E123AC"/>
    <w:rsid w:val="00E31ED5"/>
    <w:rsid w:val="00E56971"/>
    <w:rsid w:val="00E61AA3"/>
    <w:rsid w:val="00E961E4"/>
    <w:rsid w:val="00EC6C6E"/>
    <w:rsid w:val="00EF67FC"/>
    <w:rsid w:val="00EF6C2E"/>
    <w:rsid w:val="00F05C97"/>
    <w:rsid w:val="00F1249A"/>
    <w:rsid w:val="00F16413"/>
    <w:rsid w:val="00F2405C"/>
    <w:rsid w:val="00F2669D"/>
    <w:rsid w:val="00F3527D"/>
    <w:rsid w:val="00F4192A"/>
    <w:rsid w:val="00F4259D"/>
    <w:rsid w:val="00F45155"/>
    <w:rsid w:val="00F66F71"/>
    <w:rsid w:val="00F83035"/>
    <w:rsid w:val="00F920EB"/>
    <w:rsid w:val="00F93C1E"/>
    <w:rsid w:val="00F95D1F"/>
    <w:rsid w:val="00F967E4"/>
    <w:rsid w:val="00FA29B6"/>
    <w:rsid w:val="00FD622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13AECF1B"/>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C1315"/>
    <w:rPr>
      <w:color w:val="808080"/>
    </w:rPr>
  </w:style>
  <w:style w:type="paragraph" w:customStyle="1" w:styleId="ACA53BA64E084DB09E86CFFECB8D0282">
    <w:name w:val="ACA53BA64E084DB09E86CFFECB8D0282"/>
    <w:rsid w:val="00926F37"/>
    <w:pPr>
      <w:spacing w:line="278" w:lineRule="auto"/>
    </w:pPr>
    <w:rPr>
      <w:kern w:val="2"/>
      <w:sz w:val="24"/>
      <w:szCs w:val="24"/>
      <w14:ligatures w14:val="standardContextual"/>
    </w:rPr>
  </w:style>
  <w:style w:type="paragraph" w:customStyle="1" w:styleId="757D63D8DD004D6BB7CE9098E8770FBC">
    <w:name w:val="757D63D8DD004D6BB7CE9098E8770FBC"/>
    <w:rsid w:val="00926F37"/>
    <w:pPr>
      <w:spacing w:line="278" w:lineRule="auto"/>
    </w:pPr>
    <w:rPr>
      <w:kern w:val="2"/>
      <w:sz w:val="24"/>
      <w:szCs w:val="24"/>
      <w14:ligatures w14:val="standardContextual"/>
    </w:rPr>
  </w:style>
  <w:style w:type="paragraph" w:customStyle="1" w:styleId="3169B92BC3694C64A390D272BAE3A390">
    <w:name w:val="3169B92BC3694C64A390D272BAE3A390"/>
    <w:rsid w:val="00913E0A"/>
    <w:pPr>
      <w:spacing w:line="278" w:lineRule="auto"/>
    </w:pPr>
    <w:rPr>
      <w:kern w:val="2"/>
      <w:sz w:val="24"/>
      <w:szCs w:val="24"/>
      <w14:ligatures w14:val="standardContextual"/>
    </w:rPr>
  </w:style>
  <w:style w:type="paragraph" w:customStyle="1" w:styleId="4DEC48053F8A4B48AB373481AC870BE1">
    <w:name w:val="4DEC48053F8A4B48AB373481AC870BE1"/>
    <w:rsid w:val="00913E0A"/>
    <w:pPr>
      <w:spacing w:line="278" w:lineRule="auto"/>
    </w:pPr>
    <w:rPr>
      <w:kern w:val="2"/>
      <w:sz w:val="24"/>
      <w:szCs w:val="24"/>
      <w14:ligatures w14:val="standardContextual"/>
    </w:rPr>
  </w:style>
  <w:style w:type="paragraph" w:customStyle="1" w:styleId="2A7D1BB74B5C4788A1D8549B122CC41A">
    <w:name w:val="2A7D1BB74B5C4788A1D8549B122CC41A"/>
    <w:rsid w:val="002508BC"/>
    <w:pPr>
      <w:spacing w:line="278" w:lineRule="auto"/>
    </w:pPr>
    <w:rPr>
      <w:kern w:val="2"/>
      <w:sz w:val="24"/>
      <w:szCs w:val="24"/>
      <w14:ligatures w14:val="standardContextual"/>
    </w:rPr>
  </w:style>
  <w:style w:type="paragraph" w:customStyle="1" w:styleId="17AC710D5BE24F0AB168B1FADDB94281">
    <w:name w:val="17AC710D5BE24F0AB168B1FADDB94281"/>
    <w:rsid w:val="002508BC"/>
    <w:pPr>
      <w:spacing w:line="278" w:lineRule="auto"/>
    </w:pPr>
    <w:rPr>
      <w:kern w:val="2"/>
      <w:sz w:val="24"/>
      <w:szCs w:val="24"/>
      <w14:ligatures w14:val="standardContextual"/>
    </w:rPr>
  </w:style>
  <w:style w:type="paragraph" w:customStyle="1" w:styleId="D315CD3D893F49EC89750C6713CE275C1">
    <w:name w:val="D315CD3D893F49EC89750C6713CE275C1"/>
    <w:rsid w:val="002508BC"/>
    <w:rPr>
      <w:rFonts w:eastAsiaTheme="minorHAnsi"/>
      <w:lang w:eastAsia="en-US"/>
    </w:rPr>
  </w:style>
  <w:style w:type="paragraph" w:customStyle="1" w:styleId="127CD407C7D74155BAF7BD99763BC21E">
    <w:name w:val="127CD407C7D74155BAF7BD99763BC21E"/>
    <w:pPr>
      <w:spacing w:line="278" w:lineRule="auto"/>
    </w:pPr>
    <w:rPr>
      <w:kern w:val="2"/>
      <w:sz w:val="24"/>
      <w:szCs w:val="24"/>
      <w14:ligatures w14:val="standardContextual"/>
    </w:rPr>
  </w:style>
  <w:style w:type="paragraph" w:customStyle="1" w:styleId="E0D0434D25AE44A39406CC4926A9ED8A">
    <w:name w:val="E0D0434D25AE44A39406CC4926A9ED8A"/>
    <w:rsid w:val="002508BC"/>
    <w:pPr>
      <w:spacing w:line="278" w:lineRule="auto"/>
    </w:pPr>
    <w:rPr>
      <w:kern w:val="2"/>
      <w:sz w:val="24"/>
      <w:szCs w:val="24"/>
      <w14:ligatures w14:val="standardContextual"/>
    </w:rPr>
  </w:style>
  <w:style w:type="paragraph" w:customStyle="1" w:styleId="30D0F6B42825495EB958C7AC9B607D1D">
    <w:name w:val="30D0F6B42825495EB958C7AC9B607D1D"/>
    <w:rsid w:val="002508BC"/>
    <w:pPr>
      <w:spacing w:line="278" w:lineRule="auto"/>
    </w:pPr>
    <w:rPr>
      <w:kern w:val="2"/>
      <w:sz w:val="24"/>
      <w:szCs w:val="24"/>
      <w14:ligatures w14:val="standardContextual"/>
    </w:rPr>
  </w:style>
  <w:style w:type="paragraph" w:customStyle="1" w:styleId="C5759FE585794CACB2397E7BC43F6DA3">
    <w:name w:val="C5759FE585794CACB2397E7BC43F6DA3"/>
    <w:rsid w:val="002508BC"/>
    <w:pPr>
      <w:spacing w:line="278" w:lineRule="auto"/>
    </w:pPr>
    <w:rPr>
      <w:kern w:val="2"/>
      <w:sz w:val="24"/>
      <w:szCs w:val="24"/>
      <w14:ligatures w14:val="standardContextual"/>
    </w:rPr>
  </w:style>
  <w:style w:type="paragraph" w:customStyle="1" w:styleId="ABAAF1F27E824616A4FF773F365ABF8A">
    <w:name w:val="ABAAF1F27E824616A4FF773F365ABF8A"/>
    <w:rsid w:val="002508BC"/>
    <w:pPr>
      <w:spacing w:line="278" w:lineRule="auto"/>
    </w:pPr>
    <w:rPr>
      <w:kern w:val="2"/>
      <w:sz w:val="24"/>
      <w:szCs w:val="24"/>
      <w14:ligatures w14:val="standardContextual"/>
    </w:rPr>
  </w:style>
  <w:style w:type="paragraph" w:customStyle="1" w:styleId="F65A222D00174898BCBD059AC167DA01">
    <w:name w:val="F65A222D00174898BCBD059AC167DA01"/>
    <w:pPr>
      <w:spacing w:line="278" w:lineRule="auto"/>
    </w:pPr>
    <w:rPr>
      <w:kern w:val="2"/>
      <w:sz w:val="24"/>
      <w:szCs w:val="24"/>
      <w14:ligatures w14:val="standardContextual"/>
    </w:rPr>
  </w:style>
  <w:style w:type="paragraph" w:customStyle="1" w:styleId="B7471351E20E46DCBE941B38C1782032">
    <w:name w:val="B7471351E20E46DCBE941B38C1782032"/>
    <w:pPr>
      <w:spacing w:line="278" w:lineRule="auto"/>
    </w:pPr>
    <w:rPr>
      <w:kern w:val="2"/>
      <w:sz w:val="24"/>
      <w:szCs w:val="24"/>
      <w14:ligatures w14:val="standardContextual"/>
    </w:rPr>
  </w:style>
  <w:style w:type="paragraph" w:customStyle="1" w:styleId="10885EA0F55F4A178662479A31AEF777">
    <w:name w:val="10885EA0F55F4A178662479A31AEF777"/>
    <w:pPr>
      <w:spacing w:line="278" w:lineRule="auto"/>
    </w:pPr>
    <w:rPr>
      <w:kern w:val="2"/>
      <w:sz w:val="24"/>
      <w:szCs w:val="24"/>
      <w14:ligatures w14:val="standardContextual"/>
    </w:rPr>
  </w:style>
  <w:style w:type="paragraph" w:customStyle="1" w:styleId="31CBBDDC6E0B477F8A78CC99C7963453">
    <w:name w:val="31CBBDDC6E0B477F8A78CC99C7963453"/>
    <w:pPr>
      <w:spacing w:line="278" w:lineRule="auto"/>
    </w:pPr>
    <w:rPr>
      <w:kern w:val="2"/>
      <w:sz w:val="24"/>
      <w:szCs w:val="24"/>
      <w14:ligatures w14:val="standardContextual"/>
    </w:rPr>
  </w:style>
  <w:style w:type="paragraph" w:customStyle="1" w:styleId="C42BF7DCC1E644FB9571D039E755F636">
    <w:name w:val="C42BF7DCC1E644FB9571D039E755F636"/>
    <w:rsid w:val="00132E5F"/>
    <w:pPr>
      <w:spacing w:line="278" w:lineRule="auto"/>
    </w:pPr>
    <w:rPr>
      <w:kern w:val="2"/>
      <w:sz w:val="24"/>
      <w:szCs w:val="24"/>
      <w14:ligatures w14:val="standardContextual"/>
    </w:rPr>
  </w:style>
  <w:style w:type="paragraph" w:customStyle="1" w:styleId="8C235789E5614764AD55DA1DE4791404">
    <w:name w:val="8C235789E5614764AD55DA1DE4791404"/>
    <w:rsid w:val="00132E5F"/>
    <w:pPr>
      <w:spacing w:line="278" w:lineRule="auto"/>
    </w:pPr>
    <w:rPr>
      <w:kern w:val="2"/>
      <w:sz w:val="24"/>
      <w:szCs w:val="24"/>
      <w14:ligatures w14:val="standardContextual"/>
    </w:rPr>
  </w:style>
  <w:style w:type="paragraph" w:customStyle="1" w:styleId="F6D5C48F9F554A86982257DF253DFB13">
    <w:name w:val="F6D5C48F9F554A86982257DF253DFB13"/>
    <w:rsid w:val="00132E5F"/>
    <w:pPr>
      <w:spacing w:line="278" w:lineRule="auto"/>
    </w:pPr>
    <w:rPr>
      <w:kern w:val="2"/>
      <w:sz w:val="24"/>
      <w:szCs w:val="24"/>
      <w14:ligatures w14:val="standardContextual"/>
    </w:rPr>
  </w:style>
  <w:style w:type="paragraph" w:customStyle="1" w:styleId="0D7D0DDD322946AB82A7309D4D11455A">
    <w:name w:val="0D7D0DDD322946AB82A7309D4D11455A"/>
    <w:rsid w:val="00D47B6A"/>
    <w:pPr>
      <w:spacing w:line="278" w:lineRule="auto"/>
    </w:pPr>
    <w:rPr>
      <w:kern w:val="2"/>
      <w:sz w:val="24"/>
      <w:szCs w:val="24"/>
      <w14:ligatures w14:val="standardContextual"/>
    </w:rPr>
  </w:style>
  <w:style w:type="paragraph" w:customStyle="1" w:styleId="211EA8C8AC734D158E9DC9DC147AEA90">
    <w:name w:val="211EA8C8AC734D158E9DC9DC147AEA90"/>
    <w:rsid w:val="00D47B6A"/>
    <w:pPr>
      <w:spacing w:line="278" w:lineRule="auto"/>
    </w:pPr>
    <w:rPr>
      <w:kern w:val="2"/>
      <w:sz w:val="24"/>
      <w:szCs w:val="24"/>
      <w14:ligatures w14:val="standardContextual"/>
    </w:rPr>
  </w:style>
  <w:style w:type="paragraph" w:customStyle="1" w:styleId="53BE9F9B397C4DDFA23CBA2FEEDDFE6B">
    <w:name w:val="53BE9F9B397C4DDFA23CBA2FEEDDFE6B"/>
    <w:rsid w:val="00D47B6A"/>
    <w:pPr>
      <w:spacing w:line="278" w:lineRule="auto"/>
    </w:pPr>
    <w:rPr>
      <w:kern w:val="2"/>
      <w:sz w:val="24"/>
      <w:szCs w:val="24"/>
      <w14:ligatures w14:val="standardContextual"/>
    </w:rPr>
  </w:style>
  <w:style w:type="paragraph" w:customStyle="1" w:styleId="FC80AB8439FF45ECA2A8856F677DB596">
    <w:name w:val="FC80AB8439FF45ECA2A8856F677DB596"/>
    <w:rsid w:val="00D47B6A"/>
    <w:pPr>
      <w:spacing w:line="278" w:lineRule="auto"/>
    </w:pPr>
    <w:rPr>
      <w:kern w:val="2"/>
      <w:sz w:val="24"/>
      <w:szCs w:val="24"/>
      <w14:ligatures w14:val="standardContextual"/>
    </w:rPr>
  </w:style>
  <w:style w:type="paragraph" w:customStyle="1" w:styleId="14672A8D84A64E8089C15B5969C7DE9D">
    <w:name w:val="14672A8D84A64E8089C15B5969C7DE9D"/>
    <w:rsid w:val="00D47B6A"/>
    <w:pPr>
      <w:spacing w:line="278" w:lineRule="auto"/>
    </w:pPr>
    <w:rPr>
      <w:kern w:val="2"/>
      <w:sz w:val="24"/>
      <w:szCs w:val="24"/>
      <w14:ligatures w14:val="standardContextual"/>
    </w:rPr>
  </w:style>
  <w:style w:type="paragraph" w:customStyle="1" w:styleId="3D0AC98762824D68BC439E08FEC19DE0">
    <w:name w:val="3D0AC98762824D68BC439E08FEC19DE0"/>
    <w:rsid w:val="00D47B6A"/>
    <w:pPr>
      <w:spacing w:line="278" w:lineRule="auto"/>
    </w:pPr>
    <w:rPr>
      <w:kern w:val="2"/>
      <w:sz w:val="24"/>
      <w:szCs w:val="24"/>
      <w14:ligatures w14:val="standardContextual"/>
    </w:rPr>
  </w:style>
  <w:style w:type="paragraph" w:customStyle="1" w:styleId="81B3A63B987E40B5BDF4DE7B7A64DFF0">
    <w:name w:val="81B3A63B987E40B5BDF4DE7B7A64DFF0"/>
    <w:rsid w:val="00D47B6A"/>
    <w:pPr>
      <w:spacing w:line="278" w:lineRule="auto"/>
    </w:pPr>
    <w:rPr>
      <w:kern w:val="2"/>
      <w:sz w:val="24"/>
      <w:szCs w:val="24"/>
      <w14:ligatures w14:val="standardContextual"/>
    </w:rPr>
  </w:style>
  <w:style w:type="paragraph" w:customStyle="1" w:styleId="B2D1F41074FA494584F514165EAD8275">
    <w:name w:val="B2D1F41074FA494584F514165EAD8275"/>
    <w:rsid w:val="00D47B6A"/>
    <w:pPr>
      <w:spacing w:line="278" w:lineRule="auto"/>
    </w:pPr>
    <w:rPr>
      <w:kern w:val="2"/>
      <w:sz w:val="24"/>
      <w:szCs w:val="24"/>
      <w14:ligatures w14:val="standardContextual"/>
    </w:rPr>
  </w:style>
  <w:style w:type="paragraph" w:customStyle="1" w:styleId="0E424C18B63744D6A427410ED7FF81CC">
    <w:name w:val="0E424C18B63744D6A427410ED7FF81CC"/>
    <w:rsid w:val="00D47B6A"/>
    <w:pPr>
      <w:spacing w:line="278" w:lineRule="auto"/>
    </w:pPr>
    <w:rPr>
      <w:kern w:val="2"/>
      <w:sz w:val="24"/>
      <w:szCs w:val="24"/>
      <w14:ligatures w14:val="standardContextual"/>
    </w:rPr>
  </w:style>
  <w:style w:type="paragraph" w:customStyle="1" w:styleId="D4393941BDD24A4C8B78BA7D8887C047">
    <w:name w:val="D4393941BDD24A4C8B78BA7D8887C047"/>
    <w:rsid w:val="003C1315"/>
    <w:pPr>
      <w:spacing w:line="278" w:lineRule="auto"/>
    </w:pPr>
    <w:rPr>
      <w:kern w:val="2"/>
      <w:sz w:val="24"/>
      <w:szCs w:val="24"/>
      <w14:ligatures w14:val="standardContextual"/>
    </w:rPr>
  </w:style>
  <w:style w:type="paragraph" w:customStyle="1" w:styleId="C5EA89AC6F58462E82BD0E560C149982">
    <w:name w:val="C5EA89AC6F58462E82BD0E560C149982"/>
    <w:rsid w:val="003C1315"/>
    <w:pPr>
      <w:spacing w:line="278" w:lineRule="auto"/>
    </w:pPr>
    <w:rPr>
      <w:kern w:val="2"/>
      <w:sz w:val="24"/>
      <w:szCs w:val="24"/>
      <w14:ligatures w14:val="standardContextual"/>
    </w:rPr>
  </w:style>
  <w:style w:type="paragraph" w:customStyle="1" w:styleId="DA6E32E1547E4D96B9EAABE426836C8B">
    <w:name w:val="DA6E32E1547E4D96B9EAABE426836C8B"/>
    <w:rsid w:val="003C1315"/>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2021-06-01T00:00:00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6EF054-C444-46C8-AAC7-72645901C7EA}">
  <ds:schemaRefs>
    <ds:schemaRef ds:uri="http://schemas.microsoft.com/sharepoint/v3/contenttype/forms"/>
  </ds:schemaRefs>
</ds:datastoreItem>
</file>

<file path=customXml/itemProps3.xml><?xml version="1.0" encoding="utf-8"?>
<ds:datastoreItem xmlns:ds="http://schemas.openxmlformats.org/officeDocument/2006/customXml" ds:itemID="{1848A846-C017-4E1F-989C-0C5B8185DB3A}">
  <ds:schemaRefs>
    <ds:schemaRef ds:uri="http://schemas.openxmlformats.org/officeDocument/2006/bibliography"/>
  </ds:schemaRefs>
</ds:datastoreItem>
</file>

<file path=customXml/itemProps4.xml><?xml version="1.0" encoding="utf-8"?>
<ds:datastoreItem xmlns:ds="http://schemas.openxmlformats.org/officeDocument/2006/customXml" ds:itemID="{5BBDFCCF-B311-4126-91B3-EC0F4E4AF47E}"/>
</file>

<file path=customXml/itemProps5.xml><?xml version="1.0" encoding="utf-8"?>
<ds:datastoreItem xmlns:ds="http://schemas.openxmlformats.org/officeDocument/2006/customXml" ds:itemID="{1A289FEC-11E0-4983-A730-D2FAEEF00AA1}">
  <ds:schemaRefs>
    <ds:schemaRef ds:uri="http://schemas.microsoft.com/office/2006/metadata/properties"/>
    <ds:schemaRef ds:uri="http://schemas.microsoft.com/office/infopath/2007/PartnerControls"/>
    <ds:schemaRef ds:uri="452c3440-f600-4a50-8d0a-0cf48b8f48ae"/>
    <ds:schemaRef ds:uri="ff09e885-382f-4979-b174-df6900b727ec"/>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7121</Words>
  <Characters>41593</Characters>
  <Application>Microsoft Office Word</Application>
  <DocSecurity>4</DocSecurity>
  <Lines>1341</Lines>
  <Paragraphs>624</Paragraphs>
  <ScaleCrop>false</ScaleCrop>
  <HeadingPairs>
    <vt:vector size="2" baseType="variant">
      <vt:variant>
        <vt:lpstr>Title</vt:lpstr>
      </vt:variant>
      <vt:variant>
        <vt:i4>1</vt:i4>
      </vt:variant>
    </vt:vector>
  </HeadingPairs>
  <TitlesOfParts>
    <vt:vector size="1" baseType="lpstr">
      <vt:lpstr>Draft Internal Audit Report</vt:lpstr>
    </vt:vector>
  </TitlesOfParts>
  <Company/>
  <LinksUpToDate>false</LinksUpToDate>
  <CharactersWithSpaces>48090</CharactersWithSpaces>
  <SharedDoc>false</SharedDoc>
  <HLinks>
    <vt:vector size="48" baseType="variant">
      <vt:variant>
        <vt:i4>1704017</vt:i4>
      </vt:variant>
      <vt:variant>
        <vt:i4>39</vt:i4>
      </vt:variant>
      <vt:variant>
        <vt:i4>0</vt:i4>
      </vt:variant>
      <vt:variant>
        <vt:i4>5</vt:i4>
      </vt:variant>
      <vt:variant>
        <vt:lpwstr>https://nwssp.nhs.wales/ourservices/audit-assurance-services/</vt:lpwstr>
      </vt:variant>
      <vt:variant>
        <vt:lpwstr/>
      </vt:variant>
      <vt:variant>
        <vt:i4>6619214</vt:i4>
      </vt:variant>
      <vt:variant>
        <vt:i4>36</vt:i4>
      </vt:variant>
      <vt:variant>
        <vt:i4>0</vt:i4>
      </vt:variant>
      <vt:variant>
        <vt:i4>5</vt:i4>
      </vt:variant>
      <vt:variant>
        <vt:lpwstr>C:\Users\jo125575\AppData\Local\Microsoft\Windows\INetCache\Content.MSO\6F5919CF.xlsx</vt:lpwstr>
      </vt:variant>
      <vt:variant>
        <vt:lpwstr>RANGE!A40</vt:lpwstr>
      </vt:variant>
      <vt:variant>
        <vt:i4>6422606</vt:i4>
      </vt:variant>
      <vt:variant>
        <vt:i4>33</vt:i4>
      </vt:variant>
      <vt:variant>
        <vt:i4>0</vt:i4>
      </vt:variant>
      <vt:variant>
        <vt:i4>5</vt:i4>
      </vt:variant>
      <vt:variant>
        <vt:lpwstr>C:\Users\jo125575\AppData\Local\Microsoft\Windows\INetCache\Content.MSO\6F5919CF.xlsx</vt:lpwstr>
      </vt:variant>
      <vt:variant>
        <vt:lpwstr>RANGE!A39</vt:lpwstr>
      </vt:variant>
      <vt:variant>
        <vt:i4>1114166</vt:i4>
      </vt:variant>
      <vt:variant>
        <vt:i4>26</vt:i4>
      </vt:variant>
      <vt:variant>
        <vt:i4>0</vt:i4>
      </vt:variant>
      <vt:variant>
        <vt:i4>5</vt:i4>
      </vt:variant>
      <vt:variant>
        <vt:lpwstr/>
      </vt:variant>
      <vt:variant>
        <vt:lpwstr>_Toc211856091</vt:lpwstr>
      </vt:variant>
      <vt:variant>
        <vt:i4>1114166</vt:i4>
      </vt:variant>
      <vt:variant>
        <vt:i4>20</vt:i4>
      </vt:variant>
      <vt:variant>
        <vt:i4>0</vt:i4>
      </vt:variant>
      <vt:variant>
        <vt:i4>5</vt:i4>
      </vt:variant>
      <vt:variant>
        <vt:lpwstr/>
      </vt:variant>
      <vt:variant>
        <vt:lpwstr>_Toc211856090</vt:lpwstr>
      </vt:variant>
      <vt:variant>
        <vt:i4>1048630</vt:i4>
      </vt:variant>
      <vt:variant>
        <vt:i4>14</vt:i4>
      </vt:variant>
      <vt:variant>
        <vt:i4>0</vt:i4>
      </vt:variant>
      <vt:variant>
        <vt:i4>5</vt:i4>
      </vt:variant>
      <vt:variant>
        <vt:lpwstr/>
      </vt:variant>
      <vt:variant>
        <vt:lpwstr>_Toc211856089</vt:lpwstr>
      </vt:variant>
      <vt:variant>
        <vt:i4>1048630</vt:i4>
      </vt:variant>
      <vt:variant>
        <vt:i4>8</vt:i4>
      </vt:variant>
      <vt:variant>
        <vt:i4>0</vt:i4>
      </vt:variant>
      <vt:variant>
        <vt:i4>5</vt:i4>
      </vt:variant>
      <vt:variant>
        <vt:lpwstr/>
      </vt:variant>
      <vt:variant>
        <vt:lpwstr>_Toc211856088</vt:lpwstr>
      </vt:variant>
      <vt:variant>
        <vt:i4>1048630</vt:i4>
      </vt:variant>
      <vt:variant>
        <vt:i4>2</vt:i4>
      </vt:variant>
      <vt:variant>
        <vt:i4>0</vt:i4>
      </vt:variant>
      <vt:variant>
        <vt:i4>5</vt:i4>
      </vt:variant>
      <vt:variant>
        <vt:lpwstr/>
      </vt:variant>
      <vt:variant>
        <vt:lpwstr>_Toc211856087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Internal Audit Report</dc:title>
  <dc:subject>Escalation Action Status</dc:subject>
  <dc:creator>Emma Rees (NWSSP - Audit and Assurance Services)</dc:creator>
  <cp:keywords/>
  <dc:description/>
  <cp:lastModifiedBy>Hazel Lloyd (Swansea Bay UHB - Corporate Governance)</cp:lastModifiedBy>
  <cp:revision>2</cp:revision>
  <cp:lastPrinted>2024-10-11T16:42:00Z</cp:lastPrinted>
  <dcterms:created xsi:type="dcterms:W3CDTF">2026-03-09T16:34:00Z</dcterms:created>
  <dcterms:modified xsi:type="dcterms:W3CDTF">2026-03-09T16:34:00Z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0x01010001C022EFBB18C64ABE3B9933434D2554</vt:lpwstr>
  </property>
  <property fmtid="{D5CDD505-2E9C-101B-9397-08002B2CF9AE}" pid="5" name="docLang">
    <vt:lpwstr>en</vt:lpwstr>
  </property>
</Properties>
</file>