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1AAD8C30"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2B1887" w14:paraId="6D2903DF" w14:textId="49159DA2">
                <w:pPr>
                  <w:rPr>
                    <w:b/>
                    <w:bCs/>
                  </w:rPr>
                </w:pPr>
                <w:r>
                  <w:rPr>
                    <w:rStyle w:val="Style1"/>
                    <w:b/>
                    <w:bCs/>
                  </w:rPr>
                  <w:t>23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1AAD8C30" w:rsidRDefault="75B6ECFE" w14:paraId="6D2903E1" w14:textId="6201D096">
            <w:pPr>
              <w:rPr>
                <w:b/>
                <w:bCs/>
              </w:rPr>
            </w:pPr>
            <w:r w:rsidRPr="1AAD8C30">
              <w:rPr>
                <w:b/>
                <w:bCs/>
              </w:rPr>
              <w:t>3.2</w:t>
            </w:r>
          </w:p>
        </w:tc>
      </w:tr>
      <w:tr w:rsidRPr="00F8567E" w:rsidR="00B0479E" w:rsidTr="1AAD8C30"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00FA0CA9" w:rsidRDefault="002B1887" w14:paraId="5687483E" w14:textId="7350E7F6">
                <w:pPr>
                  <w:rPr>
                    <w:b/>
                    <w:bCs/>
                  </w:rPr>
                </w:pPr>
                <w:r>
                  <w:rPr>
                    <w:rStyle w:val="CorporateFont"/>
                    <w:b/>
                    <w:bCs/>
                  </w:rPr>
                  <w:t>Finance and Performance Committee</w:t>
                </w:r>
              </w:p>
            </w:tc>
          </w:sdtContent>
        </w:sdt>
      </w:tr>
      <w:tr w:rsidRPr="00F8567E" w:rsidR="00083FC0" w:rsidTr="1AAD8C30"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EC7151" w:rsidR="00034194" w:rsidP="00FA0CA9" w:rsidRDefault="002B1887" w14:paraId="6D2903E4" w14:textId="2485DB1C">
            <w:pPr>
              <w:rPr>
                <w:b/>
                <w:bCs/>
              </w:rPr>
            </w:pPr>
            <w:r w:rsidRPr="002B1887">
              <w:rPr>
                <w:b/>
                <w:bCs/>
              </w:rPr>
              <w:t>Update on the completion of the Vaccine Equity Strategy and Plan</w:t>
            </w:r>
          </w:p>
        </w:tc>
      </w:tr>
      <w:tr w:rsidRPr="00F8567E" w:rsidR="00083FC0" w:rsidTr="1AAD8C30"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2B1887" w14:paraId="6D2903E7" w14:textId="366CEF0B">
            <w:r>
              <w:t>Ll</w:t>
            </w:r>
            <w:r>
              <w:rPr>
                <w:rFonts w:cs="Calibri"/>
              </w:rPr>
              <w:t>ŷ</w:t>
            </w:r>
            <w:r>
              <w:t xml:space="preserve">r Lloyd - Senior Principal Public Health Practitioner </w:t>
            </w:r>
          </w:p>
        </w:tc>
      </w:tr>
      <w:tr w:rsidRPr="00F8567E" w:rsidR="00762BBE" w:rsidTr="1AAD8C30"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2B1887" w14:paraId="6D2903EA" w14:textId="0F318E53">
                <w:r>
                  <w:rPr>
                    <w:rStyle w:val="Style1"/>
                  </w:rPr>
                  <w:t>Executive Director of Public Health</w:t>
                </w:r>
              </w:p>
            </w:tc>
          </w:sdtContent>
        </w:sdt>
      </w:tr>
      <w:tr w:rsidRPr="00F8567E" w:rsidR="00762BBE" w:rsidTr="1AAD8C30" w14:paraId="6D2903EE" w14:textId="77777777">
        <w:tc>
          <w:tcPr>
            <w:tcW w:w="2977" w:type="dxa"/>
            <w:shd w:val="clear" w:color="auto" w:fill="163E64"/>
          </w:tcPr>
          <w:p w:rsidRPr="00F8567E" w:rsidR="00762BBE" w:rsidP="00762BBE" w:rsidRDefault="00762BBE" w14:paraId="6D2903EC" w14:textId="77777777">
            <w:pPr>
              <w:rPr>
                <w:b/>
              </w:rPr>
            </w:pPr>
            <w:r w:rsidRPr="00F8567E">
              <w:rPr>
                <w:b/>
              </w:rPr>
              <w:t>Presented by</w:t>
            </w:r>
          </w:p>
        </w:tc>
        <w:tc>
          <w:tcPr>
            <w:tcW w:w="6044" w:type="dxa"/>
            <w:gridSpan w:val="3"/>
          </w:tcPr>
          <w:p w:rsidRPr="00F8567E" w:rsidR="00762BBE" w:rsidP="00762BBE" w:rsidRDefault="002B1887" w14:paraId="6D2903ED" w14:textId="6B16E83D">
            <w:r w:rsidRPr="002B1887">
              <w:t>Hugo Van Woerden – Deputy Director of Public Health</w:t>
            </w:r>
          </w:p>
        </w:tc>
      </w:tr>
      <w:tr w:rsidRPr="00F8567E" w:rsidR="00653AEC" w:rsidTr="1AAD8C30" w14:paraId="6D2903F1" w14:textId="77777777">
        <w:tc>
          <w:tcPr>
            <w:tcW w:w="2977" w:type="dxa"/>
            <w:shd w:val="clear" w:color="auto" w:fill="C1A775"/>
          </w:tcPr>
          <w:p w:rsidRPr="00F8567E" w:rsidR="00653AEC" w:rsidP="6FC5F940" w:rsidRDefault="00653AEC"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2B1887" w14:paraId="6D2903F0" w14:textId="4FC8144B">
                <w:r>
                  <w:rPr>
                    <w:rStyle w:val="Style1"/>
                  </w:rPr>
                  <w:t>Open</w:t>
                </w:r>
              </w:p>
            </w:sdtContent>
          </w:sdt>
        </w:tc>
      </w:tr>
      <w:tr w:rsidRPr="00F8567E" w:rsidR="00041CF6" w:rsidTr="1AAD8C30" w14:paraId="3533518D" w14:textId="77777777">
        <w:tc>
          <w:tcPr>
            <w:tcW w:w="2977" w:type="dxa"/>
            <w:shd w:val="clear" w:color="auto" w:fill="C1A775"/>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1AAD8C30" w14:paraId="56774493" w14:textId="77777777">
        <w:tc>
          <w:tcPr>
            <w:tcW w:w="5812" w:type="dxa"/>
            <w:gridSpan w:val="2"/>
            <w:shd w:val="clear" w:color="auto" w:fill="C1A775"/>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Pr>
          <w:p w:rsidRPr="00F8567E" w:rsidR="008F442A" w:rsidP="00110100" w:rsidRDefault="00FA5DEC" w14:paraId="1FF00833" w14:textId="403A5B42">
            <w:pPr>
              <w:rPr>
                <w:b/>
              </w:rPr>
            </w:pPr>
            <w:r>
              <w:rPr>
                <w:b/>
              </w:rPr>
              <w:t>IA Completion date</w:t>
            </w:r>
          </w:p>
        </w:tc>
      </w:tr>
      <w:tr w:rsidRPr="00F8567E" w:rsidR="00860674" w:rsidTr="1AAD8C30" w14:paraId="44E771AC" w14:textId="77777777">
        <w:tc>
          <w:tcPr>
            <w:tcW w:w="5812" w:type="dxa"/>
            <w:gridSpan w:val="2"/>
          </w:tcPr>
          <w:p w:rsidRPr="002453DC" w:rsidR="00A35122" w:rsidP="00110100" w:rsidRDefault="002453DC" w14:paraId="5E84E502" w14:textId="42532265">
            <w:pPr>
              <w:rPr>
                <w:color w:val="000000" w:themeColor="text1"/>
              </w:rPr>
            </w:pPr>
            <w:r w:rsidRPr="002453DC">
              <w:rPr>
                <w:color w:val="000000" w:themeColor="text1"/>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1AAD8C30" w14:paraId="2BABD8F1" w14:textId="77777777">
        <w:tc>
          <w:tcPr>
            <w:tcW w:w="2977" w:type="dxa"/>
            <w:shd w:val="clear" w:color="auto" w:fill="C1A775"/>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RDefault="002B1887" w14:paraId="53EFA578" w14:textId="4D86479F">
                <w:pPr>
                  <w:ind w:right="96"/>
                </w:pPr>
                <w:r>
                  <w:rPr>
                    <w:rStyle w:val="Style1"/>
                  </w:rPr>
                  <w:t>For Assurance</w:t>
                </w:r>
              </w:p>
            </w:tc>
          </w:sdtContent>
        </w:sdt>
      </w:tr>
      <w:tr w:rsidRPr="00F8567E" w:rsidR="00110100" w:rsidTr="1AAD8C30" w14:paraId="2607A37D" w14:textId="77777777">
        <w:tc>
          <w:tcPr>
            <w:tcW w:w="9021" w:type="dxa"/>
            <w:gridSpan w:val="4"/>
            <w:shd w:val="clear" w:color="auto" w:fill="C1A775"/>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1AAD8C30" w14:paraId="6D2903F8" w14:textId="77777777">
        <w:tc>
          <w:tcPr>
            <w:tcW w:w="9021" w:type="dxa"/>
            <w:gridSpan w:val="4"/>
          </w:tcPr>
          <w:p w:rsidRPr="002B1887" w:rsidR="00110100" w:rsidP="002B1887" w:rsidRDefault="002B1887" w14:paraId="6D2903F7" w14:textId="5224AEDA">
            <w:pPr>
              <w:ind w:right="96"/>
              <w:rPr>
                <w:b/>
              </w:rPr>
            </w:pPr>
            <w:r w:rsidRPr="002B1887">
              <w:t>Purpose of the report is to highlight assurance of the completion of the Vaccine Equity Strategy and Vaccine Equity Strategic Plan (2025-2028).</w:t>
            </w:r>
          </w:p>
        </w:tc>
      </w:tr>
      <w:tr w:rsidRPr="00F8567E" w:rsidR="00110100" w:rsidTr="1AAD8C30" w14:paraId="70491417" w14:textId="77777777">
        <w:tc>
          <w:tcPr>
            <w:tcW w:w="9021" w:type="dxa"/>
            <w:gridSpan w:val="4"/>
            <w:shd w:val="clear" w:color="auto" w:fill="C1A775"/>
          </w:tcPr>
          <w:p w:rsidRPr="00D16C84" w:rsidR="00110100" w:rsidP="00110100" w:rsidRDefault="00110100" w14:paraId="012E824A" w14:textId="7C1EDF26">
            <w:pPr>
              <w:rPr>
                <w:b/>
              </w:rPr>
            </w:pPr>
            <w:r w:rsidRPr="00F8567E">
              <w:rPr>
                <w:b/>
              </w:rPr>
              <w:t>Key Issues</w:t>
            </w:r>
          </w:p>
        </w:tc>
      </w:tr>
      <w:tr w:rsidRPr="00F8567E" w:rsidR="00110100" w:rsidTr="1AAD8C30" w14:paraId="6D290402" w14:textId="77777777">
        <w:tc>
          <w:tcPr>
            <w:tcW w:w="9021" w:type="dxa"/>
            <w:gridSpan w:val="4"/>
          </w:tcPr>
          <w:p w:rsidRPr="002B1887" w:rsidR="002B1887" w:rsidP="002B1887" w:rsidRDefault="005521B8" w14:paraId="2FBD7A16" w14:textId="56BE42E5">
            <w:pPr>
              <w:ind w:right="96"/>
            </w:pPr>
            <w:r>
              <w:t>R</w:t>
            </w:r>
            <w:r w:rsidRPr="002B1887" w:rsidR="002B1887">
              <w:t xml:space="preserve">equirement </w:t>
            </w:r>
            <w:r>
              <w:t>to</w:t>
            </w:r>
            <w:r w:rsidRPr="002B1887" w:rsidR="002B1887">
              <w:t xml:space="preserve"> develo</w:t>
            </w:r>
            <w:r>
              <w:t>p</w:t>
            </w:r>
            <w:r w:rsidRPr="002B1887" w:rsidR="002B1887">
              <w:t xml:space="preserve"> a new Vaccine Equity Strategy and Plan following the completion the previous strategies (2024-2025).</w:t>
            </w:r>
          </w:p>
          <w:p w:rsidRPr="00737883" w:rsidR="00110100" w:rsidP="002B1887" w:rsidRDefault="002B1887" w14:paraId="6D290401" w14:textId="3EDC14EB">
            <w:pPr>
              <w:ind w:right="96"/>
              <w:rPr>
                <w:b/>
                <w:color w:val="FF0000"/>
              </w:rPr>
            </w:pPr>
            <w:r w:rsidRPr="002B1887">
              <w:t>The strategy included the findings and recommendations form Vaccine Programme Wales following the recent scoping review into the 2024-25 Vaccine Equity Strategy.</w:t>
            </w:r>
          </w:p>
        </w:tc>
      </w:tr>
      <w:tr w:rsidRPr="00F8567E" w:rsidR="00B22CF9" w:rsidTr="1AAD8C30" w14:paraId="78C95897" w14:textId="77777777">
        <w:tc>
          <w:tcPr>
            <w:tcW w:w="2977" w:type="dxa"/>
            <w:shd w:val="clear" w:color="auto" w:fill="C1A775"/>
          </w:tcPr>
          <w:p w:rsidRPr="00F8567E" w:rsidR="00B22CF9" w:rsidRDefault="00B22CF9"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2B1887" w14:paraId="058FCD73" w14:textId="60BD5D7C">
                <w:pPr>
                  <w:rPr>
                    <w:b/>
                  </w:rPr>
                </w:pPr>
                <w:r>
                  <w:rPr>
                    <w:rStyle w:val="Style1"/>
                  </w:rPr>
                  <w:t>No</w:t>
                </w:r>
              </w:p>
            </w:sdtContent>
          </w:sdt>
        </w:tc>
      </w:tr>
      <w:tr w:rsidRPr="00F8567E" w:rsidR="00110100" w:rsidTr="1AAD8C30" w14:paraId="4682E8B7" w14:textId="77777777">
        <w:tc>
          <w:tcPr>
            <w:tcW w:w="9021" w:type="dxa"/>
            <w:gridSpan w:val="4"/>
            <w:shd w:val="clear" w:color="auto" w:fill="C1A775"/>
          </w:tcPr>
          <w:p w:rsidRPr="00061E86" w:rsidR="00110100" w:rsidP="00110100" w:rsidRDefault="00110100" w14:paraId="155705B7" w14:textId="5CCD1FFB">
            <w:pPr>
              <w:rPr>
                <w:b/>
              </w:rPr>
            </w:pPr>
            <w:r w:rsidRPr="00F8567E">
              <w:rPr>
                <w:b/>
              </w:rPr>
              <w:t>Recommendations</w:t>
            </w:r>
          </w:p>
        </w:tc>
      </w:tr>
      <w:tr w:rsidRPr="00F8567E" w:rsidR="00110100" w:rsidTr="1AAD8C30" w14:paraId="6D290418" w14:textId="77777777">
        <w:tc>
          <w:tcPr>
            <w:tcW w:w="9021" w:type="dxa"/>
            <w:gridSpan w:val="4"/>
          </w:tcPr>
          <w:p w:rsidRPr="000940E7" w:rsidR="00110100" w:rsidP="00110100" w:rsidRDefault="00110100" w14:paraId="6D290412" w14:textId="77777777">
            <w:pPr>
              <w:ind w:right="96"/>
            </w:pPr>
            <w:r w:rsidRPr="000940E7">
              <w:t>Members are asked to:</w:t>
            </w:r>
          </w:p>
          <w:p w:rsidR="005521B8" w:rsidP="1AAD8C30" w:rsidRDefault="0EB148D9" w14:paraId="446CCEA5" w14:textId="29BF5F52">
            <w:pPr>
              <w:pStyle w:val="ListParagraph"/>
              <w:numPr>
                <w:ilvl w:val="0"/>
                <w:numId w:val="11"/>
              </w:numPr>
            </w:pPr>
            <w:r w:rsidRPr="1AAD8C30">
              <w:rPr>
                <w:b/>
                <w:bCs/>
              </w:rPr>
              <w:t>ACCEPT</w:t>
            </w:r>
            <w:r w:rsidRPr="1AAD8C30" w:rsidR="002B1887">
              <w:rPr>
                <w:b/>
                <w:bCs/>
              </w:rPr>
              <w:t xml:space="preserve"> </w:t>
            </w:r>
            <w:r w:rsidR="002B1887">
              <w:t>the completion of the Vaccine Equity Strategy and Plan.</w:t>
            </w:r>
          </w:p>
          <w:p w:rsidRPr="002B1887" w:rsidR="002B1887" w:rsidP="002B1887" w:rsidRDefault="005521B8" w14:paraId="56F3F2DA" w14:textId="71F6231E">
            <w:pPr>
              <w:pStyle w:val="ListParagraph"/>
              <w:numPr>
                <w:ilvl w:val="0"/>
                <w:numId w:val="11"/>
              </w:numPr>
            </w:pPr>
            <w:r>
              <w:t>To be</w:t>
            </w:r>
            <w:r w:rsidRPr="1AAD8C30">
              <w:rPr>
                <w:b/>
                <w:bCs/>
              </w:rPr>
              <w:t xml:space="preserve"> </w:t>
            </w:r>
            <w:r w:rsidRPr="1AAD8C30" w:rsidR="52EC56A4">
              <w:rPr>
                <w:b/>
                <w:bCs/>
              </w:rPr>
              <w:t>ASSURED</w:t>
            </w:r>
            <w:r w:rsidR="002B1887">
              <w:t xml:space="preserve"> that the plan has been co-produced and focused on addressing vaccine inequities and has a medium-term timescale, to increase opportunity for effective and sustainable vaccine equity planning and delivery. </w:t>
            </w:r>
          </w:p>
          <w:p w:rsidRPr="001E6F3B" w:rsidR="00110100" w:rsidP="005835C5" w:rsidRDefault="00110100" w14:paraId="6D290415" w14:textId="67B882E3">
            <w:pPr>
              <w:ind w:right="96"/>
              <w:rPr>
                <w:bCs/>
                <w:color w:val="FF0000"/>
              </w:rPr>
            </w:pPr>
          </w:p>
          <w:p w:rsidRPr="00F8567E" w:rsidR="00110100" w:rsidP="00DB76B3" w:rsidRDefault="00110100" w14:paraId="6D290417" w14:textId="77777777">
            <w:pPr>
              <w:ind w:right="96"/>
            </w:pPr>
          </w:p>
        </w:tc>
      </w:tr>
    </w:tbl>
    <w:p w:rsidRPr="00F8567E" w:rsidR="00653AEC" w:rsidP="00653AEC" w:rsidRDefault="0020539A" w14:paraId="6D29041A" w14:textId="151DF7A6">
      <w:pPr>
        <w:spacing w:after="0" w:line="240" w:lineRule="auto"/>
        <w:jc w:val="center"/>
        <w:rPr>
          <w:b/>
        </w:rPr>
      </w:pPr>
      <w:r>
        <w:br w:type="page"/>
      </w:r>
    </w:p>
    <w:p w:rsidRPr="00F8567E" w:rsidR="00653AEC" w:rsidP="1AAD8C30" w:rsidRDefault="12BD2542" w14:paraId="301B1AA1" w14:textId="2485DB1C">
      <w:pPr>
        <w:spacing w:after="0" w:line="240" w:lineRule="auto"/>
        <w:rPr>
          <w:b/>
          <w:bCs/>
        </w:rPr>
      </w:pPr>
      <w:r w:rsidRPr="1AAD8C30">
        <w:rPr>
          <w:b/>
          <w:bCs/>
        </w:rPr>
        <w:t>Update on the completion of the Vaccine Equity Strategy and Plan</w:t>
      </w:r>
    </w:p>
    <w:p w:rsidRPr="00F8567E" w:rsidR="00653AEC" w:rsidP="1AAD8C30" w:rsidRDefault="00653AEC" w14:paraId="6D29041B" w14:textId="2F47F797">
      <w:pPr>
        <w:spacing w:after="0" w:line="240" w:lineRule="auto"/>
        <w:jc w:val="center"/>
        <w:rPr>
          <w:b/>
          <w:bCs/>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5521B8" w:rsidR="00653AEC" w:rsidP="002B1887" w:rsidRDefault="002B1887" w14:paraId="6D29041D" w14:textId="081DA4FD">
      <w:pPr>
        <w:spacing w:after="0" w:line="240" w:lineRule="auto"/>
        <w:jc w:val="both"/>
      </w:pPr>
      <w:r w:rsidRPr="002B1887">
        <w:t>The Swansea Bay University Health Board Immunisation Team are committed to the promotion of vaccination delivery to achieve population equity in the prevention of vaccine preventable diseases.</w:t>
      </w:r>
      <w:r w:rsidR="005521B8">
        <w:br/>
      </w:r>
      <w:r w:rsidR="005521B8">
        <w:br/>
      </w:r>
      <w:r w:rsidRPr="002B1887">
        <w:t>The report aims to provide update and assurance of the completion of the 2025-2028 Vaccination Vaccine Equity Strategy and Vaccine Equity Strategic Plan.</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2B1887" w:rsidR="002B1887" w:rsidP="002B1887" w:rsidRDefault="002B1887" w14:paraId="265BB14B" w14:textId="7C74852B">
      <w:pPr>
        <w:spacing w:after="0" w:line="240" w:lineRule="auto"/>
        <w:jc w:val="both"/>
      </w:pPr>
      <w:r w:rsidRPr="002B1887">
        <w:t xml:space="preserve">In 2024, the immunisation team developed a 1-year Vaccine Equity Strategy and Strategic Plan to ensure that local planning activity focuses and delivers vaccination services and interventions in accordance with the priorities set within the Welsh Government’s National Immunisation Framework (NIF). </w:t>
      </w:r>
    </w:p>
    <w:p w:rsidRPr="002B1887" w:rsidR="002B1887" w:rsidP="002B1887" w:rsidRDefault="002B1887" w14:paraId="26AD625D" w14:textId="77777777">
      <w:pPr>
        <w:spacing w:after="0" w:line="240" w:lineRule="auto"/>
        <w:jc w:val="both"/>
      </w:pPr>
    </w:p>
    <w:p w:rsidRPr="002B1887" w:rsidR="002B1887" w:rsidP="002B1887" w:rsidRDefault="002B1887" w14:paraId="64A354A3" w14:textId="77777777">
      <w:pPr>
        <w:spacing w:after="0" w:line="240" w:lineRule="auto"/>
        <w:jc w:val="both"/>
      </w:pPr>
      <w:r w:rsidRPr="002B1887">
        <w:t xml:space="preserve">For 2025-26, the immunisation team developed and now completed a new Vaccine Equity Strategy and Vaccine Equity Strategic Plan. Both the overall strategy and the strategic plan have a medium-term timeframe (2025-2028). The four priorities within the strategic plan have continued from the previous version, following discussions and agreement from all stakeholders delivering and/or supporting vaccinations. The four priorities are Data and intelligence, Increasing accessibility, Communication and engagement and Evaluation of actions and interventions. </w:t>
      </w:r>
    </w:p>
    <w:p w:rsidRPr="002B1887" w:rsidR="002B1887" w:rsidP="002B1887" w:rsidRDefault="002B1887" w14:paraId="68F2DCA9" w14:textId="77777777">
      <w:pPr>
        <w:spacing w:after="0" w:line="240" w:lineRule="auto"/>
        <w:jc w:val="both"/>
      </w:pPr>
    </w:p>
    <w:p w:rsidR="00653AEC" w:rsidP="002B1887" w:rsidRDefault="002B1887" w14:paraId="6D290420" w14:textId="48082B5E">
      <w:pPr>
        <w:spacing w:after="0" w:line="240" w:lineRule="auto"/>
        <w:jc w:val="both"/>
      </w:pPr>
      <w:r w:rsidRPr="002B1887">
        <w:t>The strategy has been updated, reflecting progress form previous strategy and on reflection of recommendations following a recent scoping review by Vaccine Preventable Wales.</w:t>
      </w:r>
    </w:p>
    <w:p w:rsidRPr="00CB5A16" w:rsidR="00CB5A16" w:rsidP="00CB5A16" w:rsidRDefault="00CB5A16" w14:paraId="10706BF7" w14:textId="77777777">
      <w:pPr>
        <w:spacing w:after="0" w:line="240" w:lineRule="auto"/>
        <w:jc w:val="both"/>
        <w:rPr>
          <w:b/>
        </w:rPr>
      </w:pPr>
    </w:p>
    <w:p w:rsidR="00CB5A16" w:rsidP="00CB5A16" w:rsidRDefault="00CB5A16" w14:paraId="419F5E66" w14:textId="77777777">
      <w:pPr>
        <w:spacing w:after="0" w:line="240" w:lineRule="auto"/>
        <w:jc w:val="both"/>
        <w:rPr>
          <w:bCs/>
        </w:rPr>
      </w:pPr>
      <w:r w:rsidRPr="00CB5A16">
        <w:rPr>
          <w:bCs/>
        </w:rPr>
        <w:t>Key outcomes from the first year of the strategy on addressing inequities through analysis of the 2025/2026 Vaccine Equity Planning and Monitoring tool, has highlighted;</w:t>
      </w:r>
    </w:p>
    <w:p w:rsidR="00CB5A16" w:rsidP="00CB5A16" w:rsidRDefault="00CB5A16" w14:paraId="730E3E72" w14:textId="77777777">
      <w:pPr>
        <w:spacing w:after="0" w:line="240" w:lineRule="auto"/>
        <w:jc w:val="both"/>
        <w:rPr>
          <w:bCs/>
        </w:rPr>
      </w:pPr>
    </w:p>
    <w:p w:rsidRPr="00CB5A16" w:rsidR="00CB5A16" w:rsidP="00CB5A16" w:rsidRDefault="00CB5A16" w14:paraId="0027D351" w14:textId="689EE7A6">
      <w:pPr>
        <w:spacing w:after="0" w:line="240" w:lineRule="auto"/>
        <w:jc w:val="both"/>
        <w:rPr>
          <w:bCs/>
        </w:rPr>
      </w:pPr>
      <w:r>
        <w:rPr>
          <w:bCs/>
        </w:rPr>
        <w:t>A</w:t>
      </w:r>
      <w:r w:rsidRPr="00CB5A16">
        <w:rPr>
          <w:bCs/>
        </w:rPr>
        <w:t xml:space="preserve"> total of </w:t>
      </w:r>
      <w:r w:rsidRPr="00CB5A16">
        <w:rPr>
          <w:b/>
        </w:rPr>
        <w:t>222</w:t>
      </w:r>
      <w:r w:rsidRPr="00CB5A16">
        <w:rPr>
          <w:bCs/>
        </w:rPr>
        <w:t xml:space="preserve"> actions </w:t>
      </w:r>
      <w:r>
        <w:rPr>
          <w:bCs/>
        </w:rPr>
        <w:t>were recorded</w:t>
      </w:r>
      <w:r w:rsidRPr="00CB5A16">
        <w:rPr>
          <w:bCs/>
        </w:rPr>
        <w:t xml:space="preserve"> </w:t>
      </w:r>
      <w:r>
        <w:rPr>
          <w:bCs/>
        </w:rPr>
        <w:t xml:space="preserve">in targeting addressing vaccine inequities. </w:t>
      </w:r>
      <w:r w:rsidRPr="00CB5A16">
        <w:rPr>
          <w:bCs/>
        </w:rPr>
        <w:t>These actions are distributed across the four strategic principles as follows</w:t>
      </w:r>
      <w:r>
        <w:rPr>
          <w:bCs/>
        </w:rPr>
        <w:t>;</w:t>
      </w:r>
    </w:p>
    <w:p w:rsidRPr="00CB5A16" w:rsidR="00CB5A16" w:rsidP="00CB5A16" w:rsidRDefault="00CB5A16" w14:paraId="12E27A02" w14:textId="0DF77A97">
      <w:pPr>
        <w:pStyle w:val="ListParagraph"/>
        <w:numPr>
          <w:ilvl w:val="0"/>
          <w:numId w:val="11"/>
        </w:numPr>
        <w:spacing w:after="0" w:line="240" w:lineRule="auto"/>
        <w:jc w:val="both"/>
        <w:rPr>
          <w:bCs/>
        </w:rPr>
      </w:pPr>
      <w:r w:rsidRPr="00CB5A16">
        <w:rPr>
          <w:bCs/>
        </w:rPr>
        <w:t xml:space="preserve">Data and Intelligence: 61 recorded actions </w:t>
      </w:r>
    </w:p>
    <w:p w:rsidRPr="00CB5A16" w:rsidR="00CB5A16" w:rsidP="00CB5A16" w:rsidRDefault="00CB5A16" w14:paraId="156F5F52" w14:textId="6A26A86D">
      <w:pPr>
        <w:pStyle w:val="ListParagraph"/>
        <w:numPr>
          <w:ilvl w:val="0"/>
          <w:numId w:val="11"/>
        </w:numPr>
        <w:spacing w:after="0" w:line="240" w:lineRule="auto"/>
        <w:jc w:val="both"/>
        <w:rPr>
          <w:bCs/>
        </w:rPr>
      </w:pPr>
      <w:r w:rsidRPr="00CB5A16">
        <w:rPr>
          <w:bCs/>
        </w:rPr>
        <w:t>Increasing Accessibility: 58 recorded actions</w:t>
      </w:r>
    </w:p>
    <w:p w:rsidRPr="00CB5A16" w:rsidR="00CB5A16" w:rsidP="00CB5A16" w:rsidRDefault="00CB5A16" w14:paraId="6CA87E4C" w14:textId="681858ED">
      <w:pPr>
        <w:pStyle w:val="ListParagraph"/>
        <w:numPr>
          <w:ilvl w:val="0"/>
          <w:numId w:val="11"/>
        </w:numPr>
        <w:spacing w:after="0" w:line="240" w:lineRule="auto"/>
        <w:jc w:val="both"/>
        <w:rPr>
          <w:bCs/>
        </w:rPr>
      </w:pPr>
      <w:r w:rsidRPr="00CB5A16">
        <w:rPr>
          <w:bCs/>
        </w:rPr>
        <w:t>Communication and Engagement: 87 recorded actions</w:t>
      </w:r>
    </w:p>
    <w:p w:rsidRPr="00CB5A16" w:rsidR="00CB5A16" w:rsidP="00CB5A16" w:rsidRDefault="00CB5A16" w14:paraId="17020DC6" w14:textId="09187B8E">
      <w:pPr>
        <w:pStyle w:val="ListParagraph"/>
        <w:numPr>
          <w:ilvl w:val="0"/>
          <w:numId w:val="11"/>
        </w:numPr>
        <w:spacing w:after="0" w:line="240" w:lineRule="auto"/>
        <w:jc w:val="both"/>
        <w:rPr>
          <w:bCs/>
        </w:rPr>
      </w:pPr>
      <w:r w:rsidRPr="00CB5A16">
        <w:rPr>
          <w:bCs/>
        </w:rPr>
        <w:t>Evaluation of Actions and Interventions: 16 recorded actions</w:t>
      </w:r>
    </w:p>
    <w:p w:rsidRPr="00CB5A16" w:rsidR="00CB5A16" w:rsidP="00CB5A16" w:rsidRDefault="00CB5A16" w14:paraId="44D71AA7" w14:textId="77777777">
      <w:pPr>
        <w:spacing w:after="0" w:line="240" w:lineRule="auto"/>
        <w:jc w:val="both"/>
        <w:rPr>
          <w:bCs/>
        </w:rPr>
      </w:pPr>
    </w:p>
    <w:p w:rsidR="00CB5A16" w:rsidP="00CB5A16" w:rsidRDefault="00CB5A16" w14:paraId="4DEC68DC" w14:textId="77777777">
      <w:pPr>
        <w:spacing w:after="0" w:line="240" w:lineRule="auto"/>
        <w:jc w:val="both"/>
        <w:rPr>
          <w:bCs/>
          <w:u w:val="single"/>
        </w:rPr>
      </w:pPr>
    </w:p>
    <w:p w:rsidR="00CB5A16" w:rsidP="00CB5A16" w:rsidRDefault="00CB5A16" w14:paraId="19290945" w14:textId="77777777">
      <w:pPr>
        <w:spacing w:after="0" w:line="240" w:lineRule="auto"/>
        <w:jc w:val="both"/>
        <w:rPr>
          <w:bCs/>
          <w:u w:val="single"/>
        </w:rPr>
      </w:pPr>
    </w:p>
    <w:p w:rsidR="00CB5A16" w:rsidP="00CB5A16" w:rsidRDefault="00CB5A16" w14:paraId="24CA82CA" w14:textId="77777777">
      <w:pPr>
        <w:spacing w:after="0" w:line="240" w:lineRule="auto"/>
        <w:jc w:val="both"/>
        <w:rPr>
          <w:bCs/>
          <w:u w:val="single"/>
        </w:rPr>
      </w:pPr>
    </w:p>
    <w:p w:rsidRPr="00CB5A16" w:rsidR="00CB5A16" w:rsidP="00CB5A16" w:rsidRDefault="00CB5A16" w14:paraId="0B265B94" w14:textId="5655632C">
      <w:pPr>
        <w:spacing w:after="0" w:line="240" w:lineRule="auto"/>
        <w:jc w:val="both"/>
        <w:rPr>
          <w:bCs/>
          <w:u w:val="single"/>
        </w:rPr>
      </w:pPr>
      <w:r w:rsidRPr="00CB5A16">
        <w:rPr>
          <w:bCs/>
          <w:u w:val="single"/>
        </w:rPr>
        <w:t>Data &amp; Intelligence</w:t>
      </w:r>
    </w:p>
    <w:p w:rsidR="00CB5A16" w:rsidP="00CB5A16" w:rsidRDefault="00CB5A16" w14:paraId="05A6B819" w14:textId="77777777">
      <w:pPr>
        <w:spacing w:after="0" w:line="240" w:lineRule="auto"/>
        <w:jc w:val="both"/>
        <w:rPr>
          <w:bCs/>
        </w:rPr>
      </w:pPr>
    </w:p>
    <w:p w:rsidRPr="00CB5A16" w:rsidR="00CB5A16" w:rsidP="00CB5A16" w:rsidRDefault="00CB5A16" w14:paraId="5993E740" w14:textId="4F5EDF3B">
      <w:pPr>
        <w:pStyle w:val="ListParagraph"/>
        <w:numPr>
          <w:ilvl w:val="0"/>
          <w:numId w:val="12"/>
        </w:numPr>
        <w:spacing w:after="0" w:line="240" w:lineRule="auto"/>
        <w:jc w:val="both"/>
        <w:rPr>
          <w:bCs/>
        </w:rPr>
      </w:pPr>
      <w:r w:rsidRPr="00CB5A16">
        <w:rPr>
          <w:bCs/>
        </w:rPr>
        <w:t>Improving uptake in underserved communities was directly addressed in 46 of 61 actions (75%)</w:t>
      </w:r>
    </w:p>
    <w:p w:rsidRPr="00CB5A16" w:rsidR="00CB5A16" w:rsidP="00CB5A16" w:rsidRDefault="00CB5A16" w14:paraId="1A1B5BB8" w14:textId="3EDE84B9">
      <w:pPr>
        <w:pStyle w:val="ListParagraph"/>
        <w:numPr>
          <w:ilvl w:val="0"/>
          <w:numId w:val="12"/>
        </w:numPr>
        <w:spacing w:after="0" w:line="240" w:lineRule="auto"/>
        <w:jc w:val="both"/>
        <w:rPr>
          <w:bCs/>
        </w:rPr>
      </w:pPr>
      <w:r w:rsidRPr="00CB5A16">
        <w:rPr>
          <w:bCs/>
        </w:rPr>
        <w:t>Protected Characteristics monitoring and mapping featured in 38 actions (62%)</w:t>
      </w:r>
    </w:p>
    <w:p w:rsidRPr="00CB5A16" w:rsidR="00CB5A16" w:rsidP="00CB5A16" w:rsidRDefault="00CB5A16" w14:paraId="269A50AD" w14:textId="1CAE2138">
      <w:pPr>
        <w:pStyle w:val="ListParagraph"/>
        <w:numPr>
          <w:ilvl w:val="0"/>
          <w:numId w:val="12"/>
        </w:numPr>
        <w:spacing w:after="0" w:line="240" w:lineRule="auto"/>
        <w:jc w:val="both"/>
        <w:rPr>
          <w:bCs/>
        </w:rPr>
      </w:pPr>
      <w:r w:rsidRPr="00CB5A16">
        <w:rPr>
          <w:bCs/>
        </w:rPr>
        <w:t>Insight gathering activity remains a key strength, with 40 distinct activities (including focus groups, engagement events, and surveys)</w:t>
      </w:r>
    </w:p>
    <w:p w:rsidRPr="00CB5A16" w:rsidR="00CB5A16" w:rsidP="00CB5A16" w:rsidRDefault="00CB5A16" w14:paraId="0915C47C" w14:textId="77777777">
      <w:pPr>
        <w:spacing w:after="0" w:line="240" w:lineRule="auto"/>
        <w:jc w:val="both"/>
        <w:rPr>
          <w:bCs/>
          <w:u w:val="single"/>
        </w:rPr>
      </w:pPr>
    </w:p>
    <w:p w:rsidRPr="00CB5A16" w:rsidR="00CB5A16" w:rsidP="00CB5A16" w:rsidRDefault="00CB5A16" w14:paraId="231F6F0A" w14:textId="77777777">
      <w:pPr>
        <w:spacing w:after="0" w:line="240" w:lineRule="auto"/>
        <w:jc w:val="both"/>
        <w:rPr>
          <w:bCs/>
          <w:u w:val="single"/>
        </w:rPr>
      </w:pPr>
      <w:r w:rsidRPr="00CB5A16">
        <w:rPr>
          <w:bCs/>
          <w:u w:val="single"/>
        </w:rPr>
        <w:t>Increasing Accessibility</w:t>
      </w:r>
    </w:p>
    <w:p w:rsidRPr="00CB5A16" w:rsidR="00CB5A16" w:rsidP="00CB5A16" w:rsidRDefault="00CB5A16" w14:paraId="07F389A2" w14:textId="68B3F277">
      <w:pPr>
        <w:pStyle w:val="ListParagraph"/>
        <w:numPr>
          <w:ilvl w:val="0"/>
          <w:numId w:val="13"/>
        </w:numPr>
        <w:spacing w:after="0" w:line="240" w:lineRule="auto"/>
        <w:jc w:val="both"/>
        <w:rPr>
          <w:bCs/>
        </w:rPr>
      </w:pPr>
      <w:r w:rsidRPr="00CB5A16">
        <w:rPr>
          <w:bCs/>
        </w:rPr>
        <w:t>45 actions focused on increasing delivery within underserved communities</w:t>
      </w:r>
    </w:p>
    <w:p w:rsidRPr="00CB5A16" w:rsidR="00CB5A16" w:rsidP="00CB5A16" w:rsidRDefault="00CB5A16" w14:paraId="24F3CBC4" w14:textId="525E4946">
      <w:pPr>
        <w:pStyle w:val="ListParagraph"/>
        <w:numPr>
          <w:ilvl w:val="0"/>
          <w:numId w:val="13"/>
        </w:numPr>
        <w:spacing w:after="0" w:line="240" w:lineRule="auto"/>
        <w:jc w:val="both"/>
        <w:rPr>
          <w:bCs/>
        </w:rPr>
      </w:pPr>
      <w:r w:rsidRPr="00CB5A16">
        <w:rPr>
          <w:bCs/>
        </w:rPr>
        <w:t>50 actions implemented flexible or alternative delivery models (e.g. outreach</w:t>
      </w:r>
      <w:r>
        <w:rPr>
          <w:bCs/>
        </w:rPr>
        <w:t xml:space="preserve"> and</w:t>
      </w:r>
      <w:r w:rsidRPr="00CB5A16">
        <w:rPr>
          <w:bCs/>
        </w:rPr>
        <w:t xml:space="preserve"> pop-ups</w:t>
      </w:r>
      <w:r>
        <w:rPr>
          <w:bCs/>
        </w:rPr>
        <w:t xml:space="preserve"> clinics through</w:t>
      </w:r>
      <w:r w:rsidRPr="00CB5A16">
        <w:rPr>
          <w:bCs/>
        </w:rPr>
        <w:t xml:space="preserve"> community settings</w:t>
      </w:r>
      <w:r>
        <w:rPr>
          <w:bCs/>
        </w:rPr>
        <w:t xml:space="preserve"> and the Immbulance</w:t>
      </w:r>
      <w:r w:rsidRPr="00CB5A16">
        <w:rPr>
          <w:bCs/>
        </w:rPr>
        <w:t>)</w:t>
      </w:r>
    </w:p>
    <w:p w:rsidRPr="00CB5A16" w:rsidR="00CB5A16" w:rsidP="00CB5A16" w:rsidRDefault="00CB5A16" w14:paraId="37DCF5B8" w14:textId="660BB4CD">
      <w:pPr>
        <w:pStyle w:val="ListParagraph"/>
        <w:numPr>
          <w:ilvl w:val="0"/>
          <w:numId w:val="13"/>
        </w:numPr>
        <w:spacing w:after="0" w:line="240" w:lineRule="auto"/>
        <w:jc w:val="both"/>
        <w:rPr>
          <w:bCs/>
        </w:rPr>
      </w:pPr>
      <w:r w:rsidRPr="00CB5A16">
        <w:rPr>
          <w:bCs/>
        </w:rPr>
        <w:t>30 actions involved the development of tailored resources to meet community-specific needs</w:t>
      </w:r>
      <w:r>
        <w:rPr>
          <w:bCs/>
        </w:rPr>
        <w:t xml:space="preserve">, increasing access to </w:t>
      </w:r>
      <w:r w:rsidR="00FC5207">
        <w:rPr>
          <w:bCs/>
        </w:rPr>
        <w:t>factual and relevant information</w:t>
      </w:r>
      <w:r>
        <w:rPr>
          <w:bCs/>
        </w:rPr>
        <w:t>.</w:t>
      </w:r>
    </w:p>
    <w:p w:rsidRPr="00CB5A16" w:rsidR="00CB5A16" w:rsidP="00CB5A16" w:rsidRDefault="00CB5A16" w14:paraId="32CB73AE" w14:textId="77777777">
      <w:pPr>
        <w:spacing w:after="0" w:line="240" w:lineRule="auto"/>
        <w:jc w:val="both"/>
        <w:rPr>
          <w:bCs/>
          <w:u w:val="single"/>
        </w:rPr>
      </w:pPr>
    </w:p>
    <w:p w:rsidRPr="00CB5A16" w:rsidR="00CB5A16" w:rsidP="00CB5A16" w:rsidRDefault="00CB5A16" w14:paraId="422199E6" w14:textId="77777777">
      <w:pPr>
        <w:spacing w:after="0" w:line="240" w:lineRule="auto"/>
        <w:jc w:val="both"/>
        <w:rPr>
          <w:bCs/>
          <w:u w:val="single"/>
        </w:rPr>
      </w:pPr>
      <w:r w:rsidRPr="00CB5A16">
        <w:rPr>
          <w:bCs/>
          <w:u w:val="single"/>
        </w:rPr>
        <w:t>Communication &amp; Engagement Metrics</w:t>
      </w:r>
    </w:p>
    <w:p w:rsidRPr="00CB5A16" w:rsidR="00CB5A16" w:rsidP="00CB5A16" w:rsidRDefault="00CB5A16" w14:paraId="1E19F588" w14:textId="32084DF9">
      <w:pPr>
        <w:pStyle w:val="ListParagraph"/>
        <w:numPr>
          <w:ilvl w:val="0"/>
          <w:numId w:val="14"/>
        </w:numPr>
        <w:spacing w:after="0" w:line="240" w:lineRule="auto"/>
        <w:jc w:val="both"/>
        <w:rPr>
          <w:bCs/>
        </w:rPr>
      </w:pPr>
      <w:r w:rsidRPr="00CB5A16">
        <w:rPr>
          <w:bCs/>
        </w:rPr>
        <w:t xml:space="preserve">35 community engagement events attended </w:t>
      </w:r>
    </w:p>
    <w:p w:rsidRPr="00CB5A16" w:rsidR="00CB5A16" w:rsidP="00CB5A16" w:rsidRDefault="00CB5A16" w14:paraId="64ED283D" w14:textId="46B4FCC7">
      <w:pPr>
        <w:pStyle w:val="ListParagraph"/>
        <w:numPr>
          <w:ilvl w:val="0"/>
          <w:numId w:val="14"/>
        </w:numPr>
        <w:spacing w:after="0" w:line="240" w:lineRule="auto"/>
        <w:jc w:val="both"/>
        <w:rPr>
          <w:bCs/>
        </w:rPr>
      </w:pPr>
      <w:r w:rsidRPr="00CB5A16">
        <w:rPr>
          <w:bCs/>
        </w:rPr>
        <w:t>40 stakeholder-focused actions undertaken</w:t>
      </w:r>
    </w:p>
    <w:p w:rsidRPr="00CB5A16" w:rsidR="00CB5A16" w:rsidP="00CB5A16" w:rsidRDefault="00CB5A16" w14:paraId="792D9116" w14:textId="1AB1F9E0">
      <w:pPr>
        <w:pStyle w:val="ListParagraph"/>
        <w:numPr>
          <w:ilvl w:val="0"/>
          <w:numId w:val="14"/>
        </w:numPr>
        <w:spacing w:after="0" w:line="240" w:lineRule="auto"/>
        <w:jc w:val="both"/>
        <w:rPr>
          <w:bCs/>
        </w:rPr>
      </w:pPr>
      <w:r w:rsidRPr="00CB5A16">
        <w:rPr>
          <w:bCs/>
        </w:rPr>
        <w:t>High levels of needs-based resource distribution and digital communication outputs reported</w:t>
      </w:r>
      <w:r>
        <w:rPr>
          <w:bCs/>
        </w:rPr>
        <w:t xml:space="preserve">, through tailored resources. Including locally created resources, </w:t>
      </w:r>
      <w:r w:rsidR="00DD12F2">
        <w:rPr>
          <w:bCs/>
        </w:rPr>
        <w:t xml:space="preserve">supported through effective collaboration with underserved and at-risk communities and supporting organisations. </w:t>
      </w:r>
    </w:p>
    <w:p w:rsidRPr="00CB5A16" w:rsidR="00CB5A16" w:rsidP="00CB5A16" w:rsidRDefault="00CB5A16" w14:paraId="6423EC88" w14:textId="77777777">
      <w:pPr>
        <w:spacing w:after="0" w:line="240" w:lineRule="auto"/>
        <w:jc w:val="both"/>
        <w:rPr>
          <w:bCs/>
        </w:rPr>
      </w:pPr>
    </w:p>
    <w:p w:rsidRPr="00CB5A16" w:rsidR="00CB5A16" w:rsidP="00CB5A16" w:rsidRDefault="00CB5A16" w14:paraId="5135FAD7" w14:textId="77777777">
      <w:pPr>
        <w:spacing w:after="0" w:line="240" w:lineRule="auto"/>
        <w:jc w:val="both"/>
        <w:rPr>
          <w:bCs/>
          <w:u w:val="single"/>
        </w:rPr>
      </w:pPr>
      <w:r w:rsidRPr="00CB5A16">
        <w:rPr>
          <w:bCs/>
          <w:u w:val="single"/>
        </w:rPr>
        <w:t>Evaluations of actions and interventions</w:t>
      </w:r>
    </w:p>
    <w:p w:rsidRPr="00DD12F2" w:rsidR="00CB5A16" w:rsidP="00DD12F2" w:rsidRDefault="00CB5A16" w14:paraId="1EE4F75A" w14:textId="77777777">
      <w:pPr>
        <w:pStyle w:val="ListParagraph"/>
        <w:numPr>
          <w:ilvl w:val="0"/>
          <w:numId w:val="15"/>
        </w:numPr>
        <w:spacing w:after="0" w:line="240" w:lineRule="auto"/>
        <w:jc w:val="both"/>
        <w:rPr>
          <w:bCs/>
        </w:rPr>
      </w:pPr>
      <w:r w:rsidRPr="00DD12F2">
        <w:rPr>
          <w:bCs/>
        </w:rPr>
        <w:t>16 formal evaluations were completed, incorporating both qualitative and quantitative findings</w:t>
      </w:r>
    </w:p>
    <w:p w:rsidRPr="00CB5A16" w:rsidR="00CB5A16" w:rsidP="00CB5A16" w:rsidRDefault="00CB5A16" w14:paraId="50F20B17" w14:textId="77777777">
      <w:pPr>
        <w:spacing w:after="0" w:line="240" w:lineRule="auto"/>
        <w:jc w:val="both"/>
        <w:rPr>
          <w:bCs/>
        </w:rPr>
      </w:pPr>
      <w:r w:rsidRPr="00CB5A16">
        <w:rPr>
          <w:bCs/>
        </w:rPr>
        <w:t xml:space="preserve">There is clear evidence of intelligence-led delivery cycles, including: </w:t>
      </w:r>
    </w:p>
    <w:p w:rsidRPr="00DD12F2" w:rsidR="00CB5A16" w:rsidP="00DD12F2" w:rsidRDefault="00CB5A16" w14:paraId="70A05190" w14:textId="1E6D8548">
      <w:pPr>
        <w:pStyle w:val="ListParagraph"/>
        <w:numPr>
          <w:ilvl w:val="0"/>
          <w:numId w:val="15"/>
        </w:numPr>
        <w:spacing w:after="0" w:line="240" w:lineRule="auto"/>
        <w:jc w:val="both"/>
        <w:rPr>
          <w:bCs/>
        </w:rPr>
      </w:pPr>
      <w:r w:rsidRPr="00DD12F2">
        <w:rPr>
          <w:bCs/>
        </w:rPr>
        <w:t xml:space="preserve">Mapping </w:t>
      </w:r>
      <w:r w:rsidRPr="00DD12F2">
        <w:rPr>
          <w:rFonts w:ascii="Arial" w:hAnsi="Arial"/>
          <w:bCs/>
        </w:rPr>
        <w:t>→</w:t>
      </w:r>
      <w:r w:rsidRPr="00DD12F2">
        <w:rPr>
          <w:bCs/>
        </w:rPr>
        <w:t xml:space="preserve"> Delivery </w:t>
      </w:r>
      <w:r w:rsidRPr="00DD12F2">
        <w:rPr>
          <w:rFonts w:ascii="Arial" w:hAnsi="Arial"/>
          <w:bCs/>
        </w:rPr>
        <w:t>→</w:t>
      </w:r>
      <w:r w:rsidRPr="00DD12F2">
        <w:rPr>
          <w:bCs/>
        </w:rPr>
        <w:t xml:space="preserve"> Retargeting</w:t>
      </w:r>
    </w:p>
    <w:p w:rsidRPr="00DD12F2" w:rsidR="00CB5A16" w:rsidP="00DD12F2" w:rsidRDefault="00CB5A16" w14:paraId="5165E3D8" w14:textId="1A35588B">
      <w:pPr>
        <w:pStyle w:val="ListParagraph"/>
        <w:numPr>
          <w:ilvl w:val="0"/>
          <w:numId w:val="15"/>
        </w:numPr>
        <w:spacing w:after="0" w:line="240" w:lineRule="auto"/>
        <w:jc w:val="both"/>
        <w:rPr>
          <w:bCs/>
        </w:rPr>
      </w:pPr>
      <w:r w:rsidRPr="00DD12F2">
        <w:rPr>
          <w:bCs/>
        </w:rPr>
        <w:t>Identification and response to cluster variation</w:t>
      </w:r>
      <w:r w:rsidR="00DD12F2">
        <w:rPr>
          <w:bCs/>
        </w:rPr>
        <w:t xml:space="preserve"> and targeted delivery </w:t>
      </w:r>
    </w:p>
    <w:p w:rsidRPr="00DD12F2" w:rsidR="00CB5A16" w:rsidP="00DD12F2" w:rsidRDefault="00CB5A16" w14:paraId="4CE2A9EA" w14:textId="257FF151">
      <w:pPr>
        <w:pStyle w:val="ListParagraph"/>
        <w:numPr>
          <w:ilvl w:val="0"/>
          <w:numId w:val="15"/>
        </w:numPr>
        <w:spacing w:after="0" w:line="240" w:lineRule="auto"/>
        <w:jc w:val="both"/>
        <w:rPr>
          <w:bCs/>
        </w:rPr>
      </w:pPr>
      <w:r w:rsidRPr="00DD12F2">
        <w:rPr>
          <w:bCs/>
        </w:rPr>
        <w:t>Feedback loops informing ongoing planning and prioritisation</w:t>
      </w:r>
      <w:r w:rsidR="00DD12F2">
        <w:rPr>
          <w:bCs/>
        </w:rPr>
        <w:t xml:space="preserve">, delivered on a needs basis, driven by insight and intelligence. </w:t>
      </w:r>
    </w:p>
    <w:p w:rsidRPr="00CB5A16" w:rsidR="00CB5A16" w:rsidP="00CB5A16" w:rsidRDefault="00CB5A16" w14:paraId="2E9D44AF" w14:textId="77777777">
      <w:pPr>
        <w:spacing w:after="0" w:line="240" w:lineRule="auto"/>
        <w:jc w:val="both"/>
        <w:rPr>
          <w:bCs/>
        </w:rPr>
      </w:pPr>
    </w:p>
    <w:p w:rsidRPr="00CB5A16" w:rsidR="00CB5A16" w:rsidP="00CB5A16" w:rsidRDefault="00CB5A16" w14:paraId="3436D18C" w14:textId="77777777">
      <w:pPr>
        <w:spacing w:after="0" w:line="240" w:lineRule="auto"/>
        <w:jc w:val="both"/>
        <w:rPr>
          <w:bCs/>
        </w:rPr>
      </w:pPr>
      <w:r w:rsidRPr="00CB5A16">
        <w:rPr>
          <w:bCs/>
        </w:rPr>
        <w:t>There is clear momentum into 2026, with key developments already underway to address identified gaps. The next phase of delivery is expected to focus on:</w:t>
      </w:r>
    </w:p>
    <w:p w:rsidRPr="00FC5207" w:rsidR="00CB5A16" w:rsidP="00FC5207" w:rsidRDefault="00CB5A16" w14:paraId="3611A4A1" w14:textId="71F911E3">
      <w:pPr>
        <w:pStyle w:val="ListParagraph"/>
        <w:numPr>
          <w:ilvl w:val="0"/>
          <w:numId w:val="16"/>
        </w:numPr>
        <w:spacing w:after="0" w:line="240" w:lineRule="auto"/>
        <w:jc w:val="both"/>
        <w:rPr>
          <w:bCs/>
        </w:rPr>
      </w:pPr>
      <w:r w:rsidRPr="00FC5207">
        <w:rPr>
          <w:bCs/>
        </w:rPr>
        <w:t>Strengthening data completeness and standardisation</w:t>
      </w:r>
      <w:r w:rsidRPr="00FC5207" w:rsidR="00DD12F2">
        <w:rPr>
          <w:bCs/>
        </w:rPr>
        <w:t xml:space="preserve"> through our local dashboards, including information on LSOA, GP and Cluster </w:t>
      </w:r>
    </w:p>
    <w:p w:rsidRPr="00FC5207" w:rsidR="00CB5A16" w:rsidP="00FC5207" w:rsidRDefault="00CB5A16" w14:paraId="5DE573E0" w14:textId="01CECBCE">
      <w:pPr>
        <w:pStyle w:val="ListParagraph"/>
        <w:numPr>
          <w:ilvl w:val="0"/>
          <w:numId w:val="16"/>
        </w:numPr>
        <w:spacing w:after="0" w:line="240" w:lineRule="auto"/>
        <w:jc w:val="both"/>
        <w:rPr>
          <w:bCs/>
        </w:rPr>
      </w:pPr>
      <w:r w:rsidRPr="00FC5207">
        <w:rPr>
          <w:bCs/>
        </w:rPr>
        <w:t>Embedding equity tools consistently across the system</w:t>
      </w:r>
    </w:p>
    <w:p w:rsidRPr="00FC5207" w:rsidR="00CB5A16" w:rsidP="00FC5207" w:rsidRDefault="00CB5A16" w14:paraId="469B4BD7" w14:textId="7D56C16C">
      <w:pPr>
        <w:pStyle w:val="ListParagraph"/>
        <w:numPr>
          <w:ilvl w:val="0"/>
          <w:numId w:val="16"/>
        </w:numPr>
        <w:spacing w:after="0" w:line="240" w:lineRule="auto"/>
        <w:jc w:val="both"/>
        <w:rPr>
          <w:bCs/>
        </w:rPr>
      </w:pPr>
      <w:r w:rsidRPr="00FC5207">
        <w:rPr>
          <w:bCs/>
        </w:rPr>
        <w:t>Enhancing long-term outcome monitoring and evaluation frameworks</w:t>
      </w:r>
    </w:p>
    <w:p w:rsidRPr="00FC5207" w:rsidR="00CB5A16" w:rsidP="00FC5207" w:rsidRDefault="00CB5A16" w14:paraId="7BB8E423" w14:textId="4EB94D6C">
      <w:pPr>
        <w:pStyle w:val="ListParagraph"/>
        <w:numPr>
          <w:ilvl w:val="0"/>
          <w:numId w:val="16"/>
        </w:numPr>
        <w:spacing w:after="0" w:line="240" w:lineRule="auto"/>
        <w:jc w:val="both"/>
        <w:rPr>
          <w:bCs/>
        </w:rPr>
      </w:pPr>
      <w:r w:rsidRPr="00FC5207">
        <w:rPr>
          <w:bCs/>
        </w:rPr>
        <w:t>This positions the programme strongly to build on current success and further reduce vaccination inequalities across Swansea Bay.</w:t>
      </w:r>
    </w:p>
    <w:p w:rsidRPr="00CB5A16" w:rsidR="00653AEC" w:rsidP="00653AEC" w:rsidRDefault="00653AEC" w14:paraId="6D290421" w14:textId="77777777">
      <w:pPr>
        <w:pStyle w:val="ListParagraph"/>
        <w:spacing w:after="0" w:line="240" w:lineRule="auto"/>
        <w:rPr>
          <w:bCs/>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Pr="00CB5A16" w:rsidR="00CB5A16" w:rsidP="00CB5A16" w:rsidRDefault="00CB5A16" w14:paraId="0BBAE937" w14:textId="2D416910">
      <w:pPr>
        <w:spacing w:after="0" w:line="240" w:lineRule="auto"/>
        <w:jc w:val="both"/>
      </w:pPr>
      <w:r w:rsidRPr="00CB5A16">
        <w:t xml:space="preserve">The progress on planning and delivery of key actions listed against each priority is logged through a planning and monitoring tool, with a live reporting tracker also utilised to record the whole vaccination and immunisation delivery across the health board. </w:t>
      </w:r>
    </w:p>
    <w:p w:rsidRPr="00CB5A16" w:rsidR="00CB5A16" w:rsidP="00CB5A16" w:rsidRDefault="00CB5A16" w14:paraId="1C91AB24" w14:textId="77777777">
      <w:pPr>
        <w:spacing w:after="0" w:line="240" w:lineRule="auto"/>
        <w:jc w:val="both"/>
      </w:pPr>
    </w:p>
    <w:p w:rsidRPr="00CB5A16" w:rsidR="00CB5A16" w:rsidP="00CB5A16" w:rsidRDefault="00CB5A16" w14:paraId="1B5F347C" w14:textId="77777777">
      <w:pPr>
        <w:spacing w:after="0" w:line="240" w:lineRule="auto"/>
        <w:jc w:val="both"/>
      </w:pPr>
      <w:r w:rsidRPr="00CB5A16">
        <w:t xml:space="preserve">Governance of progress and development is reported operationally through the health boards’ Data, Epidemiology and Equity Group and strategically through the Strategic Immunisation Group. </w:t>
      </w:r>
    </w:p>
    <w:p w:rsidRPr="00CB5A16" w:rsidR="00CB5A16" w:rsidP="00CB5A16" w:rsidRDefault="00CB5A16" w14:paraId="2E6D3990" w14:textId="77777777">
      <w:pPr>
        <w:spacing w:after="0" w:line="240" w:lineRule="auto"/>
        <w:jc w:val="both"/>
      </w:pPr>
    </w:p>
    <w:p w:rsidRPr="00F8567E" w:rsidR="00653AEC" w:rsidP="00CB5A16" w:rsidRDefault="00CB5A16" w14:paraId="6D290425" w14:textId="53ADF34B">
      <w:pPr>
        <w:spacing w:after="0" w:line="240" w:lineRule="auto"/>
        <w:jc w:val="both"/>
        <w:rPr>
          <w:color w:val="FF0000"/>
        </w:rPr>
      </w:pPr>
      <w:r w:rsidRPr="00CB5A16">
        <w:t>Risks identified is the lack or delay in plans or reported delivery that addresses and reduces vaccine inequities</w:t>
      </w:r>
      <w:r w:rsidR="00FC5207">
        <w:t xml:space="preserve"> provided by all organisations that deliver and/or support vaccination</w:t>
      </w:r>
      <w:r w:rsidRPr="00CB5A16">
        <w:t>. To mitigate the risks, discussions at our health board wide strategic and operational immunisation group meetings focuses to address vaccine inequities. Highlighting the importance of all vaccination programmes to adhere and deliver on the health boards Strategic Immunisation Plan. With regular reporting to the immunisation team to record and log actions through the Vaccine Equity Planning and Monitoring too</w:t>
      </w:r>
      <w:r w:rsidR="00FC5207">
        <w:t>l and updates at our strategic groups.</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8C1298" w:rsidR="00B50ABC" w:rsidP="00072D3B" w:rsidRDefault="008C1298" w14:paraId="350FB07C" w14:textId="65F7F3EB">
      <w:pPr>
        <w:spacing w:after="0" w:line="240" w:lineRule="auto"/>
        <w:rPr>
          <w:b/>
        </w:rPr>
      </w:pPr>
      <w:r w:rsidRPr="008C1298">
        <w:t xml:space="preserve">There are currently no open audit recommendations on the vaccine equity strategy and plans. </w:t>
      </w:r>
    </w:p>
    <w:p w:rsidRPr="00B50ABC" w:rsidR="00B50ABC" w:rsidP="00B50ABC" w:rsidRDefault="00B50ABC" w14:paraId="2E68798D" w14:textId="77777777">
      <w:pPr>
        <w:spacing w:after="0" w:line="240" w:lineRule="auto"/>
        <w:rPr>
          <w:b/>
        </w:rPr>
      </w:pPr>
    </w:p>
    <w:p w:rsidR="005521B8" w:rsidP="005521B8" w:rsidRDefault="00653AEC" w14:paraId="07947632" w14:textId="77777777">
      <w:pPr>
        <w:pStyle w:val="ListParagraph"/>
        <w:numPr>
          <w:ilvl w:val="0"/>
          <w:numId w:val="1"/>
        </w:numPr>
        <w:spacing w:after="0" w:line="240" w:lineRule="auto"/>
        <w:rPr>
          <w:b/>
        </w:rPr>
      </w:pPr>
      <w:r w:rsidRPr="00F8567E">
        <w:rPr>
          <w:b/>
        </w:rPr>
        <w:t>FINANCIAL IMPLICATIONS</w:t>
      </w:r>
    </w:p>
    <w:p w:rsidR="00653AEC" w:rsidP="005521B8" w:rsidRDefault="005521B8" w14:paraId="6D290429" w14:textId="39C78C48">
      <w:pPr>
        <w:spacing w:after="0" w:line="240" w:lineRule="auto"/>
        <w:rPr>
          <w:color w:val="000000" w:themeColor="text1"/>
        </w:rPr>
      </w:pPr>
      <w:r>
        <w:rPr>
          <w:color w:val="000000" w:themeColor="text1"/>
        </w:rPr>
        <w:br/>
      </w:r>
      <w:r>
        <w:rPr>
          <w:color w:val="000000" w:themeColor="text1"/>
        </w:rPr>
        <w:t>Workforce r</w:t>
      </w:r>
      <w:r w:rsidRPr="005521B8">
        <w:rPr>
          <w:color w:val="000000" w:themeColor="text1"/>
        </w:rPr>
        <w:t xml:space="preserve">esource is accounted for within the Immunisation Team structure </w:t>
      </w:r>
      <w:r>
        <w:rPr>
          <w:color w:val="000000" w:themeColor="text1"/>
        </w:rPr>
        <w:t>to deliver on both the VES and VESP</w:t>
      </w:r>
      <w:r w:rsidRPr="005521B8">
        <w:rPr>
          <w:color w:val="000000" w:themeColor="text1"/>
        </w:rPr>
        <w:t xml:space="preserve">. There is an associated risk to the timeliness on delivery of actions within </w:t>
      </w:r>
      <w:r>
        <w:rPr>
          <w:color w:val="000000" w:themeColor="text1"/>
        </w:rPr>
        <w:t xml:space="preserve">both the strategy and the plan </w:t>
      </w:r>
      <w:r w:rsidRPr="005521B8">
        <w:rPr>
          <w:color w:val="000000" w:themeColor="text1"/>
        </w:rPr>
        <w:t>due to current vacancies within the team</w:t>
      </w:r>
      <w:r w:rsidR="0006335A">
        <w:rPr>
          <w:color w:val="000000" w:themeColor="text1"/>
        </w:rPr>
        <w:t xml:space="preserve"> and the inability to recruit</w:t>
      </w:r>
      <w:r>
        <w:rPr>
          <w:color w:val="000000" w:themeColor="text1"/>
        </w:rPr>
        <w:t xml:space="preserve">. Additional tools and resources such as the Immbulance are also at risk given the current </w:t>
      </w:r>
      <w:r w:rsidR="0006335A">
        <w:rPr>
          <w:color w:val="000000" w:themeColor="text1"/>
        </w:rPr>
        <w:t xml:space="preserve">financial discussions and </w:t>
      </w:r>
      <w:r>
        <w:rPr>
          <w:color w:val="000000" w:themeColor="text1"/>
        </w:rPr>
        <w:t xml:space="preserve">requests </w:t>
      </w:r>
      <w:r w:rsidRPr="005521B8">
        <w:rPr>
          <w:color w:val="000000" w:themeColor="text1"/>
        </w:rPr>
        <w:t xml:space="preserve">to </w:t>
      </w:r>
      <w:r>
        <w:rPr>
          <w:color w:val="000000" w:themeColor="text1"/>
        </w:rPr>
        <w:t xml:space="preserve">reach </w:t>
      </w:r>
      <w:r w:rsidRPr="005521B8">
        <w:rPr>
          <w:color w:val="000000" w:themeColor="text1"/>
        </w:rPr>
        <w:t>savings target</w:t>
      </w:r>
      <w:r>
        <w:rPr>
          <w:color w:val="000000" w:themeColor="text1"/>
        </w:rPr>
        <w:t xml:space="preserve">s. </w:t>
      </w:r>
    </w:p>
    <w:p w:rsidRPr="005521B8" w:rsidR="005521B8" w:rsidP="005521B8" w:rsidRDefault="005521B8" w14:paraId="3DD46083" w14:textId="77777777">
      <w:pPr>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81B2F78">
        <w:rPr>
          <w:b/>
          <w:bCs/>
        </w:rPr>
        <w:t>RECOMMENDATION</w:t>
      </w:r>
    </w:p>
    <w:p w:rsidR="1ADFD08B" w:rsidP="081B2F78" w:rsidRDefault="1ADFD08B" w14:paraId="06C80418" w14:textId="77777777">
      <w:pPr>
        <w:ind w:right="96"/>
      </w:pPr>
      <w:r>
        <w:t>Members are asked to:</w:t>
      </w:r>
    </w:p>
    <w:p w:rsidR="1ADFD08B" w:rsidP="081B2F78" w:rsidRDefault="1ADFD08B" w14:paraId="255D9691" w14:textId="29BF5F52">
      <w:pPr>
        <w:pStyle w:val="ListParagraph"/>
        <w:numPr>
          <w:ilvl w:val="0"/>
          <w:numId w:val="11"/>
        </w:numPr>
      </w:pPr>
      <w:r w:rsidRPr="081B2F78">
        <w:rPr>
          <w:b/>
          <w:bCs/>
        </w:rPr>
        <w:t xml:space="preserve">ACCEPT </w:t>
      </w:r>
      <w:r>
        <w:t>the completion of the Vaccine Equity Strategy and Plan.</w:t>
      </w:r>
    </w:p>
    <w:p w:rsidR="1ADFD08B" w:rsidP="081B2F78" w:rsidRDefault="1ADFD08B" w14:paraId="7FFE20E7" w14:textId="71F6231E">
      <w:pPr>
        <w:pStyle w:val="ListParagraph"/>
        <w:numPr>
          <w:ilvl w:val="0"/>
          <w:numId w:val="11"/>
        </w:numPr>
      </w:pPr>
      <w:r>
        <w:t>To be</w:t>
      </w:r>
      <w:r w:rsidRPr="081B2F78">
        <w:rPr>
          <w:b/>
          <w:bCs/>
        </w:rPr>
        <w:t xml:space="preserve"> ASSURED</w:t>
      </w:r>
      <w:r>
        <w:t xml:space="preserve"> that the plan has been co-produced and focused on addressing vaccine inequities and has a medium-term timescale, to increase opportunity for effective and sustainable vaccine equity planning and delivery. </w:t>
      </w:r>
    </w:p>
    <w:p w:rsidR="081B2F78" w:rsidP="081B2F78" w:rsidRDefault="081B2F78" w14:paraId="0CF93A03" w14:textId="67B882E3">
      <w:pPr>
        <w:ind w:right="96"/>
        <w:rPr>
          <w:color w:val="FF0000"/>
        </w:rPr>
      </w:pPr>
    </w:p>
    <w:p w:rsidR="081B2F78" w:rsidP="081B2F78" w:rsidRDefault="081B2F78" w14:paraId="09E4313C" w14:textId="29F2450D">
      <w:pPr>
        <w:pStyle w:val="Default"/>
        <w:jc w:val="both"/>
        <w:rPr>
          <w:rFonts w:ascii="Verdana" w:hAnsi="Verdana" w:cs="Arial"/>
          <w:color w:val="auto"/>
        </w:rPr>
      </w:pPr>
    </w:p>
    <w:tbl>
      <w:tblPr>
        <w:tblStyle w:val="TableGrid"/>
        <w:tblW w:w="0" w:type="auto"/>
        <w:tblLook w:val="04A0" w:firstRow="1" w:lastRow="0" w:firstColumn="1" w:lastColumn="0" w:noHBand="0" w:noVBand="1"/>
      </w:tblPr>
      <w:tblGrid>
        <w:gridCol w:w="1801"/>
        <w:gridCol w:w="5641"/>
        <w:gridCol w:w="1574"/>
      </w:tblGrid>
      <w:tr w:rsidR="081B2F78" w:rsidTr="00834A6B" w14:paraId="40FB58A5" w14:textId="77777777">
        <w:trPr>
          <w:trHeight w:val="300"/>
        </w:trPr>
        <w:tc>
          <w:tcPr>
            <w:tcW w:w="9016" w:type="dxa"/>
            <w:gridSpan w:val="3"/>
            <w:shd w:val="clear" w:color="auto" w:fill="163E64"/>
          </w:tcPr>
          <w:p w:rsidR="081B2F78" w:rsidP="081B2F78" w:rsidRDefault="00FE7070" w14:paraId="06CC69D8" w14:textId="6D969E0D">
            <w:pPr>
              <w:jc w:val="center"/>
              <w:rPr>
                <w:b/>
                <w:bCs/>
              </w:rPr>
            </w:pPr>
            <w:r w:rsidRPr="081B2F78">
              <w:rPr>
                <w:b/>
                <w:bCs/>
              </w:rPr>
              <w:br w:type="page"/>
            </w:r>
            <w:r w:rsidRPr="081B2F78" w:rsidR="081B2F78">
              <w:rPr>
                <w:b/>
                <w:bCs/>
              </w:rPr>
              <w:t>Governance and Assurance</w:t>
            </w:r>
          </w:p>
        </w:tc>
      </w:tr>
      <w:tr w:rsidR="081B2F78" w:rsidTr="00834A6B" w14:paraId="2A5DD2E4" w14:textId="77777777">
        <w:trPr>
          <w:trHeight w:val="300"/>
        </w:trPr>
        <w:tc>
          <w:tcPr>
            <w:tcW w:w="9016" w:type="dxa"/>
            <w:gridSpan w:val="3"/>
            <w:shd w:val="clear" w:color="auto" w:fill="C1A775"/>
          </w:tcPr>
          <w:p w:rsidR="081B2F78" w:rsidP="081B2F78" w:rsidRDefault="081B2F78" w14:paraId="429DBC83" w14:textId="6CC5896F">
            <w:pPr>
              <w:rPr>
                <w:b/>
                <w:bCs/>
              </w:rPr>
            </w:pPr>
            <w:r w:rsidRPr="081B2F78">
              <w:rPr>
                <w:b/>
                <w:bCs/>
              </w:rPr>
              <w:t>Strategic Objectives</w:t>
            </w:r>
          </w:p>
        </w:tc>
      </w:tr>
      <w:tr w:rsidR="081B2F78" w:rsidTr="00834A6B" w14:paraId="4F85A776" w14:textId="77777777">
        <w:trPr>
          <w:trHeight w:val="300"/>
        </w:trPr>
        <w:tc>
          <w:tcPr>
            <w:tcW w:w="1801" w:type="dxa"/>
            <w:vMerge w:val="restart"/>
          </w:tcPr>
          <w:p w:rsidR="081B2F78" w:rsidP="081B2F78" w:rsidRDefault="081B2F78" w14:paraId="13A97319" w14:textId="05AE4DB4">
            <w:pPr>
              <w:rPr>
                <w:b/>
                <w:bCs/>
              </w:rPr>
            </w:pPr>
            <w:r w:rsidRPr="081B2F78">
              <w:rPr>
                <w:b/>
                <w:bCs/>
              </w:rPr>
              <w:t>Strategic Objectives</w:t>
            </w:r>
          </w:p>
          <w:p w:rsidR="081B2F78" w:rsidP="081B2F78" w:rsidRDefault="081B2F78" w14:paraId="2E836A99" w14:textId="6893427A">
            <w:pPr>
              <w:rPr>
                <w:b/>
                <w:bCs/>
              </w:rPr>
            </w:pPr>
            <w:r w:rsidRPr="081B2F78">
              <w:rPr>
                <w:b/>
                <w:bCs/>
                <w:i/>
                <w:iCs/>
              </w:rPr>
              <w:t>(please choose which is impacted)</w:t>
            </w:r>
          </w:p>
        </w:tc>
        <w:tc>
          <w:tcPr>
            <w:tcW w:w="5641" w:type="dxa"/>
          </w:tcPr>
          <w:p w:rsidR="081B2F78" w:rsidRDefault="081B2F78" w14:paraId="73A1EA37" w14:textId="6BE14270">
            <w:r>
              <w:t>People of Swansea Bay live healthier, fairer and more prosperous lives</w:t>
            </w:r>
          </w:p>
        </w:tc>
        <w:tc>
          <w:tcPr>
            <w:tcW w:w="1574" w:type="dxa"/>
          </w:tcPr>
          <w:sdt>
            <w:sdtPr>
              <w:id w:val="1037843709"/>
              <w14:checkbox>
                <w14:checked w14:val="1"/>
                <w14:checkedState w14:val="2612" w14:font="MS Gothic"/>
                <w14:uncheckedState w14:val="2610" w14:font="MS Gothic"/>
              </w14:checkbox>
            </w:sdtPr>
            <w:sdtContent>
              <w:p w:rsidR="081B2F78" w:rsidP="081B2F78" w:rsidRDefault="081B2F78" w14:paraId="21EF9ECB" w14:textId="55BDE7F9">
                <w:pPr>
                  <w:jc w:val="center"/>
                </w:pPr>
                <w:r w:rsidRPr="081B2F78">
                  <w:rPr>
                    <w:rFonts w:ascii="MS Gothic" w:hAnsi="MS Gothic" w:eastAsia="MS Gothic"/>
                  </w:rPr>
                  <w:t>☒</w:t>
                </w:r>
              </w:p>
            </w:sdtContent>
          </w:sdt>
        </w:tc>
      </w:tr>
      <w:tr w:rsidR="081B2F78" w:rsidTr="00834A6B" w14:paraId="3C8CCC1D" w14:textId="77777777">
        <w:trPr>
          <w:trHeight w:val="300"/>
        </w:trPr>
        <w:tc>
          <w:tcPr>
            <w:tcW w:w="1801" w:type="dxa"/>
            <w:vMerge/>
          </w:tcPr>
          <w:p w:rsidR="00374847" w:rsidRDefault="00374847" w14:paraId="15DB6076" w14:textId="77777777"/>
        </w:tc>
        <w:tc>
          <w:tcPr>
            <w:tcW w:w="5641" w:type="dxa"/>
          </w:tcPr>
          <w:p w:rsidR="081B2F78" w:rsidRDefault="081B2F78" w14:paraId="7EBE34F8" w14:textId="5071215F">
            <w:r>
              <w:t xml:space="preserve">Care is high quality, safe, efficient and delivers the best possible outcomes for people in partnerships  </w:t>
            </w:r>
          </w:p>
        </w:tc>
        <w:tc>
          <w:tcPr>
            <w:tcW w:w="1574" w:type="dxa"/>
          </w:tcPr>
          <w:sdt>
            <w:sdtPr>
              <w:id w:val="2031519941"/>
              <w14:checkbox>
                <w14:checked w14:val="1"/>
                <w14:checkedState w14:val="2612" w14:font="MS Gothic"/>
                <w14:uncheckedState w14:val="2610" w14:font="MS Gothic"/>
              </w14:checkbox>
            </w:sdtPr>
            <w:sdtContent>
              <w:p w:rsidR="081B2F78" w:rsidP="081B2F78" w:rsidRDefault="081B2F78" w14:paraId="2A7FDB63" w14:textId="4E46C9DE">
                <w:pPr>
                  <w:jc w:val="center"/>
                </w:pPr>
                <w:r w:rsidRPr="081B2F78">
                  <w:rPr>
                    <w:rFonts w:ascii="MS Gothic" w:hAnsi="MS Gothic" w:eastAsia="MS Gothic"/>
                  </w:rPr>
                  <w:t>☒</w:t>
                </w:r>
              </w:p>
            </w:sdtContent>
          </w:sdt>
        </w:tc>
      </w:tr>
      <w:tr w:rsidR="081B2F78" w:rsidTr="00834A6B" w14:paraId="79D469AF" w14:textId="77777777">
        <w:trPr>
          <w:trHeight w:val="300"/>
        </w:trPr>
        <w:tc>
          <w:tcPr>
            <w:tcW w:w="1801" w:type="dxa"/>
            <w:vMerge/>
          </w:tcPr>
          <w:p w:rsidR="00374847" w:rsidRDefault="00374847" w14:paraId="140D406B" w14:textId="77777777"/>
        </w:tc>
        <w:tc>
          <w:tcPr>
            <w:tcW w:w="5641" w:type="dxa"/>
          </w:tcPr>
          <w:p w:rsidR="081B2F78" w:rsidRDefault="081B2F78" w14:paraId="7173035B" w14:textId="7BC6B5D7">
            <w:r>
              <w:t>Care is delivered in partnership with our communities in safe and appropriate setting, supported by innovation</w:t>
            </w:r>
          </w:p>
        </w:tc>
        <w:tc>
          <w:tcPr>
            <w:tcW w:w="1574" w:type="dxa"/>
          </w:tcPr>
          <w:sdt>
            <w:sdtPr>
              <w:id w:val="1714787424"/>
              <w14:checkbox>
                <w14:checked w14:val="1"/>
                <w14:checkedState w14:val="2612" w14:font="MS Gothic"/>
                <w14:uncheckedState w14:val="2610" w14:font="MS Gothic"/>
              </w14:checkbox>
            </w:sdtPr>
            <w:sdtContent>
              <w:p w:rsidR="081B2F78" w:rsidP="081B2F78" w:rsidRDefault="081B2F78" w14:paraId="27432F82" w14:textId="0075D94C">
                <w:pPr>
                  <w:jc w:val="center"/>
                </w:pPr>
                <w:r w:rsidRPr="081B2F78">
                  <w:rPr>
                    <w:rFonts w:ascii="MS Gothic" w:hAnsi="MS Gothic" w:eastAsia="MS Gothic"/>
                  </w:rPr>
                  <w:t>☒</w:t>
                </w:r>
              </w:p>
            </w:sdtContent>
          </w:sdt>
        </w:tc>
      </w:tr>
      <w:tr w:rsidR="081B2F78" w:rsidTr="00834A6B" w14:paraId="05E1C1F6" w14:textId="77777777">
        <w:trPr>
          <w:trHeight w:val="300"/>
        </w:trPr>
        <w:tc>
          <w:tcPr>
            <w:tcW w:w="1801" w:type="dxa"/>
            <w:vMerge/>
          </w:tcPr>
          <w:p w:rsidR="00374847" w:rsidRDefault="00374847" w14:paraId="115BC370" w14:textId="77777777"/>
        </w:tc>
        <w:tc>
          <w:tcPr>
            <w:tcW w:w="5641" w:type="dxa"/>
          </w:tcPr>
          <w:p w:rsidR="081B2F78" w:rsidRDefault="081B2F78" w14:paraId="37A6B96D" w14:textId="21751B0B">
            <w:r>
              <w:t>The health board is a great place to work where staff feel valued and work together towards a common goal</w:t>
            </w:r>
          </w:p>
        </w:tc>
        <w:tc>
          <w:tcPr>
            <w:tcW w:w="1574" w:type="dxa"/>
          </w:tcPr>
          <w:sdt>
            <w:sdtPr>
              <w:id w:val="2021989555"/>
              <w14:checkbox>
                <w14:checked w14:val="1"/>
                <w14:checkedState w14:val="2612" w14:font="MS Gothic"/>
                <w14:uncheckedState w14:val="2610" w14:font="MS Gothic"/>
              </w14:checkbox>
            </w:sdtPr>
            <w:sdtContent>
              <w:p w:rsidR="081B2F78" w:rsidP="081B2F78" w:rsidRDefault="081B2F78" w14:paraId="737DE2D8" w14:textId="48B233CA">
                <w:pPr>
                  <w:jc w:val="center"/>
                </w:pPr>
                <w:r w:rsidRPr="081B2F78">
                  <w:rPr>
                    <w:rFonts w:ascii="MS Gothic" w:hAnsi="MS Gothic" w:eastAsia="MS Gothic"/>
                  </w:rPr>
                  <w:t>☒</w:t>
                </w:r>
              </w:p>
            </w:sdtContent>
          </w:sdt>
        </w:tc>
      </w:tr>
      <w:tr w:rsidR="081B2F78" w:rsidTr="00834A6B" w14:paraId="78453C59" w14:textId="77777777">
        <w:trPr>
          <w:trHeight w:val="300"/>
        </w:trPr>
        <w:tc>
          <w:tcPr>
            <w:tcW w:w="1801" w:type="dxa"/>
            <w:vMerge/>
          </w:tcPr>
          <w:p w:rsidR="00374847" w:rsidRDefault="00374847" w14:paraId="3CA28E8E" w14:textId="77777777"/>
        </w:tc>
        <w:tc>
          <w:tcPr>
            <w:tcW w:w="5641" w:type="dxa"/>
          </w:tcPr>
          <w:p w:rsidR="081B2F78" w:rsidRDefault="081B2F78" w14:paraId="4701FEB4" w14:textId="57073FBE">
            <w:r>
              <w:t>The health board is a resilient, sustainable and responsible organisation</w:t>
            </w:r>
          </w:p>
        </w:tc>
        <w:tc>
          <w:tcPr>
            <w:tcW w:w="1574" w:type="dxa"/>
          </w:tcPr>
          <w:sdt>
            <w:sdtPr>
              <w:id w:val="2139861680"/>
              <w14:checkbox>
                <w14:checked w14:val="1"/>
                <w14:checkedState w14:val="2612" w14:font="MS Gothic"/>
                <w14:uncheckedState w14:val="2610" w14:font="MS Gothic"/>
              </w14:checkbox>
            </w:sdtPr>
            <w:sdtContent>
              <w:p w:rsidR="081B2F78" w:rsidP="081B2F78" w:rsidRDefault="081B2F78" w14:paraId="55CA5774" w14:textId="10D68B4A">
                <w:pPr>
                  <w:jc w:val="center"/>
                </w:pPr>
                <w:r w:rsidRPr="081B2F78">
                  <w:rPr>
                    <w:rFonts w:ascii="MS Gothic" w:hAnsi="MS Gothic" w:eastAsia="MS Gothic"/>
                  </w:rPr>
                  <w:t>☒</w:t>
                </w:r>
              </w:p>
            </w:sdtContent>
          </w:sdt>
        </w:tc>
      </w:tr>
      <w:tr w:rsidR="081B2F78" w:rsidTr="00834A6B" w14:paraId="43D28FB1" w14:textId="77777777">
        <w:trPr>
          <w:trHeight w:val="300"/>
        </w:trPr>
        <w:tc>
          <w:tcPr>
            <w:tcW w:w="9016" w:type="dxa"/>
            <w:gridSpan w:val="3"/>
            <w:shd w:val="clear" w:color="auto" w:fill="C1A775"/>
          </w:tcPr>
          <w:p w:rsidR="081B2F78" w:rsidP="081B2F78" w:rsidRDefault="081B2F78" w14:paraId="1F375F31" w14:textId="77777777">
            <w:pPr>
              <w:rPr>
                <w:b/>
                <w:bCs/>
              </w:rPr>
            </w:pPr>
            <w:r w:rsidRPr="081B2F78">
              <w:rPr>
                <w:b/>
                <w:bCs/>
              </w:rPr>
              <w:t>Health and Care Standards</w:t>
            </w:r>
          </w:p>
        </w:tc>
      </w:tr>
      <w:tr w:rsidR="081B2F78" w:rsidTr="00834A6B" w14:paraId="7FDA03DF" w14:textId="77777777">
        <w:trPr>
          <w:trHeight w:val="300"/>
        </w:trPr>
        <w:tc>
          <w:tcPr>
            <w:tcW w:w="1801" w:type="dxa"/>
            <w:vMerge w:val="restart"/>
          </w:tcPr>
          <w:p w:rsidR="081B2F78" w:rsidRDefault="081B2F78" w14:paraId="53D65CB4" w14:textId="1FC1DD16">
            <w:r w:rsidRPr="081B2F78">
              <w:rPr>
                <w:b/>
                <w:bCs/>
              </w:rPr>
              <w:t>Standards</w:t>
            </w:r>
            <w:r w:rsidRPr="081B2F78">
              <w:rPr>
                <w:b/>
                <w:bCs/>
                <w:i/>
                <w:iCs/>
              </w:rPr>
              <w:t xml:space="preserve"> (please choose which applies)</w:t>
            </w:r>
          </w:p>
        </w:tc>
        <w:tc>
          <w:tcPr>
            <w:tcW w:w="5641" w:type="dxa"/>
          </w:tcPr>
          <w:p w:rsidR="081B2F78" w:rsidRDefault="081B2F78" w14:paraId="0400086F" w14:textId="28B971FB">
            <w:r>
              <w:t>Safe Care</w:t>
            </w:r>
          </w:p>
        </w:tc>
        <w:tc>
          <w:tcPr>
            <w:tcW w:w="1574" w:type="dxa"/>
          </w:tcPr>
          <w:sdt>
            <w:sdtPr>
              <w:id w:val="1004910711"/>
              <w14:checkbox>
                <w14:checked w14:val="1"/>
                <w14:checkedState w14:val="2612" w14:font="MS Gothic"/>
                <w14:uncheckedState w14:val="2610" w14:font="MS Gothic"/>
              </w14:checkbox>
            </w:sdtPr>
            <w:sdtContent>
              <w:p w:rsidR="081B2F78" w:rsidP="081B2F78" w:rsidRDefault="081B2F78" w14:paraId="11CF7AB8" w14:textId="4B51B12A">
                <w:pPr>
                  <w:jc w:val="center"/>
                </w:pPr>
                <w:r w:rsidRPr="081B2F78">
                  <w:rPr>
                    <w:rFonts w:ascii="MS Gothic" w:hAnsi="MS Gothic" w:eastAsia="MS Gothic"/>
                  </w:rPr>
                  <w:t>☒</w:t>
                </w:r>
              </w:p>
            </w:sdtContent>
          </w:sdt>
        </w:tc>
      </w:tr>
      <w:tr w:rsidR="081B2F78" w:rsidTr="00834A6B" w14:paraId="512EFEBD" w14:textId="77777777">
        <w:trPr>
          <w:trHeight w:val="300"/>
        </w:trPr>
        <w:tc>
          <w:tcPr>
            <w:tcW w:w="1801" w:type="dxa"/>
            <w:vMerge/>
          </w:tcPr>
          <w:p w:rsidR="00374847" w:rsidRDefault="00374847" w14:paraId="69D9060E" w14:textId="77777777"/>
        </w:tc>
        <w:tc>
          <w:tcPr>
            <w:tcW w:w="5641" w:type="dxa"/>
          </w:tcPr>
          <w:p w:rsidR="081B2F78" w:rsidP="081B2F78" w:rsidRDefault="081B2F78" w14:paraId="75E24465" w14:textId="26C0FDA5">
            <w:pPr>
              <w:rPr>
                <w:b/>
                <w:bCs/>
              </w:rPr>
            </w:pPr>
            <w:r>
              <w:t>Timely Care</w:t>
            </w:r>
          </w:p>
        </w:tc>
        <w:tc>
          <w:tcPr>
            <w:tcW w:w="1574" w:type="dxa"/>
          </w:tcPr>
          <w:sdt>
            <w:sdtPr>
              <w:id w:val="223058538"/>
              <w14:checkbox>
                <w14:checked w14:val="1"/>
                <w14:checkedState w14:val="2612" w14:font="MS Gothic"/>
                <w14:uncheckedState w14:val="2610" w14:font="MS Gothic"/>
              </w14:checkbox>
            </w:sdtPr>
            <w:sdtContent>
              <w:p w:rsidR="081B2F78" w:rsidP="081B2F78" w:rsidRDefault="081B2F78" w14:paraId="04ED6E88" w14:textId="4B4B2FA2">
                <w:pPr>
                  <w:jc w:val="center"/>
                  <w:rPr>
                    <w:b/>
                    <w:bCs/>
                  </w:rPr>
                </w:pPr>
                <w:r w:rsidRPr="081B2F78">
                  <w:rPr>
                    <w:rFonts w:ascii="MS Gothic" w:hAnsi="MS Gothic" w:eastAsia="MS Gothic"/>
                  </w:rPr>
                  <w:t>☒</w:t>
                </w:r>
              </w:p>
            </w:sdtContent>
          </w:sdt>
        </w:tc>
      </w:tr>
      <w:tr w:rsidR="081B2F78" w:rsidTr="00834A6B" w14:paraId="51B5FFA7" w14:textId="77777777">
        <w:trPr>
          <w:trHeight w:val="300"/>
        </w:trPr>
        <w:tc>
          <w:tcPr>
            <w:tcW w:w="1801" w:type="dxa"/>
            <w:vMerge/>
          </w:tcPr>
          <w:p w:rsidR="00374847" w:rsidRDefault="00374847" w14:paraId="072AF98A" w14:textId="77777777"/>
        </w:tc>
        <w:tc>
          <w:tcPr>
            <w:tcW w:w="5641" w:type="dxa"/>
          </w:tcPr>
          <w:p w:rsidR="081B2F78" w:rsidP="081B2F78" w:rsidRDefault="081B2F78" w14:paraId="69707500" w14:textId="3332C186">
            <w:pPr>
              <w:rPr>
                <w:b/>
                <w:bCs/>
              </w:rPr>
            </w:pPr>
            <w:r>
              <w:t>Effective Care</w:t>
            </w:r>
          </w:p>
        </w:tc>
        <w:tc>
          <w:tcPr>
            <w:tcW w:w="1574" w:type="dxa"/>
          </w:tcPr>
          <w:sdt>
            <w:sdtPr>
              <w:id w:val="1325314690"/>
              <w14:checkbox>
                <w14:checked w14:val="1"/>
                <w14:checkedState w14:val="2612" w14:font="MS Gothic"/>
                <w14:uncheckedState w14:val="2610" w14:font="MS Gothic"/>
              </w14:checkbox>
            </w:sdtPr>
            <w:sdtContent>
              <w:p w:rsidR="081B2F78" w:rsidP="081B2F78" w:rsidRDefault="081B2F78" w14:paraId="088A9970" w14:textId="29AEEF87">
                <w:pPr>
                  <w:jc w:val="center"/>
                  <w:rPr>
                    <w:b/>
                    <w:bCs/>
                  </w:rPr>
                </w:pPr>
                <w:r w:rsidRPr="081B2F78">
                  <w:rPr>
                    <w:rFonts w:ascii="MS Gothic" w:hAnsi="MS Gothic" w:eastAsia="MS Gothic"/>
                  </w:rPr>
                  <w:t>☒</w:t>
                </w:r>
              </w:p>
            </w:sdtContent>
          </w:sdt>
        </w:tc>
      </w:tr>
      <w:tr w:rsidR="081B2F78" w:rsidTr="00834A6B" w14:paraId="3B2ABCCF" w14:textId="77777777">
        <w:trPr>
          <w:trHeight w:val="300"/>
        </w:trPr>
        <w:tc>
          <w:tcPr>
            <w:tcW w:w="1801" w:type="dxa"/>
            <w:vMerge/>
          </w:tcPr>
          <w:p w:rsidR="00374847" w:rsidRDefault="00374847" w14:paraId="7C070159" w14:textId="77777777"/>
        </w:tc>
        <w:tc>
          <w:tcPr>
            <w:tcW w:w="5641" w:type="dxa"/>
          </w:tcPr>
          <w:p w:rsidR="081B2F78" w:rsidP="081B2F78" w:rsidRDefault="081B2F78" w14:paraId="292B8801" w14:textId="02FE47C9">
            <w:pPr>
              <w:rPr>
                <w:b/>
                <w:bCs/>
              </w:rPr>
            </w:pPr>
            <w:r>
              <w:t>Efficient Care</w:t>
            </w:r>
          </w:p>
        </w:tc>
        <w:tc>
          <w:tcPr>
            <w:tcW w:w="1574" w:type="dxa"/>
          </w:tcPr>
          <w:sdt>
            <w:sdtPr>
              <w:id w:val="1094412294"/>
              <w14:checkbox>
                <w14:checked w14:val="1"/>
                <w14:checkedState w14:val="2612" w14:font="MS Gothic"/>
                <w14:uncheckedState w14:val="2610" w14:font="MS Gothic"/>
              </w14:checkbox>
            </w:sdtPr>
            <w:sdtContent>
              <w:p w:rsidR="081B2F78" w:rsidP="081B2F78" w:rsidRDefault="081B2F78" w14:paraId="6B9B19DD" w14:textId="0F766C1B">
                <w:pPr>
                  <w:jc w:val="center"/>
                  <w:rPr>
                    <w:b/>
                    <w:bCs/>
                  </w:rPr>
                </w:pPr>
                <w:r w:rsidRPr="081B2F78">
                  <w:rPr>
                    <w:rFonts w:ascii="MS Gothic" w:hAnsi="MS Gothic" w:eastAsia="MS Gothic"/>
                  </w:rPr>
                  <w:t>☒</w:t>
                </w:r>
              </w:p>
            </w:sdtContent>
          </w:sdt>
        </w:tc>
      </w:tr>
      <w:tr w:rsidR="081B2F78" w:rsidTr="00834A6B" w14:paraId="77581253" w14:textId="77777777">
        <w:trPr>
          <w:trHeight w:val="300"/>
        </w:trPr>
        <w:tc>
          <w:tcPr>
            <w:tcW w:w="1801" w:type="dxa"/>
            <w:vMerge/>
          </w:tcPr>
          <w:p w:rsidR="00374847" w:rsidRDefault="00374847" w14:paraId="6554CFDD" w14:textId="77777777"/>
        </w:tc>
        <w:tc>
          <w:tcPr>
            <w:tcW w:w="5641" w:type="dxa"/>
          </w:tcPr>
          <w:p w:rsidR="081B2F78" w:rsidP="081B2F78" w:rsidRDefault="081B2F78" w14:paraId="2FC70D1B" w14:textId="639A0F69">
            <w:pPr>
              <w:rPr>
                <w:b/>
                <w:bCs/>
              </w:rPr>
            </w:pPr>
            <w:r>
              <w:t>Equitable care</w:t>
            </w:r>
          </w:p>
        </w:tc>
        <w:tc>
          <w:tcPr>
            <w:tcW w:w="1574" w:type="dxa"/>
          </w:tcPr>
          <w:sdt>
            <w:sdtPr>
              <w:id w:val="612747465"/>
              <w14:checkbox>
                <w14:checked w14:val="1"/>
                <w14:checkedState w14:val="2612" w14:font="MS Gothic"/>
                <w14:uncheckedState w14:val="2610" w14:font="MS Gothic"/>
              </w14:checkbox>
            </w:sdtPr>
            <w:sdtContent>
              <w:p w:rsidR="081B2F78" w:rsidP="081B2F78" w:rsidRDefault="081B2F78" w14:paraId="68E80C57" w14:textId="147157D9">
                <w:pPr>
                  <w:jc w:val="center"/>
                  <w:rPr>
                    <w:b/>
                    <w:bCs/>
                  </w:rPr>
                </w:pPr>
                <w:r w:rsidRPr="081B2F78">
                  <w:rPr>
                    <w:rFonts w:ascii="MS Gothic" w:hAnsi="MS Gothic" w:eastAsia="MS Gothic"/>
                  </w:rPr>
                  <w:t>☒</w:t>
                </w:r>
              </w:p>
            </w:sdtContent>
          </w:sdt>
        </w:tc>
      </w:tr>
      <w:tr w:rsidR="081B2F78" w:rsidTr="00834A6B" w14:paraId="28799EE2" w14:textId="77777777">
        <w:trPr>
          <w:trHeight w:val="300"/>
        </w:trPr>
        <w:tc>
          <w:tcPr>
            <w:tcW w:w="1801" w:type="dxa"/>
            <w:vMerge/>
          </w:tcPr>
          <w:p w:rsidR="00374847" w:rsidRDefault="00374847" w14:paraId="3BE131DA" w14:textId="77777777"/>
        </w:tc>
        <w:tc>
          <w:tcPr>
            <w:tcW w:w="5641" w:type="dxa"/>
          </w:tcPr>
          <w:p w:rsidR="081B2F78" w:rsidP="081B2F78" w:rsidRDefault="081B2F78" w14:paraId="2ADAFF0F" w14:textId="5778DDA9">
            <w:pPr>
              <w:rPr>
                <w:b/>
                <w:bCs/>
              </w:rPr>
            </w:pPr>
            <w:r>
              <w:t>Person-centred Care</w:t>
            </w:r>
          </w:p>
        </w:tc>
        <w:tc>
          <w:tcPr>
            <w:tcW w:w="1574" w:type="dxa"/>
          </w:tcPr>
          <w:sdt>
            <w:sdtPr>
              <w:id w:val="1825056608"/>
              <w14:checkbox>
                <w14:checked w14:val="1"/>
                <w14:checkedState w14:val="2612" w14:font="MS Gothic"/>
                <w14:uncheckedState w14:val="2610" w14:font="MS Gothic"/>
              </w14:checkbox>
            </w:sdtPr>
            <w:sdtContent>
              <w:p w:rsidR="081B2F78" w:rsidP="081B2F78" w:rsidRDefault="081B2F78" w14:paraId="77D7558C" w14:textId="53AC93C4">
                <w:pPr>
                  <w:jc w:val="center"/>
                  <w:rPr>
                    <w:b/>
                    <w:bCs/>
                  </w:rPr>
                </w:pPr>
                <w:r w:rsidRPr="081B2F78">
                  <w:rPr>
                    <w:rFonts w:ascii="MS Gothic" w:hAnsi="MS Gothic" w:eastAsia="MS Gothic"/>
                  </w:rPr>
                  <w:t>☒</w:t>
                </w:r>
              </w:p>
            </w:sdtContent>
          </w:sdt>
        </w:tc>
      </w:tr>
      <w:tr w:rsidR="081B2F78" w:rsidTr="00834A6B" w14:paraId="5CC64AC4" w14:textId="77777777">
        <w:trPr>
          <w:trHeight w:val="300"/>
        </w:trPr>
        <w:tc>
          <w:tcPr>
            <w:tcW w:w="1801" w:type="dxa"/>
            <w:vMerge/>
          </w:tcPr>
          <w:p w:rsidR="00374847" w:rsidRDefault="00374847" w14:paraId="3DEDCAB4" w14:textId="77777777"/>
        </w:tc>
        <w:tc>
          <w:tcPr>
            <w:tcW w:w="5641" w:type="dxa"/>
          </w:tcPr>
          <w:p w:rsidR="081B2F78" w:rsidP="081B2F78" w:rsidRDefault="081B2F78" w14:paraId="33D72435" w14:textId="7328B9FF">
            <w:pPr>
              <w:rPr>
                <w:b/>
                <w:bCs/>
              </w:rPr>
            </w:pPr>
            <w:r>
              <w:t>Staff and Resources</w:t>
            </w:r>
          </w:p>
        </w:tc>
        <w:tc>
          <w:tcPr>
            <w:tcW w:w="1574" w:type="dxa"/>
          </w:tcPr>
          <w:sdt>
            <w:sdtPr>
              <w:id w:val="1869591322"/>
              <w14:checkbox>
                <w14:checked w14:val="1"/>
                <w14:checkedState w14:val="2612" w14:font="MS Gothic"/>
                <w14:uncheckedState w14:val="2610" w14:font="MS Gothic"/>
              </w14:checkbox>
            </w:sdtPr>
            <w:sdtContent>
              <w:p w:rsidR="081B2F78" w:rsidP="081B2F78" w:rsidRDefault="081B2F78" w14:paraId="2EA09B92" w14:textId="09906D41">
                <w:pPr>
                  <w:jc w:val="center"/>
                  <w:rPr>
                    <w:b/>
                    <w:bCs/>
                  </w:rPr>
                </w:pPr>
                <w:r w:rsidRPr="081B2F78">
                  <w:rPr>
                    <w:rFonts w:ascii="MS Gothic" w:hAnsi="MS Gothic" w:eastAsia="MS Gothic"/>
                  </w:rPr>
                  <w:t>☒</w:t>
                </w:r>
              </w:p>
            </w:sdtContent>
          </w:sdt>
        </w:tc>
      </w:tr>
      <w:tr w:rsidR="081B2F78" w:rsidTr="00834A6B" w14:paraId="07326AAD" w14:textId="77777777">
        <w:trPr>
          <w:trHeight w:val="300"/>
        </w:trPr>
        <w:tc>
          <w:tcPr>
            <w:tcW w:w="1801" w:type="dxa"/>
            <w:vMerge w:val="restart"/>
          </w:tcPr>
          <w:p w:rsidR="081B2F78" w:rsidP="081B2F78" w:rsidRDefault="081B2F78" w14:paraId="525BEE0F" w14:textId="79557235">
            <w:pPr>
              <w:rPr>
                <w:b/>
                <w:bCs/>
              </w:rPr>
            </w:pPr>
            <w:r w:rsidRPr="081B2F78">
              <w:rPr>
                <w:b/>
                <w:bCs/>
              </w:rPr>
              <w:t>Enablers</w:t>
            </w:r>
            <w:r w:rsidRPr="081B2F78">
              <w:rPr>
                <w:b/>
                <w:bCs/>
                <w:i/>
                <w:iCs/>
              </w:rPr>
              <w:t xml:space="preserve"> (please choose which applies)</w:t>
            </w:r>
          </w:p>
        </w:tc>
        <w:tc>
          <w:tcPr>
            <w:tcW w:w="5641" w:type="dxa"/>
          </w:tcPr>
          <w:p w:rsidR="081B2F78" w:rsidRDefault="081B2F78" w14:paraId="059CCFC3" w14:textId="11BC75F3">
            <w:r>
              <w:t>Whole Systems Approach</w:t>
            </w:r>
          </w:p>
        </w:tc>
        <w:tc>
          <w:tcPr>
            <w:tcW w:w="1574" w:type="dxa"/>
          </w:tcPr>
          <w:sdt>
            <w:sdtPr>
              <w:id w:val="2113199731"/>
              <w14:checkbox>
                <w14:checked w14:val="1"/>
                <w14:checkedState w14:val="2612" w14:font="MS Gothic"/>
                <w14:uncheckedState w14:val="2610" w14:font="MS Gothic"/>
              </w14:checkbox>
            </w:sdtPr>
            <w:sdtContent>
              <w:p w:rsidR="081B2F78" w:rsidP="081B2F78" w:rsidRDefault="081B2F78" w14:paraId="1F77BFF3" w14:textId="3B71B653">
                <w:pPr>
                  <w:jc w:val="center"/>
                </w:pPr>
                <w:r w:rsidRPr="081B2F78">
                  <w:rPr>
                    <w:rFonts w:ascii="MS Gothic" w:hAnsi="MS Gothic" w:eastAsia="MS Gothic"/>
                  </w:rPr>
                  <w:t>☒</w:t>
                </w:r>
              </w:p>
            </w:sdtContent>
          </w:sdt>
        </w:tc>
      </w:tr>
      <w:tr w:rsidR="081B2F78" w:rsidTr="00834A6B" w14:paraId="560B8C49" w14:textId="77777777">
        <w:trPr>
          <w:trHeight w:val="300"/>
        </w:trPr>
        <w:tc>
          <w:tcPr>
            <w:tcW w:w="1801" w:type="dxa"/>
            <w:vMerge/>
          </w:tcPr>
          <w:p w:rsidR="00374847" w:rsidRDefault="00374847" w14:paraId="50A14905" w14:textId="77777777"/>
        </w:tc>
        <w:tc>
          <w:tcPr>
            <w:tcW w:w="5641" w:type="dxa"/>
          </w:tcPr>
          <w:p w:rsidR="081B2F78" w:rsidRDefault="081B2F78" w14:paraId="20450643" w14:textId="0605AEDE">
            <w:r>
              <w:t>Leadership</w:t>
            </w:r>
          </w:p>
        </w:tc>
        <w:tc>
          <w:tcPr>
            <w:tcW w:w="1574" w:type="dxa"/>
          </w:tcPr>
          <w:sdt>
            <w:sdtPr>
              <w:id w:val="800176802"/>
              <w14:checkbox>
                <w14:checked w14:val="1"/>
                <w14:checkedState w14:val="2612" w14:font="MS Gothic"/>
                <w14:uncheckedState w14:val="2610" w14:font="MS Gothic"/>
              </w14:checkbox>
            </w:sdtPr>
            <w:sdtContent>
              <w:p w:rsidR="081B2F78" w:rsidP="081B2F78" w:rsidRDefault="081B2F78" w14:paraId="5F19AB22" w14:textId="1B20EC81">
                <w:pPr>
                  <w:jc w:val="center"/>
                </w:pPr>
                <w:r w:rsidRPr="081B2F78">
                  <w:rPr>
                    <w:rFonts w:ascii="MS Gothic" w:hAnsi="MS Gothic" w:eastAsia="MS Gothic"/>
                  </w:rPr>
                  <w:t>☒</w:t>
                </w:r>
              </w:p>
            </w:sdtContent>
          </w:sdt>
        </w:tc>
      </w:tr>
      <w:tr w:rsidR="081B2F78" w:rsidTr="00834A6B" w14:paraId="7205508A" w14:textId="77777777">
        <w:trPr>
          <w:trHeight w:val="300"/>
        </w:trPr>
        <w:tc>
          <w:tcPr>
            <w:tcW w:w="1801" w:type="dxa"/>
            <w:vMerge/>
          </w:tcPr>
          <w:p w:rsidR="00374847" w:rsidRDefault="00374847" w14:paraId="3876B9BC" w14:textId="77777777"/>
        </w:tc>
        <w:tc>
          <w:tcPr>
            <w:tcW w:w="5641" w:type="dxa"/>
          </w:tcPr>
          <w:p w:rsidR="081B2F78" w:rsidRDefault="081B2F78" w14:paraId="1DAE0796" w14:textId="231227FB">
            <w:r>
              <w:t>Workforce</w:t>
            </w:r>
          </w:p>
        </w:tc>
        <w:tc>
          <w:tcPr>
            <w:tcW w:w="1574" w:type="dxa"/>
          </w:tcPr>
          <w:sdt>
            <w:sdtPr>
              <w:id w:val="1082453073"/>
              <w14:checkbox>
                <w14:checked w14:val="1"/>
                <w14:checkedState w14:val="2612" w14:font="MS Gothic"/>
                <w14:uncheckedState w14:val="2610" w14:font="MS Gothic"/>
              </w14:checkbox>
            </w:sdtPr>
            <w:sdtContent>
              <w:p w:rsidR="081B2F78" w:rsidP="081B2F78" w:rsidRDefault="081B2F78" w14:paraId="2665FAA3" w14:textId="67274216">
                <w:pPr>
                  <w:jc w:val="center"/>
                </w:pPr>
                <w:r w:rsidRPr="081B2F78">
                  <w:rPr>
                    <w:rFonts w:ascii="MS Gothic" w:hAnsi="MS Gothic" w:eastAsia="MS Gothic"/>
                  </w:rPr>
                  <w:t>☒</w:t>
                </w:r>
              </w:p>
            </w:sdtContent>
          </w:sdt>
        </w:tc>
      </w:tr>
      <w:tr w:rsidR="081B2F78" w:rsidTr="00834A6B" w14:paraId="5F9193D6" w14:textId="77777777">
        <w:trPr>
          <w:trHeight w:val="300"/>
        </w:trPr>
        <w:tc>
          <w:tcPr>
            <w:tcW w:w="1801" w:type="dxa"/>
            <w:vMerge/>
          </w:tcPr>
          <w:p w:rsidR="00374847" w:rsidRDefault="00374847" w14:paraId="448D3F8D" w14:textId="77777777"/>
        </w:tc>
        <w:tc>
          <w:tcPr>
            <w:tcW w:w="5641" w:type="dxa"/>
          </w:tcPr>
          <w:p w:rsidR="081B2F78" w:rsidRDefault="081B2F78" w14:paraId="30015887" w14:textId="0A949DE8">
            <w:r>
              <w:t>Culture</w:t>
            </w:r>
          </w:p>
        </w:tc>
        <w:tc>
          <w:tcPr>
            <w:tcW w:w="1574" w:type="dxa"/>
          </w:tcPr>
          <w:sdt>
            <w:sdtPr>
              <w:id w:val="1470172536"/>
              <w14:checkbox>
                <w14:checked w14:val="1"/>
                <w14:checkedState w14:val="2612" w14:font="MS Gothic"/>
                <w14:uncheckedState w14:val="2610" w14:font="MS Gothic"/>
              </w14:checkbox>
            </w:sdtPr>
            <w:sdtContent>
              <w:p w:rsidR="081B2F78" w:rsidP="081B2F78" w:rsidRDefault="081B2F78" w14:paraId="5E3AE4D2" w14:textId="0D42FDFC">
                <w:pPr>
                  <w:jc w:val="center"/>
                </w:pPr>
                <w:r w:rsidRPr="081B2F78">
                  <w:rPr>
                    <w:rFonts w:ascii="MS Gothic" w:hAnsi="MS Gothic" w:eastAsia="MS Gothic"/>
                  </w:rPr>
                  <w:t>☒</w:t>
                </w:r>
              </w:p>
            </w:sdtContent>
          </w:sdt>
        </w:tc>
      </w:tr>
      <w:tr w:rsidR="081B2F78" w:rsidTr="00834A6B" w14:paraId="1E006968" w14:textId="77777777">
        <w:trPr>
          <w:trHeight w:val="300"/>
        </w:trPr>
        <w:tc>
          <w:tcPr>
            <w:tcW w:w="1801" w:type="dxa"/>
            <w:vMerge/>
          </w:tcPr>
          <w:p w:rsidR="00374847" w:rsidRDefault="00374847" w14:paraId="2C8C57BF" w14:textId="77777777"/>
        </w:tc>
        <w:tc>
          <w:tcPr>
            <w:tcW w:w="5641" w:type="dxa"/>
          </w:tcPr>
          <w:p w:rsidR="081B2F78" w:rsidRDefault="081B2F78" w14:paraId="3EB495FF" w14:textId="027A78F8">
            <w:r>
              <w:t xml:space="preserve">Information </w:t>
            </w:r>
          </w:p>
        </w:tc>
        <w:tc>
          <w:tcPr>
            <w:tcW w:w="1574" w:type="dxa"/>
          </w:tcPr>
          <w:sdt>
            <w:sdtPr>
              <w:id w:val="2128770948"/>
              <w14:checkbox>
                <w14:checked w14:val="1"/>
                <w14:checkedState w14:val="2612" w14:font="MS Gothic"/>
                <w14:uncheckedState w14:val="2610" w14:font="MS Gothic"/>
              </w14:checkbox>
            </w:sdtPr>
            <w:sdtContent>
              <w:p w:rsidR="081B2F78" w:rsidP="081B2F78" w:rsidRDefault="081B2F78" w14:paraId="1DFAF231" w14:textId="1CFB4602">
                <w:pPr>
                  <w:jc w:val="center"/>
                </w:pPr>
                <w:r w:rsidRPr="081B2F78">
                  <w:rPr>
                    <w:rFonts w:ascii="MS Gothic" w:hAnsi="MS Gothic" w:eastAsia="MS Gothic"/>
                  </w:rPr>
                  <w:t>☒</w:t>
                </w:r>
              </w:p>
            </w:sdtContent>
          </w:sdt>
        </w:tc>
      </w:tr>
      <w:tr w:rsidR="081B2F78" w:rsidTr="00834A6B" w14:paraId="6568C04A" w14:textId="77777777">
        <w:trPr>
          <w:trHeight w:val="300"/>
        </w:trPr>
        <w:tc>
          <w:tcPr>
            <w:tcW w:w="1801" w:type="dxa"/>
            <w:vMerge/>
          </w:tcPr>
          <w:p w:rsidR="00374847" w:rsidRDefault="00374847" w14:paraId="514361BC" w14:textId="77777777"/>
        </w:tc>
        <w:tc>
          <w:tcPr>
            <w:tcW w:w="5641" w:type="dxa"/>
          </w:tcPr>
          <w:p w:rsidR="081B2F78" w:rsidRDefault="081B2F78" w14:paraId="447868DC" w14:textId="2F7F719A">
            <w:r>
              <w:t>Learning, Improvement and Research</w:t>
            </w:r>
          </w:p>
        </w:tc>
        <w:tc>
          <w:tcPr>
            <w:tcW w:w="1574" w:type="dxa"/>
          </w:tcPr>
          <w:sdt>
            <w:sdtPr>
              <w:id w:val="1589874890"/>
              <w14:checkbox>
                <w14:checked w14:val="1"/>
                <w14:checkedState w14:val="2612" w14:font="MS Gothic"/>
                <w14:uncheckedState w14:val="2610" w14:font="MS Gothic"/>
              </w14:checkbox>
            </w:sdtPr>
            <w:sdtContent>
              <w:p w:rsidR="081B2F78" w:rsidP="081B2F78" w:rsidRDefault="081B2F78" w14:paraId="2654F52A" w14:textId="5BB707B3">
                <w:pPr>
                  <w:jc w:val="center"/>
                </w:pPr>
                <w:r w:rsidRPr="081B2F78">
                  <w:rPr>
                    <w:rFonts w:ascii="MS Gothic" w:hAnsi="MS Gothic" w:eastAsia="MS Gothic"/>
                  </w:rPr>
                  <w:t>☒</w:t>
                </w:r>
              </w:p>
            </w:sdtContent>
          </w:sdt>
        </w:tc>
      </w:tr>
      <w:tr w:rsidR="081B2F78" w:rsidTr="00834A6B" w14:paraId="0078DEED" w14:textId="77777777">
        <w:trPr>
          <w:trHeight w:val="300"/>
        </w:trPr>
        <w:tc>
          <w:tcPr>
            <w:tcW w:w="9016" w:type="dxa"/>
            <w:gridSpan w:val="3"/>
            <w:shd w:val="clear" w:color="auto" w:fill="C1A775"/>
          </w:tcPr>
          <w:p w:rsidR="081B2F78" w:rsidP="081B2F78" w:rsidRDefault="081B2F78" w14:paraId="4C07EC37" w14:textId="45C29034">
            <w:pPr>
              <w:rPr>
                <w:b/>
                <w:bCs/>
              </w:rPr>
            </w:pPr>
            <w:r w:rsidRPr="081B2F78">
              <w:rPr>
                <w:b/>
                <w:bCs/>
              </w:rPr>
              <w:t>Quality, Safety and Patient Experience</w:t>
            </w:r>
          </w:p>
        </w:tc>
      </w:tr>
      <w:tr w:rsidR="081B2F78" w:rsidTr="00834A6B" w14:paraId="66E6F156" w14:textId="77777777">
        <w:trPr>
          <w:trHeight w:val="300"/>
        </w:trPr>
        <w:tc>
          <w:tcPr>
            <w:tcW w:w="9016" w:type="dxa"/>
            <w:gridSpan w:val="3"/>
          </w:tcPr>
          <w:p w:rsidR="081B2F78" w:rsidP="081B2F78" w:rsidRDefault="081B2F78" w14:paraId="00BBF19A" w14:textId="3ABC8DF8">
            <w:pPr>
              <w:rPr>
                <w:b/>
                <w:bCs/>
                <w:color w:val="000000" w:themeColor="text1"/>
              </w:rPr>
            </w:pPr>
            <w:r w:rsidRPr="081B2F78">
              <w:rPr>
                <w:color w:val="000000" w:themeColor="text1"/>
              </w:rPr>
              <w:t xml:space="preserve">Completion of the Vaccine Equity Strategy improves service quality, focusing on reducing inequities. Medium term strategic planning strengthens patient experience, supporting more consistent, accessible vaccination pathways. </w:t>
            </w:r>
          </w:p>
          <w:p w:rsidR="081B2F78" w:rsidP="081B2F78" w:rsidRDefault="081B2F78" w14:paraId="6B349C20" w14:textId="77777777">
            <w:pPr>
              <w:jc w:val="center"/>
              <w:rPr>
                <w:b/>
                <w:bCs/>
              </w:rPr>
            </w:pPr>
          </w:p>
        </w:tc>
      </w:tr>
      <w:tr w:rsidR="081B2F78" w:rsidTr="00834A6B" w14:paraId="5D2773D3" w14:textId="77777777">
        <w:trPr>
          <w:trHeight w:val="300"/>
        </w:trPr>
        <w:tc>
          <w:tcPr>
            <w:tcW w:w="9016" w:type="dxa"/>
            <w:gridSpan w:val="3"/>
            <w:shd w:val="clear" w:color="auto" w:fill="C1A775"/>
          </w:tcPr>
          <w:p w:rsidR="081B2F78" w:rsidP="081B2F78" w:rsidRDefault="081B2F78" w14:paraId="0E44B5DF" w14:textId="77777777">
            <w:pPr>
              <w:rPr>
                <w:b/>
                <w:bCs/>
              </w:rPr>
            </w:pPr>
            <w:r w:rsidRPr="081B2F78">
              <w:rPr>
                <w:b/>
                <w:bCs/>
              </w:rPr>
              <w:t>Financial Implications</w:t>
            </w:r>
          </w:p>
        </w:tc>
      </w:tr>
      <w:tr w:rsidR="081B2F78" w:rsidTr="00834A6B" w14:paraId="1251D32F" w14:textId="77777777">
        <w:trPr>
          <w:trHeight w:val="300"/>
        </w:trPr>
        <w:tc>
          <w:tcPr>
            <w:tcW w:w="9016" w:type="dxa"/>
            <w:gridSpan w:val="3"/>
          </w:tcPr>
          <w:p w:rsidR="081B2F78" w:rsidP="081B2F78" w:rsidRDefault="081B2F78" w14:paraId="23348C5F" w14:textId="1BA5A6A0">
            <w:pPr>
              <w:ind w:right="96"/>
              <w:rPr>
                <w:color w:val="FF0000"/>
              </w:rPr>
            </w:pPr>
            <w:r w:rsidRPr="081B2F78">
              <w:rPr>
                <w:color w:val="000000" w:themeColor="text1"/>
              </w:rPr>
              <w:t xml:space="preserve">Workforce resource is accounted for within the Immunisation Team structure to deliver on both the VES and VESP. There is an associated risk to the timeliness on delivery of actions within both the strategy and the plan due to current vacancies within the team and the inability to recruit. Additional tools and resources such as the Immbulance are also at risk given the current financial discussions and requests to reach savings targets. </w:t>
            </w:r>
          </w:p>
        </w:tc>
      </w:tr>
      <w:tr w:rsidR="081B2F78" w:rsidTr="00834A6B" w14:paraId="0107C18A" w14:textId="77777777">
        <w:trPr>
          <w:trHeight w:val="300"/>
        </w:trPr>
        <w:tc>
          <w:tcPr>
            <w:tcW w:w="9016" w:type="dxa"/>
            <w:gridSpan w:val="3"/>
            <w:shd w:val="clear" w:color="auto" w:fill="C1A775"/>
          </w:tcPr>
          <w:p w:rsidR="081B2F78" w:rsidP="081B2F78" w:rsidRDefault="081B2F78" w14:paraId="52B26BA7" w14:textId="77777777">
            <w:pPr>
              <w:keepNext/>
              <w:keepLines/>
              <w:ind w:right="96"/>
              <w:rPr>
                <w:b/>
                <w:bCs/>
              </w:rPr>
            </w:pPr>
            <w:r w:rsidRPr="081B2F78">
              <w:rPr>
                <w:b/>
                <w:bCs/>
              </w:rPr>
              <w:t>Legal Implications (including equality and diversity assessment)</w:t>
            </w:r>
          </w:p>
        </w:tc>
      </w:tr>
      <w:tr w:rsidR="081B2F78" w:rsidTr="00834A6B" w14:paraId="13ECD3B2" w14:textId="77777777">
        <w:trPr>
          <w:trHeight w:val="300"/>
        </w:trPr>
        <w:tc>
          <w:tcPr>
            <w:tcW w:w="9016" w:type="dxa"/>
            <w:gridSpan w:val="3"/>
          </w:tcPr>
          <w:p w:rsidR="081B2F78" w:rsidP="081B2F78" w:rsidRDefault="081B2F78" w14:paraId="6293E7C8" w14:textId="77777777">
            <w:pPr>
              <w:ind w:right="96"/>
            </w:pPr>
            <w:r>
              <w:t xml:space="preserve">The strategy directly supports legal duties around reducing inequity through its focus on addressing vaccine inequalities across the health board. </w:t>
            </w:r>
          </w:p>
          <w:p w:rsidR="081B2F78" w:rsidP="081B2F78" w:rsidRDefault="081B2F78" w14:paraId="0E23D964" w14:textId="63F86FA4">
            <w:pPr>
              <w:ind w:right="96"/>
              <w:rPr>
                <w:color w:val="FF0000"/>
              </w:rPr>
            </w:pPr>
            <w:r>
              <w:t>Co production with stakeholders strengthens alignment with equality and diversity principles by ensuring all population groups are considered in planning.</w:t>
            </w:r>
          </w:p>
        </w:tc>
      </w:tr>
      <w:tr w:rsidR="081B2F78" w:rsidTr="00834A6B" w14:paraId="27DB6DD9" w14:textId="77777777">
        <w:trPr>
          <w:trHeight w:val="300"/>
        </w:trPr>
        <w:tc>
          <w:tcPr>
            <w:tcW w:w="9016" w:type="dxa"/>
            <w:gridSpan w:val="3"/>
            <w:shd w:val="clear" w:color="auto" w:fill="C1A775"/>
          </w:tcPr>
          <w:p w:rsidR="081B2F78" w:rsidP="081B2F78" w:rsidRDefault="081B2F78" w14:paraId="11CC1FE1" w14:textId="77777777">
            <w:pPr>
              <w:ind w:right="96"/>
              <w:rPr>
                <w:b/>
                <w:bCs/>
                <w:color w:val="FF0000"/>
              </w:rPr>
            </w:pPr>
            <w:r w:rsidRPr="081B2F78">
              <w:rPr>
                <w:b/>
                <w:bCs/>
              </w:rPr>
              <w:t>Staffing Implications</w:t>
            </w:r>
          </w:p>
        </w:tc>
      </w:tr>
      <w:tr w:rsidR="081B2F78" w:rsidTr="00834A6B" w14:paraId="2CA6A82D" w14:textId="77777777">
        <w:trPr>
          <w:trHeight w:val="300"/>
        </w:trPr>
        <w:tc>
          <w:tcPr>
            <w:tcW w:w="9016" w:type="dxa"/>
            <w:gridSpan w:val="3"/>
          </w:tcPr>
          <w:p w:rsidR="081B2F78" w:rsidP="081B2F78" w:rsidRDefault="081B2F78" w14:paraId="2EDE170D" w14:textId="1AC62E83">
            <w:pPr>
              <w:ind w:right="96"/>
              <w:rPr>
                <w:color w:val="000000" w:themeColor="text1"/>
              </w:rPr>
            </w:pPr>
            <w:r w:rsidRPr="081B2F78">
              <w:rPr>
                <w:color w:val="000000" w:themeColor="text1"/>
              </w:rPr>
              <w:t xml:space="preserve">Number of vacancies within the team and inability at present to recruit into full establishment. This can potentially delay actions of the VES and VESP being completed. With the current gaps in workforce it is difficult to provide the ongoing engagement across all areas that require intervention on both a frequent and consistent basis. </w:t>
            </w:r>
          </w:p>
        </w:tc>
      </w:tr>
      <w:tr w:rsidR="081B2F78" w:rsidTr="00834A6B" w14:paraId="2EB80CD8" w14:textId="77777777">
        <w:trPr>
          <w:trHeight w:val="300"/>
        </w:trPr>
        <w:tc>
          <w:tcPr>
            <w:tcW w:w="9016" w:type="dxa"/>
            <w:gridSpan w:val="3"/>
            <w:shd w:val="clear" w:color="auto" w:fill="C1A775"/>
          </w:tcPr>
          <w:p w:rsidR="081B2F78" w:rsidP="081B2F78" w:rsidRDefault="081B2F78" w14:paraId="2D077A85" w14:textId="77777777">
            <w:pPr>
              <w:ind w:right="96"/>
              <w:rPr>
                <w:b/>
                <w:bCs/>
                <w:color w:val="FF0000"/>
              </w:rPr>
            </w:pPr>
            <w:r w:rsidRPr="081B2F78">
              <w:rPr>
                <w:b/>
                <w:bCs/>
              </w:rPr>
              <w:t>Long Term Implications (including the impact of the Well-being of Future Generations (Wales) Act 2015)</w:t>
            </w:r>
          </w:p>
        </w:tc>
      </w:tr>
      <w:tr w:rsidR="081B2F78" w:rsidTr="00834A6B" w14:paraId="34BBFDEB" w14:textId="77777777">
        <w:trPr>
          <w:trHeight w:val="300"/>
        </w:trPr>
        <w:tc>
          <w:tcPr>
            <w:tcW w:w="9016" w:type="dxa"/>
            <w:gridSpan w:val="3"/>
          </w:tcPr>
          <w:p w:rsidR="081B2F78" w:rsidP="081B2F78" w:rsidRDefault="081B2F78" w14:paraId="30A48B93" w14:textId="62DEDC6D">
            <w:pPr>
              <w:ind w:right="96"/>
              <w:rPr>
                <w:color w:val="FF0000"/>
              </w:rPr>
            </w:pPr>
            <w:r>
              <w:t>The medium term (2025–2028) timeframe supports long term, sustainable planning. The strategy’s focus on equity contributes to long term healthier communities and continued monitoring through a live reporting tracker demonstrates commitment to long term improvement and collaborative working, aligning with the Act’s five ways of working.</w:t>
            </w:r>
          </w:p>
        </w:tc>
      </w:tr>
      <w:tr w:rsidR="081B2F78" w:rsidTr="00834A6B" w14:paraId="3FBE97F9" w14:textId="77777777">
        <w:trPr>
          <w:trHeight w:val="300"/>
        </w:trPr>
        <w:tc>
          <w:tcPr>
            <w:tcW w:w="9016" w:type="dxa"/>
            <w:gridSpan w:val="3"/>
            <w:shd w:val="clear" w:color="auto" w:fill="C1A775"/>
          </w:tcPr>
          <w:p w:rsidR="081B2F78" w:rsidP="081B2F78" w:rsidRDefault="081B2F78" w14:paraId="38FDE4C3" w14:textId="5A180082">
            <w:pPr>
              <w:ind w:right="96"/>
              <w:rPr>
                <w:b/>
                <w:bCs/>
              </w:rPr>
            </w:pPr>
            <w:r w:rsidRPr="081B2F78">
              <w:rPr>
                <w:b/>
                <w:bCs/>
              </w:rPr>
              <w:t>Report History</w:t>
            </w:r>
          </w:p>
        </w:tc>
      </w:tr>
      <w:tr w:rsidR="081B2F78" w:rsidTr="00834A6B" w14:paraId="268EED96" w14:textId="77777777">
        <w:trPr>
          <w:trHeight w:val="300"/>
        </w:trPr>
        <w:tc>
          <w:tcPr>
            <w:tcW w:w="9016" w:type="dxa"/>
            <w:gridSpan w:val="3"/>
          </w:tcPr>
          <w:p w:rsidR="081B2F78" w:rsidP="081B2F78" w:rsidRDefault="081B2F78" w14:paraId="667BEE7C" w14:textId="5B526F72">
            <w:pPr>
              <w:ind w:right="96"/>
            </w:pPr>
            <w:r>
              <w:t xml:space="preserve">There is no previous report on the completion of the medium vaccine equity strategy and plans following audit recommendations. </w:t>
            </w:r>
          </w:p>
        </w:tc>
      </w:tr>
      <w:tr w:rsidR="081B2F78" w:rsidTr="00834A6B" w14:paraId="70B973B1" w14:textId="77777777">
        <w:trPr>
          <w:trHeight w:val="300"/>
        </w:trPr>
        <w:tc>
          <w:tcPr>
            <w:tcW w:w="9016" w:type="dxa"/>
            <w:gridSpan w:val="3"/>
            <w:shd w:val="clear" w:color="auto" w:fill="C1A775"/>
          </w:tcPr>
          <w:p w:rsidR="081B2F78" w:rsidP="081B2F78" w:rsidRDefault="081B2F78" w14:paraId="473E8ACA" w14:textId="3ED5416B">
            <w:pPr>
              <w:ind w:right="96"/>
              <w:rPr>
                <w:color w:val="FF0000"/>
              </w:rPr>
            </w:pPr>
            <w:r w:rsidRPr="081B2F78">
              <w:rPr>
                <w:b/>
                <w:bCs/>
              </w:rPr>
              <w:t>Appendices</w:t>
            </w:r>
          </w:p>
        </w:tc>
      </w:tr>
      <w:tr w:rsidR="081B2F78" w:rsidTr="00834A6B" w14:paraId="282A4A08" w14:textId="77777777">
        <w:trPr>
          <w:trHeight w:val="300"/>
        </w:trPr>
        <w:tc>
          <w:tcPr>
            <w:tcW w:w="9016" w:type="dxa"/>
            <w:gridSpan w:val="3"/>
          </w:tcPr>
          <w:p w:rsidR="081B2F78" w:rsidP="081B2F78" w:rsidRDefault="081B2F78" w14:paraId="6F439C51" w14:textId="14B0BD14">
            <w:pPr>
              <w:ind w:right="96"/>
              <w:rPr>
                <w:color w:val="FF0000"/>
              </w:rPr>
            </w:pPr>
            <w:r>
              <w:t>No appendices required for the report.</w:t>
            </w:r>
          </w:p>
          <w:p w:rsidR="081B2F78" w:rsidP="081B2F78" w:rsidRDefault="081B2F78" w14:paraId="550B4C85" w14:textId="77777777">
            <w:pPr>
              <w:ind w:right="96"/>
              <w:rPr>
                <w:color w:val="FF0000"/>
              </w:rPr>
            </w:pPr>
          </w:p>
          <w:p w:rsidR="081B2F78" w:rsidP="081B2F78" w:rsidRDefault="081B2F78" w14:paraId="77818110" w14:textId="77777777">
            <w:pPr>
              <w:ind w:right="96"/>
              <w:rPr>
                <w:color w:val="FF0000"/>
              </w:rPr>
            </w:pPr>
          </w:p>
        </w:tc>
      </w:tr>
    </w:tbl>
    <w:p w:rsidRPr="00F8567E" w:rsidR="00034194" w:rsidRDefault="00034194" w14:paraId="6D2904A0" w14:textId="5B7322A9"/>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E23D7" w:rsidP="00C107F2" w:rsidRDefault="008E23D7" w14:paraId="5CF57181" w14:textId="77777777">
      <w:pPr>
        <w:spacing w:after="0" w:line="240" w:lineRule="auto"/>
      </w:pPr>
      <w:r>
        <w:separator/>
      </w:r>
    </w:p>
  </w:endnote>
  <w:endnote w:type="continuationSeparator" w:id="0">
    <w:p w:rsidR="008E23D7" w:rsidP="00C107F2" w:rsidRDefault="008E23D7" w14:paraId="3CE3592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1AAD8C30" w14:paraId="6D2904A9" w14:textId="6825D73A">
        <w:pPr>
          <w:pStyle w:val="Footer"/>
          <w:jc w:val="right"/>
          <w:rPr>
            <w:rStyle w:val="CorporateStyle2"/>
          </w:rPr>
        </w:pPr>
        <w:r w:rsidRPr="1AAD8C30">
          <w:rPr>
            <w:rStyle w:val="CorporateStyle2"/>
          </w:rPr>
          <w:t>Finance and Performance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172BA" w14:paraId="6DC782A8" w14:textId="474BB891">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E23D7" w:rsidP="00C107F2" w:rsidRDefault="008E23D7" w14:paraId="2DA615E1" w14:textId="77777777">
      <w:pPr>
        <w:spacing w:after="0" w:line="240" w:lineRule="auto"/>
      </w:pPr>
      <w:r>
        <w:separator/>
      </w:r>
    </w:p>
  </w:footnote>
  <w:footnote w:type="continuationSeparator" w:id="0">
    <w:p w:rsidR="008E23D7" w:rsidP="00C107F2" w:rsidRDefault="008E23D7" w14:paraId="7FAA00E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EE28846">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E27616F"/>
    <w:multiLevelType w:val="hybridMultilevel"/>
    <w:tmpl w:val="6308A7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9F548EC"/>
    <w:multiLevelType w:val="hybridMultilevel"/>
    <w:tmpl w:val="A7B09C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B2F615D"/>
    <w:multiLevelType w:val="hybridMultilevel"/>
    <w:tmpl w:val="BE4870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6501327C"/>
    <w:multiLevelType w:val="hybridMultilevel"/>
    <w:tmpl w:val="041632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62145CD"/>
    <w:multiLevelType w:val="hybridMultilevel"/>
    <w:tmpl w:val="213AF0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D3704F7"/>
    <w:multiLevelType w:val="hybridMultilevel"/>
    <w:tmpl w:val="B9AA25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2"/>
  </w:num>
  <w:num w:numId="5" w16cid:durableId="211239042">
    <w:abstractNumId w:val="1"/>
  </w:num>
  <w:num w:numId="6" w16cid:durableId="1874800944">
    <w:abstractNumId w:val="13"/>
  </w:num>
  <w:num w:numId="7" w16cid:durableId="263198079">
    <w:abstractNumId w:val="15"/>
  </w:num>
  <w:num w:numId="8" w16cid:durableId="1535070366">
    <w:abstractNumId w:val="9"/>
  </w:num>
  <w:num w:numId="9" w16cid:durableId="1823614381">
    <w:abstractNumId w:val="11"/>
  </w:num>
  <w:num w:numId="10" w16cid:durableId="875429971">
    <w:abstractNumId w:val="12"/>
  </w:num>
  <w:num w:numId="11" w16cid:durableId="630793484">
    <w:abstractNumId w:val="14"/>
  </w:num>
  <w:num w:numId="12" w16cid:durableId="1580676612">
    <w:abstractNumId w:val="8"/>
  </w:num>
  <w:num w:numId="13" w16cid:durableId="120266865">
    <w:abstractNumId w:val="3"/>
  </w:num>
  <w:num w:numId="14" w16cid:durableId="1543790830">
    <w:abstractNumId w:val="10"/>
  </w:num>
  <w:num w:numId="15" w16cid:durableId="2123260322">
    <w:abstractNumId w:val="7"/>
  </w:num>
  <w:num w:numId="16" w16cid:durableId="794642075">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335A"/>
    <w:rsid w:val="00065531"/>
    <w:rsid w:val="00072D3B"/>
    <w:rsid w:val="00083FC0"/>
    <w:rsid w:val="000940E7"/>
    <w:rsid w:val="000A0751"/>
    <w:rsid w:val="000A22B1"/>
    <w:rsid w:val="000B146B"/>
    <w:rsid w:val="000C3280"/>
    <w:rsid w:val="000E379E"/>
    <w:rsid w:val="000F361B"/>
    <w:rsid w:val="00110100"/>
    <w:rsid w:val="001101E3"/>
    <w:rsid w:val="00133EA1"/>
    <w:rsid w:val="0016096B"/>
    <w:rsid w:val="00165F21"/>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453DC"/>
    <w:rsid w:val="002518B7"/>
    <w:rsid w:val="00270897"/>
    <w:rsid w:val="00272BD5"/>
    <w:rsid w:val="002950FF"/>
    <w:rsid w:val="00296CD9"/>
    <w:rsid w:val="002A706E"/>
    <w:rsid w:val="002B1887"/>
    <w:rsid w:val="002B7C9A"/>
    <w:rsid w:val="002C3DD6"/>
    <w:rsid w:val="002D77FE"/>
    <w:rsid w:val="002F1FAD"/>
    <w:rsid w:val="0030739E"/>
    <w:rsid w:val="0031077C"/>
    <w:rsid w:val="003261FD"/>
    <w:rsid w:val="00327324"/>
    <w:rsid w:val="0032747D"/>
    <w:rsid w:val="003324CB"/>
    <w:rsid w:val="003464BA"/>
    <w:rsid w:val="00355602"/>
    <w:rsid w:val="00366FDD"/>
    <w:rsid w:val="00374847"/>
    <w:rsid w:val="00375605"/>
    <w:rsid w:val="00387A41"/>
    <w:rsid w:val="003B31B1"/>
    <w:rsid w:val="003C0FF8"/>
    <w:rsid w:val="00401ADE"/>
    <w:rsid w:val="0040753F"/>
    <w:rsid w:val="004140C9"/>
    <w:rsid w:val="00414894"/>
    <w:rsid w:val="00421905"/>
    <w:rsid w:val="004221DC"/>
    <w:rsid w:val="004222DD"/>
    <w:rsid w:val="0042635B"/>
    <w:rsid w:val="00461835"/>
    <w:rsid w:val="00466612"/>
    <w:rsid w:val="00466F20"/>
    <w:rsid w:val="004671D2"/>
    <w:rsid w:val="004704FD"/>
    <w:rsid w:val="004754FC"/>
    <w:rsid w:val="004937D3"/>
    <w:rsid w:val="004E109D"/>
    <w:rsid w:val="0052297E"/>
    <w:rsid w:val="00524839"/>
    <w:rsid w:val="0053076A"/>
    <w:rsid w:val="005404F4"/>
    <w:rsid w:val="005506AE"/>
    <w:rsid w:val="005521B8"/>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2BFC"/>
    <w:rsid w:val="006B56D7"/>
    <w:rsid w:val="006D0E46"/>
    <w:rsid w:val="006D1998"/>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34A6B"/>
    <w:rsid w:val="00850C29"/>
    <w:rsid w:val="00857D93"/>
    <w:rsid w:val="00860674"/>
    <w:rsid w:val="00885CE9"/>
    <w:rsid w:val="00891BA2"/>
    <w:rsid w:val="008C1298"/>
    <w:rsid w:val="008C15D9"/>
    <w:rsid w:val="008C50D5"/>
    <w:rsid w:val="008D0747"/>
    <w:rsid w:val="008E13D1"/>
    <w:rsid w:val="008E23D7"/>
    <w:rsid w:val="008F442A"/>
    <w:rsid w:val="00910C0A"/>
    <w:rsid w:val="009112DC"/>
    <w:rsid w:val="00925DA1"/>
    <w:rsid w:val="00931E6B"/>
    <w:rsid w:val="009331F3"/>
    <w:rsid w:val="00982988"/>
    <w:rsid w:val="00983F5E"/>
    <w:rsid w:val="009911F2"/>
    <w:rsid w:val="00996159"/>
    <w:rsid w:val="009B52E7"/>
    <w:rsid w:val="009E14BB"/>
    <w:rsid w:val="009E53B8"/>
    <w:rsid w:val="009E7AF7"/>
    <w:rsid w:val="009F7421"/>
    <w:rsid w:val="00A35122"/>
    <w:rsid w:val="00A671E8"/>
    <w:rsid w:val="00A8022B"/>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43CB2"/>
    <w:rsid w:val="00B50ABC"/>
    <w:rsid w:val="00B52393"/>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34C0"/>
    <w:rsid w:val="00C95B3C"/>
    <w:rsid w:val="00CA1009"/>
    <w:rsid w:val="00CA6D65"/>
    <w:rsid w:val="00CB1C7D"/>
    <w:rsid w:val="00CB5A16"/>
    <w:rsid w:val="00CC048E"/>
    <w:rsid w:val="00CC381D"/>
    <w:rsid w:val="00CD7AA5"/>
    <w:rsid w:val="00CF4D79"/>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12F2"/>
    <w:rsid w:val="00DD41FA"/>
    <w:rsid w:val="00DF3645"/>
    <w:rsid w:val="00E06294"/>
    <w:rsid w:val="00E10124"/>
    <w:rsid w:val="00E172BA"/>
    <w:rsid w:val="00E242E5"/>
    <w:rsid w:val="00E31442"/>
    <w:rsid w:val="00E3794C"/>
    <w:rsid w:val="00E52C94"/>
    <w:rsid w:val="00E575AE"/>
    <w:rsid w:val="00E87B30"/>
    <w:rsid w:val="00EA436A"/>
    <w:rsid w:val="00EA4667"/>
    <w:rsid w:val="00EC231A"/>
    <w:rsid w:val="00EC7151"/>
    <w:rsid w:val="00ED754B"/>
    <w:rsid w:val="00EF31AD"/>
    <w:rsid w:val="00F06D6F"/>
    <w:rsid w:val="00F11CD2"/>
    <w:rsid w:val="00F1387A"/>
    <w:rsid w:val="00F17EB4"/>
    <w:rsid w:val="00F204CE"/>
    <w:rsid w:val="00F31EBA"/>
    <w:rsid w:val="00F434BF"/>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5207"/>
    <w:rsid w:val="00FC75FE"/>
    <w:rsid w:val="00FE7070"/>
    <w:rsid w:val="02E14C9A"/>
    <w:rsid w:val="07B84148"/>
    <w:rsid w:val="081B2F78"/>
    <w:rsid w:val="0EB148D9"/>
    <w:rsid w:val="12413FBE"/>
    <w:rsid w:val="12BD2542"/>
    <w:rsid w:val="1AAD8C30"/>
    <w:rsid w:val="1ADFD08B"/>
    <w:rsid w:val="24D01AD7"/>
    <w:rsid w:val="2A31D359"/>
    <w:rsid w:val="2F46DD82"/>
    <w:rsid w:val="417E2099"/>
    <w:rsid w:val="431954B8"/>
    <w:rsid w:val="45EE19EC"/>
    <w:rsid w:val="52EC56A4"/>
    <w:rsid w:val="556B38F9"/>
    <w:rsid w:val="5B4EEB48"/>
    <w:rsid w:val="5F7E590F"/>
    <w:rsid w:val="6163AAFF"/>
    <w:rsid w:val="6227520F"/>
    <w:rsid w:val="6FC5F940"/>
    <w:rsid w:val="73DBC45C"/>
    <w:rsid w:val="75B6ECFE"/>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4F0B0B9E-8313-45EC-AB88-830C06489F8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71AC5"/>
    <w:rsid w:val="002D7989"/>
    <w:rsid w:val="003261FD"/>
    <w:rsid w:val="00327324"/>
    <w:rsid w:val="00387A41"/>
    <w:rsid w:val="00401ADE"/>
    <w:rsid w:val="0040753F"/>
    <w:rsid w:val="004140C9"/>
    <w:rsid w:val="00452091"/>
    <w:rsid w:val="00467E8C"/>
    <w:rsid w:val="00500DD2"/>
    <w:rsid w:val="00524839"/>
    <w:rsid w:val="00591655"/>
    <w:rsid w:val="005B38A3"/>
    <w:rsid w:val="00641883"/>
    <w:rsid w:val="00672A4C"/>
    <w:rsid w:val="006B185F"/>
    <w:rsid w:val="006D0E46"/>
    <w:rsid w:val="006F549F"/>
    <w:rsid w:val="0076681D"/>
    <w:rsid w:val="007D313C"/>
    <w:rsid w:val="009E14BB"/>
    <w:rsid w:val="00AD486E"/>
    <w:rsid w:val="00B06ACB"/>
    <w:rsid w:val="00B52393"/>
    <w:rsid w:val="00B904E5"/>
    <w:rsid w:val="00C3159D"/>
    <w:rsid w:val="00C934C0"/>
    <w:rsid w:val="00CB2F21"/>
    <w:rsid w:val="00CC048E"/>
    <w:rsid w:val="00D914F2"/>
    <w:rsid w:val="00E10124"/>
    <w:rsid w:val="00E62F67"/>
    <w:rsid w:val="00ED754B"/>
    <w:rsid w:val="00F25D25"/>
    <w:rsid w:val="00F434BF"/>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13</revision>
  <dcterms:created xsi:type="dcterms:W3CDTF">2026-06-09T19:33:00.0000000Z</dcterms:created>
  <dcterms:modified xsi:type="dcterms:W3CDTF">2026-06-16T14:12:28.4710106Z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