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60969F3A"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23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0D1A77" w14:paraId="6D2903DF" w14:textId="4B6D6052">
                <w:pPr>
                  <w:rPr>
                    <w:b/>
                    <w:bCs/>
                  </w:rPr>
                </w:pPr>
                <w:r>
                  <w:rPr>
                    <w:rStyle w:val="Style1"/>
                    <w:b/>
                    <w:bCs/>
                  </w:rPr>
                  <w:t>23 June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2D0282FE" w:rsidRDefault="00F5082D" w14:paraId="6D2903E1" w14:textId="0F1AF8FE">
            <w:pPr>
              <w:rPr>
                <w:b w:val="1"/>
                <w:bCs w:val="1"/>
              </w:rPr>
            </w:pPr>
            <w:r w:rsidRPr="2D0282FE" w:rsidR="043D111D">
              <w:rPr>
                <w:b w:val="1"/>
                <w:bCs w:val="1"/>
              </w:rPr>
              <w:t>4.3</w:t>
            </w:r>
          </w:p>
        </w:tc>
      </w:tr>
      <w:tr w:rsidRPr="00F8567E" w:rsidR="00B0479E" w:rsidTr="60969F3A"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EC7151" w:rsidR="00B0479E" w:rsidP="00FA0CA9" w:rsidRDefault="000D1A77" w14:paraId="5687483E" w14:textId="4A9D221A">
                <w:pPr>
                  <w:rPr>
                    <w:b/>
                    <w:bCs/>
                  </w:rPr>
                </w:pPr>
                <w:r>
                  <w:rPr>
                    <w:rStyle w:val="CorporateFont"/>
                    <w:b/>
                    <w:bCs/>
                  </w:rPr>
                  <w:t>Finance and Performance Committee</w:t>
                </w:r>
              </w:p>
            </w:tc>
          </w:sdtContent>
        </w:sdt>
      </w:tr>
      <w:tr w:rsidRPr="00F8567E" w:rsidR="00083FC0" w:rsidTr="60969F3A" w14:paraId="6D2903E5" w14:textId="77777777">
        <w:tc>
          <w:tcPr>
            <w:tcW w:w="2977" w:type="dxa"/>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3"/>
            <w:tcMar/>
          </w:tcPr>
          <w:p w:rsidRPr="00EC7151" w:rsidR="00034194" w:rsidP="00FA0CA9" w:rsidRDefault="00430227" w14:paraId="6D2903E4" w14:textId="51A28A23">
            <w:pPr>
              <w:rPr>
                <w:b/>
                <w:bCs/>
              </w:rPr>
            </w:pPr>
            <w:r>
              <w:rPr>
                <w:b/>
                <w:bCs/>
              </w:rPr>
              <w:t>Planning and Finance Assurance Group (PFAG) Recommendation Report</w:t>
            </w:r>
          </w:p>
        </w:tc>
      </w:tr>
      <w:tr w:rsidRPr="00F8567E" w:rsidR="00083FC0" w:rsidTr="60969F3A" w14:paraId="6D2903E8" w14:textId="77777777">
        <w:tc>
          <w:tcPr>
            <w:tcW w:w="2977" w:type="dxa"/>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3"/>
            <w:tcMar/>
          </w:tcPr>
          <w:p w:rsidR="00034194" w:rsidP="00FA0CA9" w:rsidRDefault="00430227" w14:paraId="0FD09AAD" w14:textId="0E287065">
            <w:r>
              <w:t>Ruth Tovey, Head of Strategic Planning</w:t>
            </w:r>
            <w:r w:rsidR="00CA6970">
              <w:t>,</w:t>
            </w:r>
          </w:p>
          <w:p w:rsidRPr="00F8567E" w:rsidR="00430227" w:rsidP="00FA0CA9" w:rsidRDefault="00430227" w14:paraId="6D2903E7" w14:textId="0FBA6A80">
            <w:r>
              <w:t xml:space="preserve">Geraint Norman, Head of </w:t>
            </w:r>
            <w:r w:rsidR="00382295">
              <w:t xml:space="preserve">Strategic </w:t>
            </w:r>
            <w:r>
              <w:t xml:space="preserve">Financial </w:t>
            </w:r>
            <w:r w:rsidR="00382295">
              <w:t>Planning</w:t>
            </w:r>
          </w:p>
        </w:tc>
      </w:tr>
      <w:tr w:rsidRPr="00F8567E" w:rsidR="00762BBE" w:rsidTr="60969F3A" w14:paraId="6D2903EB" w14:textId="77777777">
        <w:tc>
          <w:tcPr>
            <w:tcW w:w="2977" w:type="dxa"/>
            <w:shd w:val="clear" w:color="auto" w:fill="163E64"/>
            <w:tcMar/>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762BBE" w:rsidP="00762BBE" w:rsidRDefault="00430227" w14:paraId="6D2903EA" w14:textId="3BCA8E6F">
                <w:r>
                  <w:rPr>
                    <w:rStyle w:val="Style1"/>
                  </w:rPr>
                  <w:t>Executive Director of Planning and Partnership</w:t>
                </w:r>
              </w:p>
            </w:tc>
          </w:sdtContent>
        </w:sdt>
      </w:tr>
      <w:tr w:rsidRPr="00F8567E" w:rsidR="00762BBE" w:rsidTr="60969F3A" w14:paraId="6D2903EE" w14:textId="77777777">
        <w:tc>
          <w:tcPr>
            <w:tcW w:w="2977" w:type="dxa"/>
            <w:shd w:val="clear" w:color="auto" w:fill="163E64"/>
            <w:tcMar/>
          </w:tcPr>
          <w:p w:rsidRPr="00F8567E" w:rsidR="00762BBE" w:rsidP="00762BBE" w:rsidRDefault="00762BBE" w14:paraId="6D2903EC" w14:textId="77777777">
            <w:pPr>
              <w:rPr>
                <w:b/>
              </w:rPr>
            </w:pPr>
            <w:r w:rsidRPr="00F8567E">
              <w:rPr>
                <w:b/>
              </w:rPr>
              <w:t>Presented by</w:t>
            </w:r>
          </w:p>
        </w:tc>
        <w:tc>
          <w:tcPr>
            <w:tcW w:w="6044" w:type="dxa"/>
            <w:gridSpan w:val="3"/>
            <w:tcMar/>
          </w:tcPr>
          <w:p w:rsidR="00762BBE" w:rsidP="00762BBE" w:rsidRDefault="00430227" w14:paraId="1A346BD3" w14:textId="77777777">
            <w:r>
              <w:t>Marie Davies, Executive Director of Planning, Partnerships and Performance</w:t>
            </w:r>
          </w:p>
          <w:p w:rsidRPr="00F8567E" w:rsidR="00430227" w:rsidP="00762BBE" w:rsidRDefault="00430227" w14:paraId="6D2903ED" w14:textId="2ED91FA8">
            <w:r>
              <w:t>Claire Osmundsen-Little, Interim Executive Director of Finance</w:t>
            </w:r>
          </w:p>
        </w:tc>
      </w:tr>
      <w:tr w:rsidRPr="00F8567E" w:rsidR="00653AEC" w:rsidTr="60969F3A" w14:paraId="6D2903F1" w14:textId="77777777">
        <w:tc>
          <w:tcPr>
            <w:tcW w:w="2977" w:type="dxa"/>
            <w:shd w:val="clear" w:color="auto" w:fill="C1A775"/>
            <w:tcMar/>
          </w:tcPr>
          <w:p w:rsidRPr="00F8567E" w:rsidR="00653AEC" w:rsidP="6FC5F940" w:rsidRDefault="00653AEC"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430227" w14:paraId="6D2903F0" w14:textId="13D31119">
                <w:r>
                  <w:rPr>
                    <w:rStyle w:val="Style1"/>
                  </w:rPr>
                  <w:t>Open</w:t>
                </w:r>
              </w:p>
            </w:sdtContent>
          </w:sdt>
        </w:tc>
      </w:tr>
      <w:tr w:rsidRPr="00F8567E" w:rsidR="00041CF6" w:rsidTr="60969F3A" w14:paraId="3533518D" w14:textId="77777777">
        <w:tc>
          <w:tcPr>
            <w:tcW w:w="2977" w:type="dxa"/>
            <w:shd w:val="clear" w:color="auto" w:fill="C1A775"/>
            <w:tcMar/>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0A0751" w:rsidR="00041CF6" w:rsidP="00653AEC" w:rsidRDefault="00EC231A" w14:paraId="68BCFC98" w14:textId="74614C13">
                <w:pPr>
                  <w:rPr>
                    <w:rStyle w:val="Style1"/>
                  </w:rPr>
                </w:pPr>
                <w:r>
                  <w:rPr>
                    <w:rStyle w:val="Style1"/>
                  </w:rPr>
                  <w:t>If closed, choose detail</w:t>
                </w:r>
              </w:p>
            </w:tc>
          </w:sdtContent>
        </w:sdt>
      </w:tr>
      <w:tr w:rsidRPr="00F8567E" w:rsidR="008F442A" w:rsidTr="60969F3A" w14:paraId="56774493" w14:textId="77777777">
        <w:tc>
          <w:tcPr>
            <w:tcW w:w="5812" w:type="dxa"/>
            <w:gridSpan w:val="2"/>
            <w:shd w:val="clear" w:color="auto" w:fill="C1A775"/>
            <w:tcMar/>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Mar/>
          </w:tcPr>
          <w:p w:rsidRPr="00F8567E" w:rsidR="008F442A" w:rsidP="00110100" w:rsidRDefault="00FA5DEC" w14:paraId="1FF00833" w14:textId="403A5B42">
            <w:pPr>
              <w:rPr>
                <w:b/>
              </w:rPr>
            </w:pPr>
            <w:r>
              <w:rPr>
                <w:b/>
              </w:rPr>
              <w:t>IA Completion date</w:t>
            </w:r>
          </w:p>
        </w:tc>
      </w:tr>
      <w:tr w:rsidRPr="00F8567E" w:rsidR="00860674" w:rsidTr="60969F3A" w14:paraId="44E771AC" w14:textId="77777777">
        <w:tc>
          <w:tcPr>
            <w:tcW w:w="5812" w:type="dxa"/>
            <w:gridSpan w:val="2"/>
            <w:tcMar/>
          </w:tcPr>
          <w:p w:rsidRPr="00FD7C1B" w:rsidR="00A35122" w:rsidP="00110100" w:rsidRDefault="006E6502" w14:paraId="5E84E502" w14:textId="3C3883C6">
            <w:pPr>
              <w:rPr>
                <w:bCs/>
              </w:rPr>
            </w:pPr>
            <w:r>
              <w:rPr>
                <w:bCs/>
              </w:rPr>
              <w:t>Not required</w:t>
            </w:r>
          </w:p>
        </w:tc>
        <w:tc>
          <w:tcPr>
            <w:tcW w:w="3209" w:type="dxa"/>
            <w:gridSpan w:val="2"/>
            <w:tcMar/>
          </w:tcPr>
          <w:p w:rsidRPr="004E1EDA" w:rsidR="00860674" w:rsidP="00110100" w:rsidRDefault="00860674" w14:paraId="6CF9C42A" w14:textId="3F1CB508">
            <w:pPr>
              <w:rPr>
                <w:bCs/>
              </w:rPr>
            </w:pPr>
          </w:p>
        </w:tc>
      </w:tr>
      <w:tr w:rsidRPr="005F4E71" w:rsidR="00EA4667" w:rsidTr="60969F3A" w14:paraId="2BABD8F1" w14:textId="77777777">
        <w:tc>
          <w:tcPr>
            <w:tcW w:w="2977" w:type="dxa"/>
            <w:shd w:val="clear" w:color="auto" w:fill="C1A775"/>
            <w:tcMar/>
          </w:tcPr>
          <w:p w:rsidRPr="004E1EDA" w:rsidR="00EA4667" w:rsidRDefault="00EA4667" w14:paraId="4CAAEA69" w14:textId="77777777">
            <w:pPr>
              <w:rPr>
                <w:b/>
              </w:rPr>
            </w:pPr>
            <w:r w:rsidRPr="004E1EDA">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4E1EDA" w:rsidR="00EA4667" w:rsidRDefault="00430227" w14:paraId="53EFA578" w14:textId="52869E73">
                <w:pPr>
                  <w:ind w:right="96"/>
                </w:pPr>
                <w:r w:rsidRPr="004E1EDA">
                  <w:rPr>
                    <w:rStyle w:val="Style1"/>
                  </w:rPr>
                  <w:t>For Approval</w:t>
                </w:r>
              </w:p>
            </w:tc>
          </w:sdtContent>
        </w:sdt>
      </w:tr>
      <w:tr w:rsidRPr="00F8567E" w:rsidR="00110100" w:rsidTr="60969F3A" w14:paraId="2607A37D" w14:textId="77777777">
        <w:tc>
          <w:tcPr>
            <w:tcW w:w="9021" w:type="dxa"/>
            <w:gridSpan w:val="4"/>
            <w:shd w:val="clear" w:color="auto" w:fill="C1A775"/>
            <w:tcMar/>
          </w:tcPr>
          <w:p w:rsidRPr="004E1EDA" w:rsidR="00110100" w:rsidP="00110100" w:rsidRDefault="00110100" w14:paraId="213FC224" w14:textId="4833FD62">
            <w:r w:rsidRPr="004E1EDA">
              <w:rPr>
                <w:b/>
              </w:rPr>
              <w:t>Report Summary; detailing any action required</w:t>
            </w:r>
          </w:p>
        </w:tc>
      </w:tr>
      <w:tr w:rsidRPr="00F8567E" w:rsidR="00110100" w:rsidTr="60969F3A" w14:paraId="6D2903F8" w14:textId="77777777">
        <w:tc>
          <w:tcPr>
            <w:tcW w:w="9021" w:type="dxa"/>
            <w:gridSpan w:val="4"/>
            <w:tcMar/>
          </w:tcPr>
          <w:p w:rsidRPr="004E1EDA" w:rsidR="00110100" w:rsidP="00110100" w:rsidRDefault="007D5917" w14:paraId="32FC61F8" w14:textId="5B86C95E">
            <w:r w:rsidR="007D5917">
              <w:rPr/>
              <w:t xml:space="preserve">This report requests the approval of </w:t>
            </w:r>
            <w:r w:rsidR="000D1A77">
              <w:rPr/>
              <w:t>the Performance &amp; Finance Committee</w:t>
            </w:r>
            <w:r w:rsidR="00E36F34">
              <w:rPr/>
              <w:t xml:space="preserve"> on the </w:t>
            </w:r>
            <w:r w:rsidR="00CA6970">
              <w:rPr/>
              <w:t xml:space="preserve">following </w:t>
            </w:r>
            <w:r w:rsidR="007D5917">
              <w:rPr/>
              <w:t>business case</w:t>
            </w:r>
            <w:r w:rsidR="00CA6970">
              <w:rPr/>
              <w:t xml:space="preserve">s </w:t>
            </w:r>
            <w:r w:rsidR="007D5917">
              <w:rPr/>
              <w:t xml:space="preserve">which </w:t>
            </w:r>
            <w:r w:rsidR="00CA6970">
              <w:rPr/>
              <w:t xml:space="preserve">were </w:t>
            </w:r>
            <w:r w:rsidR="007D5917">
              <w:rPr/>
              <w:t xml:space="preserve">recommended by the Planning </w:t>
            </w:r>
            <w:r w:rsidR="00E13168">
              <w:rPr/>
              <w:t>&amp; Finance Assurance</w:t>
            </w:r>
            <w:r w:rsidR="007D5917">
              <w:rPr/>
              <w:t xml:space="preserve"> Group (</w:t>
            </w:r>
            <w:r w:rsidR="00F441A4">
              <w:rPr/>
              <w:t>PF</w:t>
            </w:r>
            <w:r w:rsidR="007D5917">
              <w:rPr/>
              <w:t xml:space="preserve">AG) meeting on </w:t>
            </w:r>
            <w:r w:rsidR="00407736">
              <w:rPr/>
              <w:t>20</w:t>
            </w:r>
            <w:r w:rsidR="00407736">
              <w:rPr/>
              <w:t xml:space="preserve"> May </w:t>
            </w:r>
            <w:r w:rsidR="000D1A77">
              <w:rPr/>
              <w:t>and approved by the Executive Board on 10</w:t>
            </w:r>
            <w:r w:rsidR="000D1A77">
              <w:rPr/>
              <w:t xml:space="preserve"> June</w:t>
            </w:r>
            <w:r w:rsidR="00407736">
              <w:rPr/>
              <w:t>:</w:t>
            </w:r>
          </w:p>
          <w:p w:rsidRPr="002F02AB" w:rsidR="002F02AB" w:rsidP="001C4EF8" w:rsidRDefault="00407736" w14:paraId="75DB6792" w14:textId="7B320155">
            <w:pPr>
              <w:pStyle w:val="ListParagraph"/>
              <w:numPr>
                <w:ilvl w:val="0"/>
                <w:numId w:val="4"/>
              </w:numPr>
              <w:rPr>
                <w:b/>
                <w:bCs/>
              </w:rPr>
            </w:pPr>
            <w:r w:rsidRPr="00B506F0">
              <w:rPr>
                <w:b/>
                <w:bCs/>
              </w:rPr>
              <w:t>Continuing Healthcare (CHC) Digital Case Management System</w:t>
            </w:r>
          </w:p>
          <w:p w:rsidRPr="00AF59FD" w:rsidR="002F02AB" w:rsidP="001C4EF8" w:rsidRDefault="002F02AB" w14:paraId="54C71E1F" w14:textId="2A6793EF">
            <w:pPr>
              <w:pStyle w:val="ListParagraph"/>
              <w:numPr>
                <w:ilvl w:val="0"/>
                <w:numId w:val="4"/>
              </w:numPr>
              <w:rPr>
                <w:b/>
                <w:bCs/>
              </w:rPr>
            </w:pPr>
            <w:r w:rsidRPr="00B506F0">
              <w:rPr>
                <w:b/>
                <w:bCs/>
                <w:noProof/>
              </w:rPr>
              <w:t>Interim extension of the Welsh Institute of Metabolic and Obesity Surgery to North Wales residents</w:t>
            </w:r>
          </w:p>
          <w:p w:rsidR="00034731" w:rsidP="00971BAC" w:rsidRDefault="00034731" w14:paraId="048F8571" w14:textId="77777777"/>
          <w:p w:rsidR="00971BAC" w:rsidP="00971BAC" w:rsidRDefault="00E36F34" w14:paraId="3F64D081" w14:textId="77CF6FB5">
            <w:r w:rsidR="00E36F34">
              <w:rPr/>
              <w:t xml:space="preserve">Final </w:t>
            </w:r>
            <w:r w:rsidR="00971BAC">
              <w:rPr/>
              <w:t xml:space="preserve">Assurance on decisions will be sought </w:t>
            </w:r>
            <w:r w:rsidR="000D1A77">
              <w:rPr/>
              <w:t xml:space="preserve">at the next meeting of the Health </w:t>
            </w:r>
            <w:r w:rsidR="00971BAC">
              <w:rPr/>
              <w:t>Board (30</w:t>
            </w:r>
            <w:r w:rsidR="4F9B93EB">
              <w:rPr/>
              <w:t xml:space="preserve"> </w:t>
            </w:r>
            <w:r w:rsidR="00971BAC">
              <w:rPr/>
              <w:t>July 2026)</w:t>
            </w:r>
            <w:r w:rsidR="00034731">
              <w:rPr/>
              <w:t>.</w:t>
            </w:r>
          </w:p>
          <w:p w:rsidRPr="00971BAC" w:rsidR="00034731" w:rsidP="00971BAC" w:rsidRDefault="00034731" w14:paraId="6D2903F7" w14:textId="67313492"/>
        </w:tc>
      </w:tr>
      <w:tr w:rsidRPr="00F8567E" w:rsidR="00110100" w:rsidTr="60969F3A" w14:paraId="70491417" w14:textId="77777777">
        <w:tc>
          <w:tcPr>
            <w:tcW w:w="9021" w:type="dxa"/>
            <w:gridSpan w:val="4"/>
            <w:shd w:val="clear" w:color="auto" w:fill="C1A775"/>
            <w:tcMar/>
          </w:tcPr>
          <w:p w:rsidRPr="00D16C84" w:rsidR="00110100" w:rsidP="00110100" w:rsidRDefault="00110100" w14:paraId="012E824A" w14:textId="7C1EDF26">
            <w:pPr>
              <w:rPr>
                <w:b/>
              </w:rPr>
            </w:pPr>
            <w:r w:rsidRPr="00F8567E">
              <w:rPr>
                <w:b/>
              </w:rPr>
              <w:t>Key Issues</w:t>
            </w:r>
          </w:p>
        </w:tc>
      </w:tr>
      <w:tr w:rsidRPr="00F8567E" w:rsidR="00110100" w:rsidTr="60969F3A" w14:paraId="6D290402" w14:textId="77777777">
        <w:tc>
          <w:tcPr>
            <w:tcW w:w="9021" w:type="dxa"/>
            <w:gridSpan w:val="4"/>
            <w:tcMar/>
          </w:tcPr>
          <w:p w:rsidRPr="008A1AE5" w:rsidR="008A1AE5" w:rsidP="008A1AE5" w:rsidRDefault="008A1AE5" w14:paraId="2B3AB9A3" w14:textId="65BAC4DD">
            <w:pPr>
              <w:rPr>
                <w:b/>
                <w:bCs/>
              </w:rPr>
            </w:pPr>
            <w:r w:rsidRPr="008A1AE5">
              <w:rPr>
                <w:b/>
                <w:bCs/>
              </w:rPr>
              <w:t>Continuing Healthcare (CHC) Digital Case Management System</w:t>
            </w:r>
          </w:p>
          <w:p w:rsidR="00AF59FD" w:rsidP="001C4EF8" w:rsidRDefault="00AF59FD" w14:paraId="17B97042" w14:textId="77777777">
            <w:pPr>
              <w:pStyle w:val="ListParagraph"/>
              <w:numPr>
                <w:ilvl w:val="0"/>
                <w:numId w:val="7"/>
              </w:numPr>
            </w:pPr>
            <w:r w:rsidRPr="00006DB9">
              <w:t xml:space="preserve">Access Adam will replace the current unsustainable and fragmented manual processes for case management, which include the limited functionality of the National Complex Care Database (NCCD). </w:t>
            </w:r>
          </w:p>
          <w:p w:rsidR="00AF59FD" w:rsidP="00034731" w:rsidRDefault="00AF59FD" w14:paraId="056C9BF5" w14:textId="1C36425B">
            <w:pPr>
              <w:pStyle w:val="ListParagraph"/>
              <w:numPr>
                <w:ilvl w:val="0"/>
                <w:numId w:val="7"/>
              </w:numPr>
            </w:pPr>
            <w:r w:rsidRPr="00006DB9">
              <w:t xml:space="preserve">Its implementation aims to establish a single source of </w:t>
            </w:r>
            <w:r>
              <w:t xml:space="preserve">the </w:t>
            </w:r>
            <w:r w:rsidRPr="00006DB9">
              <w:t>truth, drive financial and operational sustainability, enhance governance, and ultimately improve patient care by providing real-time visibility into case status and costs, thereby fostering a more joined-up approach.</w:t>
            </w:r>
          </w:p>
          <w:p w:rsidRPr="00AF59FD" w:rsidR="000D1A77" w:rsidP="000D1A77" w:rsidRDefault="000D1A77" w14:paraId="50FA1F19" w14:textId="77777777">
            <w:pPr>
              <w:pStyle w:val="ListParagraph"/>
            </w:pPr>
          </w:p>
          <w:p w:rsidRPr="008A1AE5" w:rsidR="008A1AE5" w:rsidP="008A1AE5" w:rsidRDefault="008A1AE5" w14:paraId="78A6D5FA" w14:textId="6E481D8B">
            <w:pPr>
              <w:rPr>
                <w:b/>
                <w:bCs/>
              </w:rPr>
            </w:pPr>
            <w:r w:rsidRPr="008A1AE5">
              <w:rPr>
                <w:b/>
                <w:bCs/>
                <w:noProof/>
              </w:rPr>
              <w:t>Interim extension of the Welsh Institute of Metabolic and Obesity Surgery</w:t>
            </w:r>
            <w:r w:rsidR="00E36F34">
              <w:rPr>
                <w:b/>
                <w:bCs/>
                <w:noProof/>
              </w:rPr>
              <w:t xml:space="preserve"> (WIMOS)</w:t>
            </w:r>
            <w:r w:rsidRPr="008A1AE5">
              <w:rPr>
                <w:b/>
                <w:bCs/>
                <w:noProof/>
              </w:rPr>
              <w:t xml:space="preserve"> to North Wales residents</w:t>
            </w:r>
          </w:p>
          <w:p w:rsidRPr="00E36F34" w:rsidR="00382295" w:rsidP="001C4EF8" w:rsidRDefault="00E36F34" w14:paraId="16FF0901" w14:textId="77777777">
            <w:pPr>
              <w:pStyle w:val="ListParagraph"/>
              <w:numPr>
                <w:ilvl w:val="0"/>
                <w:numId w:val="16"/>
              </w:numPr>
              <w:rPr>
                <w:b/>
                <w:bCs/>
              </w:rPr>
            </w:pPr>
            <w:r w:rsidRPr="071B8AC0">
              <w:rPr>
                <w:noProof/>
              </w:rPr>
              <w:t>NHS Wales Joint Commissioning Committee (NWJCC) has asked SBUHB to expand the current</w:t>
            </w:r>
            <w:r>
              <w:rPr>
                <w:noProof/>
              </w:rPr>
              <w:t xml:space="preserve"> </w:t>
            </w:r>
            <w:r w:rsidRPr="071B8AC0">
              <w:rPr>
                <w:noProof/>
              </w:rPr>
              <w:t xml:space="preserve">WIMOS service on an interim basis to include residents from Betsi Cadwaladr University Health Board and Powys Teaching Health Board (North) due to the current provider in Salford ceasing provision of the service from March 2026.  </w:t>
            </w:r>
          </w:p>
          <w:p w:rsidRPr="00034731" w:rsidR="00E36F34" w:rsidP="00034731" w:rsidRDefault="00E36F34" w14:paraId="07EE6FCA" w14:textId="65927027">
            <w:pPr>
              <w:pStyle w:val="ListParagraph"/>
              <w:numPr>
                <w:ilvl w:val="0"/>
                <w:numId w:val="16"/>
              </w:numPr>
              <w:rPr>
                <w:b/>
                <w:bCs/>
              </w:rPr>
            </w:pPr>
            <w:r w:rsidRPr="071B8AC0">
              <w:rPr>
                <w:noProof/>
              </w:rPr>
              <w:t>Based on current caseload information, this business case is based on an additional 64 cases managed across three years. A majority of operations would be performed during the first year and all would be expected within the first 18 months.</w:t>
            </w:r>
          </w:p>
          <w:p w:rsidRPr="00815FCD" w:rsidR="00815FCD" w:rsidP="001C4EF8" w:rsidRDefault="00815FCD" w14:paraId="6D290401" w14:textId="37E323BB">
            <w:pPr>
              <w:pStyle w:val="ListParagraph"/>
              <w:numPr>
                <w:ilvl w:val="0"/>
                <w:numId w:val="16"/>
              </w:numPr>
              <w:rPr>
                <w:b/>
                <w:bCs/>
              </w:rPr>
            </w:pPr>
            <w:r>
              <w:t xml:space="preserve">The expansion of the service can commence with immediate effect as SBUHB has already stood up additional capacity at short notice to treat 64 North Wales residents in 2025/26 at the request of NWJCC. </w:t>
            </w:r>
          </w:p>
        </w:tc>
      </w:tr>
      <w:tr w:rsidRPr="00F8567E" w:rsidR="00110100" w:rsidTr="60969F3A" w14:paraId="4682E8B7" w14:textId="77777777">
        <w:tc>
          <w:tcPr>
            <w:tcW w:w="9021" w:type="dxa"/>
            <w:gridSpan w:val="4"/>
            <w:shd w:val="clear" w:color="auto" w:fill="C1A775"/>
            <w:tcMar/>
          </w:tcPr>
          <w:p w:rsidRPr="00061E86" w:rsidR="00110100" w:rsidP="00110100" w:rsidRDefault="00110100" w14:paraId="155705B7" w14:textId="31DB83AD">
            <w:pPr>
              <w:rPr>
                <w:b/>
              </w:rPr>
            </w:pPr>
            <w:r w:rsidRPr="00F8567E">
              <w:rPr>
                <w:b/>
              </w:rPr>
              <w:t>Recommendation</w:t>
            </w:r>
          </w:p>
        </w:tc>
      </w:tr>
      <w:tr w:rsidRPr="00F8567E" w:rsidR="00110100" w:rsidTr="60969F3A" w14:paraId="6D290418" w14:textId="77777777">
        <w:tc>
          <w:tcPr>
            <w:tcW w:w="9021" w:type="dxa"/>
            <w:gridSpan w:val="4"/>
            <w:tcMar/>
          </w:tcPr>
          <w:p w:rsidRPr="000940E7" w:rsidR="00110100" w:rsidP="00110100" w:rsidRDefault="00110100" w14:paraId="6D290412" w14:textId="77777777">
            <w:pPr>
              <w:ind w:right="96"/>
            </w:pPr>
            <w:r w:rsidRPr="000940E7">
              <w:t>Members are asked to:</w:t>
            </w:r>
          </w:p>
          <w:p w:rsidRPr="00006DB9" w:rsidR="00034731" w:rsidP="00127A60" w:rsidRDefault="00F441A4" w14:paraId="7BD378F6" w14:textId="01EB3F68">
            <w:pPr>
              <w:pStyle w:val="ListParagraph"/>
              <w:numPr>
                <w:ilvl w:val="0"/>
                <w:numId w:val="6"/>
              </w:numPr>
            </w:pPr>
            <w:r w:rsidRPr="00034731">
              <w:rPr>
                <w:b/>
                <w:color w:val="000000" w:themeColor="text1"/>
              </w:rPr>
              <w:t>A</w:t>
            </w:r>
            <w:r w:rsidRPr="00034731" w:rsidR="00066961">
              <w:rPr>
                <w:b/>
                <w:color w:val="000000" w:themeColor="text1"/>
              </w:rPr>
              <w:t>PPROVE</w:t>
            </w:r>
            <w:r w:rsidRPr="00034731" w:rsidR="00AF59FD">
              <w:rPr>
                <w:b/>
                <w:color w:val="000000" w:themeColor="text1"/>
              </w:rPr>
              <w:t xml:space="preserve"> </w:t>
            </w:r>
            <w:r w:rsidR="00AF59FD">
              <w:t>the recommendation from PFAG to</w:t>
            </w:r>
            <w:r w:rsidRPr="00006DB9" w:rsidR="00AF59FD">
              <w:t xml:space="preserve"> directly award a preferred digital case management solution, Access Adam, for Continuing Healthcare (CHC) and </w:t>
            </w:r>
            <w:r w:rsidR="00AF59FD">
              <w:t>Complex Care</w:t>
            </w:r>
            <w:r w:rsidRPr="00006DB9" w:rsidR="00AF59FD">
              <w:t xml:space="preserve">. </w:t>
            </w:r>
            <w:r w:rsidR="00034731">
              <w:t xml:space="preserve"> This business case requests an </w:t>
            </w:r>
            <w:r w:rsidRPr="00006DB9" w:rsidR="00034731">
              <w:t xml:space="preserve">upfront cost </w:t>
            </w:r>
            <w:r w:rsidR="00034731">
              <w:t xml:space="preserve">(non-recurrent new funding) </w:t>
            </w:r>
            <w:r w:rsidRPr="00006DB9" w:rsidR="00034731">
              <w:t xml:space="preserve">of £61,755 in </w:t>
            </w:r>
            <w:r w:rsidR="00034731">
              <w:t>26/27</w:t>
            </w:r>
            <w:r w:rsidRPr="00006DB9" w:rsidR="00034731">
              <w:t xml:space="preserve">, followed by annual costs of £40,275 for both </w:t>
            </w:r>
            <w:r w:rsidR="00034731">
              <w:t>27/28</w:t>
            </w:r>
            <w:r w:rsidRPr="00006DB9" w:rsidR="00034731">
              <w:t xml:space="preserve"> and </w:t>
            </w:r>
            <w:r w:rsidR="00034731">
              <w:t>28/29/</w:t>
            </w:r>
            <w:r w:rsidRPr="00006DB9" w:rsidR="00034731">
              <w:t>. A benefits analysis indicates anticipated annual savings of £67,000, which will be realised on a quarterly basis</w:t>
            </w:r>
            <w:r w:rsidR="00034731">
              <w:t xml:space="preserve">. </w:t>
            </w:r>
            <w:r w:rsidRPr="00034731" w:rsidR="00034731">
              <w:t xml:space="preserve">As the Health Board is operating within a Deficit Plan in 2026-27, </w:t>
            </w:r>
            <w:r w:rsidR="000D1A77">
              <w:t>Performance &amp; Finance Committee colleagues</w:t>
            </w:r>
            <w:r w:rsidRPr="00034731" w:rsidR="00034731">
              <w:t xml:space="preserve"> will need to determine how this proposal is funded. There are two choices, either (1) increase the financial plan deficit further, or (2) increase the savings target further. Either change will require discussions and agreement at the Board and also with Welsh Government.</w:t>
            </w:r>
          </w:p>
          <w:p w:rsidRPr="00647043" w:rsidR="00CA6970" w:rsidP="001C4EF8" w:rsidRDefault="00E36F34" w14:paraId="6D290417" w14:textId="1D196C53">
            <w:pPr>
              <w:pStyle w:val="ListParagraph"/>
              <w:numPr>
                <w:ilvl w:val="0"/>
                <w:numId w:val="2"/>
              </w:numPr>
              <w:ind w:right="96"/>
              <w:rPr>
                <w:b/>
              </w:rPr>
            </w:pPr>
            <w:r w:rsidRPr="00AF59FD">
              <w:rPr>
                <w:b/>
                <w:color w:val="000000" w:themeColor="text1"/>
              </w:rPr>
              <w:t xml:space="preserve">APPROVE </w:t>
            </w:r>
            <w:r>
              <w:t>the recommendation from PFAG to</w:t>
            </w:r>
            <w:r w:rsidRPr="45B28A61">
              <w:t xml:space="preserve"> extend the WIMOS service to residents of North Wales for up to 65 referred patients from Northern Care Alliance NHS Foundation Trust</w:t>
            </w:r>
            <w:r w:rsidR="00B371C5">
              <w:t>.</w:t>
            </w:r>
            <w:r w:rsidR="00034731">
              <w:t xml:space="preserve"> </w:t>
            </w:r>
            <w:r w:rsidR="00034731">
              <w:rPr>
                <w:noProof/>
              </w:rPr>
              <w:t>I</w:t>
            </w:r>
            <w:r w:rsidRPr="6B981D9A" w:rsidR="00034731">
              <w:rPr>
                <w:noProof/>
              </w:rPr>
              <w:t>t has been agreed by NWJCC that the entirety of additional MDT costs will be reimbursed by NWJCC at £397,941.33 across the 3-year period</w:t>
            </w:r>
            <w:r w:rsidR="00034731">
              <w:rPr>
                <w:noProof/>
              </w:rPr>
              <w:t xml:space="preserve">. </w:t>
            </w:r>
          </w:p>
        </w:tc>
      </w:tr>
    </w:tbl>
    <w:p w:rsidRPr="00F8567E" w:rsidR="00653AEC" w:rsidP="00653AEC" w:rsidRDefault="0020539A" w14:paraId="6D29041B" w14:textId="52C921B7">
      <w:pPr>
        <w:spacing w:after="0" w:line="240" w:lineRule="auto"/>
        <w:jc w:val="center"/>
        <w:rPr>
          <w:b/>
        </w:rPr>
      </w:pPr>
      <w:r w:rsidRPr="00F8567E">
        <w:br w:type="page"/>
      </w:r>
      <w:r w:rsidR="00430227">
        <w:rPr>
          <w:b/>
          <w:bCs/>
        </w:rPr>
        <w:t>Planning and Finance Assurance Group (PFAG) Recommendation Report</w:t>
      </w:r>
    </w:p>
    <w:p w:rsidRPr="009E249D" w:rsidR="000617AE" w:rsidP="009E249D" w:rsidRDefault="00653AEC" w14:paraId="6D5C942D" w14:textId="1B5F0920">
      <w:pPr>
        <w:pStyle w:val="ListParagraph"/>
        <w:numPr>
          <w:ilvl w:val="0"/>
          <w:numId w:val="1"/>
        </w:numPr>
        <w:spacing w:after="0" w:line="240" w:lineRule="auto"/>
        <w:rPr>
          <w:b/>
        </w:rPr>
      </w:pPr>
      <w:r w:rsidRPr="00F8567E">
        <w:rPr>
          <w:b/>
        </w:rPr>
        <w:t>INTRODUCTION</w:t>
      </w:r>
    </w:p>
    <w:p w:rsidRPr="00FD7C1B" w:rsidR="00653AEC" w:rsidP="00AE2D20" w:rsidRDefault="00F143FB" w14:paraId="6D29041D" w14:textId="5940B6A5">
      <w:pPr>
        <w:spacing w:after="0" w:line="240" w:lineRule="auto"/>
        <w:jc w:val="both"/>
        <w:rPr>
          <w:rFonts w:eastAsia="+mn-ea"/>
          <w:lang w:eastAsia="en-GB"/>
        </w:rPr>
      </w:pPr>
      <w:r w:rsidR="00F143FB">
        <w:rPr/>
        <w:t>T</w:t>
      </w:r>
      <w:r w:rsidR="00AE2D20">
        <w:rPr/>
        <w:t>his</w:t>
      </w:r>
      <w:r w:rsidR="00F143FB">
        <w:rPr/>
        <w:t xml:space="preserve"> paper presents the business case</w:t>
      </w:r>
      <w:r w:rsidR="00D754EB">
        <w:rPr/>
        <w:t>s</w:t>
      </w:r>
      <w:r w:rsidR="00F143FB">
        <w:rPr/>
        <w:t xml:space="preserve"> agreed for taking forward by the </w:t>
      </w:r>
      <w:r w:rsidR="004E1EDA">
        <w:rPr/>
        <w:t>PFAG</w:t>
      </w:r>
      <w:r w:rsidR="004925B9">
        <w:rPr/>
        <w:t xml:space="preserve"> who met on </w:t>
      </w:r>
      <w:r w:rsidR="000617AE">
        <w:rPr/>
        <w:t>20</w:t>
      </w:r>
      <w:r w:rsidR="000617AE">
        <w:rPr/>
        <w:t xml:space="preserve"> May</w:t>
      </w:r>
      <w:r w:rsidR="004925B9">
        <w:rPr/>
        <w:t xml:space="preserve"> 2026. </w:t>
      </w:r>
      <w:r w:rsidRPr="2D0282FE" w:rsidR="00D754EB">
        <w:rPr>
          <w:rFonts w:eastAsia="+mn-ea"/>
          <w:lang w:eastAsia="en-GB"/>
        </w:rPr>
        <w:t>The case</w:t>
      </w:r>
      <w:r w:rsidRPr="2D0282FE" w:rsidR="00CA6970">
        <w:rPr>
          <w:rFonts w:eastAsia="+mn-ea"/>
          <w:lang w:eastAsia="en-GB"/>
        </w:rPr>
        <w:t>s</w:t>
      </w:r>
      <w:r w:rsidRPr="2D0282FE" w:rsidR="00D754EB">
        <w:rPr>
          <w:rFonts w:eastAsia="+mn-ea"/>
          <w:lang w:eastAsia="en-GB"/>
        </w:rPr>
        <w:t xml:space="preserve"> summarised below w</w:t>
      </w:r>
      <w:r w:rsidRPr="2D0282FE" w:rsidR="00CA6970">
        <w:rPr>
          <w:rFonts w:eastAsia="+mn-ea"/>
          <w:lang w:eastAsia="en-GB"/>
        </w:rPr>
        <w:t xml:space="preserve">ere </w:t>
      </w:r>
      <w:r w:rsidRPr="2D0282FE" w:rsidR="00D754EB">
        <w:rPr>
          <w:rFonts w:eastAsia="+mn-ea"/>
          <w:lang w:eastAsia="en-GB"/>
        </w:rPr>
        <w:t xml:space="preserve">released from the process for Executive Board consideration, based on the recommendations by the PFAG Chairs (Director of Finance and Director of Planning, Partnerships &amp; Performance). </w:t>
      </w:r>
      <w:r w:rsidRPr="2D0282FE" w:rsidR="00FD7C1B">
        <w:rPr>
          <w:rFonts w:eastAsia="+mn-ea"/>
          <w:lang w:eastAsia="en-GB"/>
        </w:rPr>
        <w:t>B</w:t>
      </w:r>
      <w:r w:rsidRPr="2D0282FE" w:rsidR="00D754EB">
        <w:rPr>
          <w:rFonts w:eastAsia="+mn-ea"/>
          <w:lang w:eastAsia="en-GB"/>
        </w:rPr>
        <w:t xml:space="preserve">usiness </w:t>
      </w:r>
      <w:r w:rsidRPr="2D0282FE" w:rsidR="004E1EDA">
        <w:rPr>
          <w:rFonts w:eastAsia="+mn-ea"/>
          <w:lang w:eastAsia="en-GB"/>
        </w:rPr>
        <w:t>c</w:t>
      </w:r>
      <w:r w:rsidRPr="2D0282FE" w:rsidR="00D754EB">
        <w:rPr>
          <w:rFonts w:eastAsia="+mn-ea"/>
          <w:lang w:eastAsia="en-GB"/>
        </w:rPr>
        <w:t xml:space="preserve">ases </w:t>
      </w:r>
      <w:r w:rsidRPr="2D0282FE" w:rsidR="004E1EDA">
        <w:rPr>
          <w:rFonts w:eastAsia="+mn-ea"/>
          <w:lang w:eastAsia="en-GB"/>
        </w:rPr>
        <w:t>have been</w:t>
      </w:r>
      <w:r w:rsidRPr="2D0282FE" w:rsidR="000617AE">
        <w:rPr>
          <w:rFonts w:eastAsia="+mn-ea"/>
          <w:lang w:eastAsia="en-GB"/>
        </w:rPr>
        <w:t xml:space="preserve"> developed </w:t>
      </w:r>
      <w:r w:rsidRPr="2D0282FE" w:rsidR="00D754EB">
        <w:rPr>
          <w:rFonts w:eastAsia="+mn-ea"/>
          <w:lang w:eastAsia="en-GB"/>
        </w:rPr>
        <w:t>by Service Delivery Groups or Corporate Departments</w:t>
      </w:r>
      <w:r w:rsidRPr="2D0282FE" w:rsidR="004E1EDA">
        <w:rPr>
          <w:rFonts w:eastAsia="+mn-ea"/>
          <w:lang w:eastAsia="en-GB"/>
        </w:rPr>
        <w:t xml:space="preserve"> and have been through the scrutiny process</w:t>
      </w:r>
      <w:r w:rsidRPr="2D0282FE" w:rsidR="00D754EB">
        <w:rPr>
          <w:rFonts w:eastAsia="+mn-ea"/>
          <w:lang w:eastAsia="en-GB"/>
        </w:rPr>
        <w:t xml:space="preserve">. </w:t>
      </w:r>
    </w:p>
    <w:p w:rsidRPr="004A7BA0" w:rsidR="004E1EDA" w:rsidP="004A7BA0" w:rsidRDefault="004E1EDA" w14:paraId="1FAB422D" w14:textId="77777777">
      <w:pPr>
        <w:spacing w:after="0" w:line="240" w:lineRule="auto"/>
        <w:rPr>
          <w:b/>
        </w:rPr>
      </w:pPr>
    </w:p>
    <w:p w:rsidRPr="00AF59FD" w:rsidR="00B91D15" w:rsidP="00B91D15" w:rsidRDefault="00653AEC" w14:paraId="7325C73D" w14:textId="1AC93E25">
      <w:pPr>
        <w:pStyle w:val="ListParagraph"/>
        <w:numPr>
          <w:ilvl w:val="0"/>
          <w:numId w:val="1"/>
        </w:numPr>
        <w:spacing w:after="0" w:line="240" w:lineRule="auto"/>
        <w:rPr>
          <w:b/>
        </w:rPr>
      </w:pPr>
      <w:r w:rsidRPr="00AE2D20">
        <w:rPr>
          <w:b/>
        </w:rPr>
        <w:t>BACKGROUND</w:t>
      </w:r>
    </w:p>
    <w:p w:rsidR="00AF59FD" w:rsidP="00B91D15" w:rsidRDefault="00AF59FD" w14:paraId="0489C900" w14:textId="30DC200E">
      <w:pPr>
        <w:spacing w:after="0" w:line="240" w:lineRule="auto"/>
        <w:rPr>
          <w:b/>
          <w:bCs/>
        </w:rPr>
      </w:pPr>
      <w:r w:rsidRPr="008A1AE5">
        <w:rPr>
          <w:b/>
          <w:bCs/>
        </w:rPr>
        <w:t>Continuing Healthcare (CHC) Digital Case Management System</w:t>
      </w:r>
      <w:r w:rsidR="00745B12">
        <w:rPr>
          <w:b/>
          <w:bCs/>
        </w:rPr>
        <w:t xml:space="preserve"> </w:t>
      </w:r>
      <w:r w:rsidRPr="00745B12" w:rsidR="00745B12">
        <w:rPr>
          <w:b/>
          <w:bCs/>
          <w:i/>
          <w:iCs/>
        </w:rPr>
        <w:t>(Full business case as considered by PFAG is included at Appendix 1)</w:t>
      </w:r>
    </w:p>
    <w:p w:rsidRPr="00745B12" w:rsidR="00AF59FD" w:rsidP="00745B12" w:rsidRDefault="00AF59FD" w14:paraId="5D4B7BAA" w14:textId="489B7FF2">
      <w:pPr>
        <w:rPr>
          <w:bCs/>
          <w:color w:val="000000" w:themeColor="text1"/>
        </w:rPr>
      </w:pPr>
      <w:r w:rsidRPr="00745B12">
        <w:rPr>
          <w:bCs/>
          <w:color w:val="000000" w:themeColor="text1"/>
        </w:rPr>
        <w:t xml:space="preserve">The proposal seeks approval to implement a digital case management system for packages of commissioned care across the </w:t>
      </w:r>
      <w:r w:rsidR="009E249D">
        <w:rPr>
          <w:bCs/>
          <w:color w:val="000000" w:themeColor="text1"/>
        </w:rPr>
        <w:t>H</w:t>
      </w:r>
      <w:r w:rsidRPr="00745B12">
        <w:rPr>
          <w:bCs/>
          <w:color w:val="000000" w:themeColor="text1"/>
        </w:rPr>
        <w:t xml:space="preserve">ealth </w:t>
      </w:r>
      <w:r w:rsidR="009E249D">
        <w:rPr>
          <w:bCs/>
          <w:color w:val="000000" w:themeColor="text1"/>
        </w:rPr>
        <w:t>B</w:t>
      </w:r>
      <w:r w:rsidRPr="00745B12">
        <w:rPr>
          <w:bCs/>
          <w:color w:val="000000" w:themeColor="text1"/>
        </w:rPr>
        <w:t>oard</w:t>
      </w:r>
      <w:r w:rsidR="00745B12">
        <w:rPr>
          <w:bCs/>
          <w:color w:val="000000" w:themeColor="text1"/>
        </w:rPr>
        <w:t>.</w:t>
      </w:r>
      <w:r w:rsidRPr="00745B12">
        <w:rPr>
          <w:bCs/>
          <w:color w:val="000000" w:themeColor="text1"/>
        </w:rPr>
        <w:t xml:space="preserve"> </w:t>
      </w:r>
    </w:p>
    <w:p w:rsidRPr="00745B12" w:rsidR="00915778" w:rsidP="00745B12" w:rsidRDefault="00745B12" w14:paraId="221D59CB" w14:textId="4213C98A">
      <w:pPr>
        <w:pStyle w:val="Subtitle"/>
        <w:rPr>
          <w:rStyle w:val="IntenseEmphasis"/>
          <w:rFonts w:ascii="Verdana" w:hAnsi="Verdana"/>
          <w:b w:val="0"/>
          <w:i w:val="0"/>
          <w:iCs w:val="0"/>
          <w:color w:val="auto"/>
          <w:sz w:val="24"/>
          <w:u w:val="none"/>
          <w:lang w:val="en-GB"/>
        </w:rPr>
      </w:pPr>
      <w:r w:rsidRPr="00745B12">
        <w:rPr>
          <w:rStyle w:val="IntenseEmphasis"/>
          <w:rFonts w:ascii="Verdana" w:hAnsi="Verdana"/>
          <w:b w:val="0"/>
          <w:i w:val="0"/>
          <w:iCs w:val="0"/>
          <w:color w:val="auto"/>
          <w:sz w:val="24"/>
          <w:u w:val="none"/>
          <w:lang w:val="en-GB"/>
        </w:rPr>
        <w:t xml:space="preserve">The </w:t>
      </w:r>
      <w:r w:rsidR="00685CBC">
        <w:rPr>
          <w:rStyle w:val="IntenseEmphasis"/>
          <w:rFonts w:ascii="Verdana" w:hAnsi="Verdana"/>
          <w:b w:val="0"/>
          <w:i w:val="0"/>
          <w:iCs w:val="0"/>
          <w:color w:val="auto"/>
          <w:sz w:val="24"/>
          <w:u w:val="none"/>
          <w:lang w:val="en-GB"/>
        </w:rPr>
        <w:t>p</w:t>
      </w:r>
      <w:r w:rsidRPr="00745B12" w:rsidR="00AC308E">
        <w:rPr>
          <w:rStyle w:val="IntenseEmphasis"/>
          <w:rFonts w:ascii="Verdana" w:hAnsi="Verdana"/>
          <w:b w:val="0"/>
          <w:i w:val="0"/>
          <w:iCs w:val="0"/>
          <w:color w:val="auto"/>
          <w:sz w:val="24"/>
          <w:u w:val="none"/>
          <w:lang w:val="en-GB"/>
        </w:rPr>
        <w:t xml:space="preserve">referred </w:t>
      </w:r>
      <w:r w:rsidR="00685CBC">
        <w:rPr>
          <w:rStyle w:val="IntenseEmphasis"/>
          <w:rFonts w:ascii="Verdana" w:hAnsi="Verdana"/>
          <w:b w:val="0"/>
          <w:i w:val="0"/>
          <w:iCs w:val="0"/>
          <w:color w:val="auto"/>
          <w:sz w:val="24"/>
          <w:u w:val="none"/>
          <w:lang w:val="en-GB"/>
        </w:rPr>
        <w:t>o</w:t>
      </w:r>
      <w:r w:rsidRPr="00745B12" w:rsidR="00AC308E">
        <w:rPr>
          <w:rStyle w:val="IntenseEmphasis"/>
          <w:rFonts w:ascii="Verdana" w:hAnsi="Verdana"/>
          <w:b w:val="0"/>
          <w:i w:val="0"/>
          <w:iCs w:val="0"/>
          <w:color w:val="auto"/>
          <w:sz w:val="24"/>
          <w:u w:val="none"/>
          <w:lang w:val="en-GB"/>
        </w:rPr>
        <w:t>ption</w:t>
      </w:r>
      <w:r>
        <w:rPr>
          <w:rStyle w:val="IntenseEmphasis"/>
          <w:rFonts w:ascii="Verdana" w:hAnsi="Verdana"/>
          <w:b w:val="0"/>
          <w:i w:val="0"/>
          <w:iCs w:val="0"/>
          <w:color w:val="auto"/>
          <w:sz w:val="24"/>
          <w:u w:val="none"/>
          <w:lang w:val="en-GB"/>
        </w:rPr>
        <w:t xml:space="preserve"> outlined</w:t>
      </w:r>
      <w:r w:rsidRPr="00745B12">
        <w:rPr>
          <w:rStyle w:val="IntenseEmphasis"/>
          <w:rFonts w:ascii="Verdana" w:hAnsi="Verdana"/>
          <w:b w:val="0"/>
          <w:i w:val="0"/>
          <w:iCs w:val="0"/>
          <w:color w:val="auto"/>
          <w:sz w:val="24"/>
          <w:u w:val="none"/>
          <w:lang w:val="en-GB"/>
        </w:rPr>
        <w:t xml:space="preserve"> i</w:t>
      </w:r>
      <w:r>
        <w:rPr>
          <w:rStyle w:val="IntenseEmphasis"/>
          <w:rFonts w:ascii="Verdana" w:hAnsi="Verdana"/>
          <w:b w:val="0"/>
          <w:i w:val="0"/>
          <w:iCs w:val="0"/>
          <w:color w:val="auto"/>
          <w:sz w:val="24"/>
          <w:u w:val="none"/>
          <w:lang w:val="en-GB"/>
        </w:rPr>
        <w:t xml:space="preserve">s </w:t>
      </w:r>
      <w:r w:rsidRPr="00745B12" w:rsidR="00AC308E">
        <w:rPr>
          <w:rFonts w:ascii="Verdana" w:hAnsi="Verdana" w:eastAsia="Aptos"/>
          <w:b w:val="0"/>
          <w:color w:val="000000"/>
          <w:kern w:val="2"/>
          <w:u w:val="none"/>
          <w14:ligatures w14:val="standardContextual"/>
        </w:rPr>
        <w:t>Access ADAM</w:t>
      </w:r>
      <w:r>
        <w:rPr>
          <w:rFonts w:ascii="Verdana" w:hAnsi="Verdana" w:eastAsia="Aptos"/>
          <w:b w:val="0"/>
          <w:color w:val="000000"/>
          <w:kern w:val="2"/>
          <w:u w:val="none"/>
          <w14:ligatures w14:val="standardContextual"/>
        </w:rPr>
        <w:t xml:space="preserve">, </w:t>
      </w:r>
      <w:r w:rsidRPr="00745B12" w:rsidR="00AC308E">
        <w:rPr>
          <w:rFonts w:ascii="Verdana" w:hAnsi="Verdana" w:eastAsia="Aptos"/>
          <w:b w:val="0"/>
          <w:color w:val="000000"/>
          <w:kern w:val="2"/>
          <w:u w:val="none"/>
          <w14:ligatures w14:val="standardContextual"/>
        </w:rPr>
        <w:t xml:space="preserve">an end-to-end digital platform for CHC case management. It would digitise referrals, checklists, DSTs, case management, reviews, provider records, contracts and invoicing, creating a single system of </w:t>
      </w:r>
      <w:r w:rsidRPr="00745B12" w:rsidR="004A7BA0">
        <w:rPr>
          <w:rFonts w:ascii="Verdana" w:hAnsi="Verdana" w:eastAsia="Aptos"/>
          <w:b w:val="0"/>
          <w:color w:val="000000"/>
          <w:kern w:val="2"/>
          <w:u w:val="none"/>
          <w14:ligatures w14:val="standardContextual"/>
        </w:rPr>
        <w:t>records</w:t>
      </w:r>
      <w:r w:rsidRPr="00745B12" w:rsidR="00AC308E">
        <w:rPr>
          <w:rFonts w:ascii="Verdana" w:hAnsi="Verdana" w:eastAsia="Aptos"/>
          <w:b w:val="0"/>
          <w:color w:val="000000"/>
          <w:kern w:val="2"/>
          <w:u w:val="none"/>
          <w14:ligatures w14:val="standardContextual"/>
        </w:rPr>
        <w:t>. Additionally, it provides full interoperability with existing digital architecture, RIO.</w:t>
      </w:r>
    </w:p>
    <w:p w:rsidRPr="00762A97" w:rsidR="00762A97" w:rsidP="00762A97" w:rsidRDefault="00762A97" w14:paraId="06060024" w14:textId="77777777">
      <w:pPr>
        <w:pStyle w:val="Subtitle"/>
        <w:rPr>
          <w:rFonts w:ascii="Verdana" w:hAnsi="Verdana"/>
          <w:b w:val="0"/>
          <w:bCs w:val="0"/>
          <w:u w:val="none"/>
          <w:lang w:val="en-GB"/>
        </w:rPr>
      </w:pPr>
    </w:p>
    <w:p w:rsidRPr="009E249D" w:rsidR="00762A97" w:rsidP="00762A97" w:rsidRDefault="00762A97" w14:paraId="547C7D6C" w14:textId="1F8EA1FC">
      <w:pPr>
        <w:pStyle w:val="Subtitle"/>
        <w:rPr>
          <w:rFonts w:ascii="Verdana" w:hAnsi="Verdana"/>
          <w:i/>
          <w:iCs/>
          <w:u w:val="none"/>
          <w:lang w:val="en-GB"/>
        </w:rPr>
      </w:pPr>
      <w:r w:rsidRPr="00762A97">
        <w:rPr>
          <w:rFonts w:ascii="Verdana" w:hAnsi="Verdana"/>
          <w:noProof/>
          <w:u w:val="none"/>
        </w:rPr>
        <w:t>Interim extension of the Welsh Institute of Metabolic and Obesity Surgery to North Wales residents</w:t>
      </w:r>
      <w:r w:rsidR="00815FCD">
        <w:rPr>
          <w:rFonts w:ascii="Verdana" w:hAnsi="Verdana"/>
          <w:noProof/>
          <w:u w:val="none"/>
        </w:rPr>
        <w:t xml:space="preserve"> </w:t>
      </w:r>
      <w:r w:rsidRPr="009E249D" w:rsidR="00815FCD">
        <w:rPr>
          <w:rFonts w:ascii="Verdana" w:hAnsi="Verdana"/>
          <w:i/>
          <w:iCs/>
          <w:noProof/>
          <w:u w:val="none"/>
        </w:rPr>
        <w:t>(</w:t>
      </w:r>
      <w:r w:rsidRPr="009E249D" w:rsidR="00815FCD">
        <w:rPr>
          <w:rFonts w:ascii="Verdana" w:hAnsi="Verdana"/>
          <w:i/>
          <w:iCs/>
          <w:u w:val="none"/>
        </w:rPr>
        <w:t>Full business case as considered by PFAG is included at Appendix 2)</w:t>
      </w:r>
    </w:p>
    <w:p w:rsidRPr="00A7288B" w:rsidR="00A7288B" w:rsidP="00A7288B" w:rsidRDefault="00A7288B" w14:paraId="135FECBC" w14:textId="77777777">
      <w:pPr>
        <w:rPr>
          <w:noProof/>
        </w:rPr>
      </w:pPr>
      <w:r w:rsidRPr="00A7288B">
        <w:rPr>
          <w:noProof/>
        </w:rPr>
        <w:t xml:space="preserve">NHS Wales Joint Commissioning Committee (NWJCC) has asked SBUHB to expand the current WIMOS service on an interim basis to include residents from Betsi Cadwaladr University Health Board and Powys Teaching Health Board (North) due to the current provider in Salford ceasing provision of the service from March 2026.  </w:t>
      </w:r>
    </w:p>
    <w:p w:rsidRPr="00A7288B" w:rsidR="00A7288B" w:rsidP="00A7288B" w:rsidRDefault="00A7288B" w14:paraId="6209A76C" w14:textId="77777777">
      <w:pPr>
        <w:pStyle w:val="Subtitle"/>
        <w:rPr>
          <w:rFonts w:ascii="Verdana" w:hAnsi="Verdana"/>
          <w:b w:val="0"/>
          <w:bCs w:val="0"/>
          <w:u w:val="none"/>
        </w:rPr>
      </w:pPr>
      <w:r w:rsidRPr="00A7288B">
        <w:rPr>
          <w:rFonts w:ascii="Verdana" w:hAnsi="Verdana"/>
          <w:b w:val="0"/>
          <w:bCs w:val="0"/>
          <w:u w:val="none"/>
        </w:rPr>
        <w:t>The preferred option identified is to extend current service to include North Wales residents, taking on the additional 64 patients.</w:t>
      </w:r>
    </w:p>
    <w:p w:rsidRPr="00A7288B" w:rsidR="00A7288B" w:rsidP="00A7288B" w:rsidRDefault="00A7288B" w14:paraId="2768C87E" w14:textId="77777777">
      <w:pPr>
        <w:pStyle w:val="Subtitle"/>
        <w:rPr>
          <w:rFonts w:ascii="Verdana" w:hAnsi="Verdana"/>
          <w:u w:val="none"/>
          <w:lang w:val="en-GB"/>
        </w:rPr>
      </w:pPr>
    </w:p>
    <w:p w:rsidRPr="00A7288B" w:rsidR="00A7288B" w:rsidP="00A7288B" w:rsidRDefault="00A7288B" w14:paraId="79E05B4B" w14:textId="77777777">
      <w:r w:rsidRPr="00A7288B">
        <w:rPr>
          <w:noProof/>
        </w:rPr>
        <w:t xml:space="preserve">The North Wales service has a current caseload of 73 patients which has now undergone scrutiny within WIMOS to ascertain realistic projected numbers and the complexity of cases within the cohort. </w:t>
      </w:r>
    </w:p>
    <w:p w:rsidRPr="00A7288B" w:rsidR="00A7288B" w:rsidP="00034731" w:rsidRDefault="00A7288B" w14:paraId="7142D4CE" w14:textId="2B13B1CA">
      <w:pPr>
        <w:rPr>
          <w:noProof/>
        </w:rPr>
      </w:pPr>
      <w:r w:rsidRPr="00A7288B">
        <w:rPr>
          <w:noProof/>
        </w:rPr>
        <w:t xml:space="preserve">Among the 73 patients, 64 have been deemed suitable to receive within the WIMOS pathway for assessment of suitability for metabolic surgery, in line with existing referral acceptance criteria. Note that it is not possible to determine in advance whether an individual will ultimately be suitable for surgery, and referral acceptance is of course not acceptance for surgery; the formal MDT processes will ultimately determine suitability. </w:t>
      </w:r>
    </w:p>
    <w:p w:rsidR="00AF59FD" w:rsidP="00A7288B" w:rsidRDefault="00815FCD" w14:paraId="13D33B9F" w14:textId="10727FA4">
      <w:pPr>
        <w:spacing w:after="0" w:line="240" w:lineRule="auto"/>
        <w:rPr>
          <w:noProof/>
        </w:rPr>
      </w:pPr>
      <w:r>
        <w:rPr>
          <w:noProof/>
        </w:rPr>
        <w:t>As such, b</w:t>
      </w:r>
      <w:r w:rsidRPr="00A7288B" w:rsidR="00A7288B">
        <w:rPr>
          <w:noProof/>
        </w:rPr>
        <w:t>ased on current caseload information, th</w:t>
      </w:r>
      <w:r w:rsidR="006E6502">
        <w:rPr>
          <w:noProof/>
        </w:rPr>
        <w:t>e</w:t>
      </w:r>
      <w:r w:rsidRPr="00A7288B" w:rsidR="00A7288B">
        <w:rPr>
          <w:noProof/>
        </w:rPr>
        <w:t xml:space="preserve"> business case is based on an additional 64 cases managed across three years. A majority of operations would be performed during the first year and all would be expected within the first 18 months</w:t>
      </w:r>
      <w:r w:rsidR="00B371C5">
        <w:rPr>
          <w:noProof/>
        </w:rPr>
        <w:t>.</w:t>
      </w:r>
    </w:p>
    <w:p w:rsidRPr="00B91D15" w:rsidR="00B371C5" w:rsidP="00A7288B" w:rsidRDefault="00B371C5" w14:paraId="2E965B57" w14:textId="616F6382">
      <w:pPr>
        <w:spacing w:after="0" w:line="240" w:lineRule="auto"/>
        <w:rPr>
          <w:b/>
        </w:rPr>
      </w:pPr>
    </w:p>
    <w:p w:rsidRPr="00AE2D20" w:rsidR="004949E5" w:rsidP="00AE2D20" w:rsidRDefault="00653AEC" w14:paraId="52E8EE8E" w14:textId="1CCEAE2D">
      <w:pPr>
        <w:pStyle w:val="ListParagraph"/>
        <w:numPr>
          <w:ilvl w:val="0"/>
          <w:numId w:val="1"/>
        </w:numPr>
        <w:spacing w:after="0" w:line="240" w:lineRule="auto"/>
        <w:rPr>
          <w:b/>
        </w:rPr>
      </w:pPr>
      <w:r w:rsidRPr="00AE2D20">
        <w:rPr>
          <w:b/>
        </w:rPr>
        <w:t>GOVERNANCE AND</w:t>
      </w:r>
      <w:r w:rsidRPr="00AE2D20" w:rsidR="004949E5">
        <w:rPr>
          <w:b/>
        </w:rPr>
        <w:t xml:space="preserve"> </w:t>
      </w:r>
      <w:r w:rsidRPr="00AE2D20">
        <w:rPr>
          <w:b/>
        </w:rPr>
        <w:t>RISK ISSUES</w:t>
      </w:r>
    </w:p>
    <w:p w:rsidRPr="00915778" w:rsidR="00915778" w:rsidP="00915778" w:rsidRDefault="00915778" w14:paraId="208C8842" w14:textId="71B59235">
      <w:pPr>
        <w:spacing w:after="0" w:line="240" w:lineRule="auto"/>
        <w:rPr>
          <w:b/>
          <w:bCs/>
        </w:rPr>
      </w:pPr>
      <w:r w:rsidRPr="00915778">
        <w:rPr>
          <w:b/>
          <w:bCs/>
        </w:rPr>
        <w:t>Continuing Healthcare (CHC) Digital Case Management System</w:t>
      </w:r>
    </w:p>
    <w:p w:rsidRPr="00006DB9" w:rsidR="00AC308E" w:rsidP="00AC308E" w:rsidRDefault="00AC308E" w14:paraId="3442FB1E" w14:textId="77777777">
      <w:r w:rsidRPr="00006DB9">
        <w:t>Non-approval of this proposal carries significant risks across governance, operational, and financial domains, perpetuating the very challenges this solution aims to address.</w:t>
      </w:r>
    </w:p>
    <w:p w:rsidRPr="00915778" w:rsidR="00AC308E" w:rsidP="00AC308E" w:rsidRDefault="00AC308E" w14:paraId="4471EF13" w14:textId="77777777">
      <w:r w:rsidRPr="00915778">
        <w:t>Specifically, the risks include:</w:t>
      </w:r>
    </w:p>
    <w:p w:rsidRPr="00915778" w:rsidR="00AC308E" w:rsidP="001C4EF8" w:rsidRDefault="00AC308E" w14:paraId="61ED7D0C" w14:textId="77777777">
      <w:pPr>
        <w:pStyle w:val="ListParagraph"/>
        <w:numPr>
          <w:ilvl w:val="0"/>
          <w:numId w:val="8"/>
        </w:numPr>
        <w:spacing w:after="0" w:line="240" w:lineRule="auto"/>
      </w:pPr>
      <w:r w:rsidRPr="00915778">
        <w:t>Governance: Continued reliance on fragmented, manual systems will maintain information risks, leading to a persistent lack of data integrity, robust audit trails, and consistent reporting. This undermines accountability and compliance.</w:t>
      </w:r>
    </w:p>
    <w:p w:rsidRPr="00915778" w:rsidR="00AC308E" w:rsidP="001C4EF8" w:rsidRDefault="00AC308E" w14:paraId="6BA50C31" w14:textId="77777777">
      <w:pPr>
        <w:pStyle w:val="ListParagraph"/>
        <w:numPr>
          <w:ilvl w:val="0"/>
          <w:numId w:val="8"/>
        </w:numPr>
        <w:spacing w:after="0"/>
      </w:pPr>
      <w:r w:rsidRPr="00915778">
        <w:t>Operational: The absence of a unified digital workflow will result in ongoing case delays, making it increasingly difficult to meet the statutory 8-week framework requirement. This will continue to frustrate the progress of Multi-Disciplinary Teams (MDTs), Decision Support Tools, and evidence gathering.</w:t>
      </w:r>
    </w:p>
    <w:p w:rsidRPr="00915778" w:rsidR="00B91D15" w:rsidP="001C4EF8" w:rsidRDefault="00AC308E" w14:paraId="7A89D70F" w14:textId="742579BA">
      <w:pPr>
        <w:pStyle w:val="ListParagraph"/>
        <w:numPr>
          <w:ilvl w:val="0"/>
          <w:numId w:val="8"/>
        </w:numPr>
        <w:spacing w:after="0" w:line="240" w:lineRule="auto"/>
      </w:pPr>
      <w:r w:rsidRPr="00915778">
        <w:t>Financial: A sustained lack of real-time information will severely undermine financial oversight, leading to delays in reporting care package changes and an increase in avoidable overpayments. Complex retrospective CHC claims will persist, and rising occupancy and case complexity will further escalate costs. Without timely data on activity, cost, and outcomes, SBUHB's negotiation power with providers will remain significantly weakened.</w:t>
      </w:r>
    </w:p>
    <w:p w:rsidRPr="00915778" w:rsidR="00AC308E" w:rsidP="00AC308E" w:rsidRDefault="00AC308E" w14:paraId="35D1AD7C" w14:textId="77777777">
      <w:pPr>
        <w:pStyle w:val="Subtitle"/>
        <w:ind w:left="720"/>
        <w:rPr>
          <w:rFonts w:ascii="Verdana" w:hAnsi="Verdana"/>
          <w:b w:val="0"/>
          <w:bCs w:val="0"/>
          <w:u w:val="none"/>
          <w:lang w:val="en-GB"/>
        </w:rPr>
      </w:pPr>
    </w:p>
    <w:p w:rsidRPr="00915778" w:rsidR="00AC308E" w:rsidP="00AC308E" w:rsidRDefault="00AC308E" w14:paraId="47F94749" w14:textId="3D6FE29A">
      <w:pPr>
        <w:pStyle w:val="Subtitle"/>
        <w:rPr>
          <w:rStyle w:val="IntenseEmphasis"/>
          <w:rFonts w:ascii="Verdana" w:hAnsi="Verdana"/>
          <w:b w:val="0"/>
          <w:bCs w:val="0"/>
          <w:i w:val="0"/>
          <w:iCs w:val="0"/>
          <w:color w:val="auto"/>
          <w:sz w:val="24"/>
          <w:u w:val="none"/>
          <w:lang w:val="en-GB"/>
        </w:rPr>
      </w:pPr>
      <w:r w:rsidRPr="00915778">
        <w:rPr>
          <w:rStyle w:val="IntenseEmphasis"/>
          <w:rFonts w:ascii="Verdana" w:hAnsi="Verdana"/>
          <w:b w:val="0"/>
          <w:bCs w:val="0"/>
          <w:i w:val="0"/>
          <w:iCs w:val="0"/>
          <w:color w:val="auto"/>
          <w:sz w:val="24"/>
          <w:u w:val="none"/>
          <w:lang w:val="en-GB"/>
        </w:rPr>
        <w:t>Limitations/ Risks associated with the preferred option:</w:t>
      </w:r>
    </w:p>
    <w:p w:rsidRPr="00915778" w:rsidR="00AC308E" w:rsidP="001C4EF8" w:rsidRDefault="00AC308E" w14:paraId="4130A22C" w14:textId="77777777">
      <w:pPr>
        <w:pStyle w:val="Subtitle"/>
        <w:numPr>
          <w:ilvl w:val="0"/>
          <w:numId w:val="9"/>
        </w:numPr>
        <w:rPr>
          <w:rFonts w:ascii="Verdana" w:hAnsi="Verdana" w:eastAsia="Aptos" w:cs="Arial"/>
          <w:b w:val="0"/>
          <w:bCs w:val="0"/>
          <w:color w:val="000000"/>
          <w:kern w:val="2"/>
          <w:u w:val="none"/>
          <w:lang w:val="en-GB"/>
          <w14:ligatures w14:val="standardContextual"/>
        </w:rPr>
      </w:pPr>
      <w:r w:rsidRPr="00915778">
        <w:rPr>
          <w:rFonts w:ascii="Verdana" w:hAnsi="Verdana" w:eastAsia="Aptos" w:cs="Arial"/>
          <w:b w:val="0"/>
          <w:bCs w:val="0"/>
          <w:color w:val="000000"/>
          <w:kern w:val="2"/>
          <w:u w:val="none"/>
          <w:lang w:val="en-GB"/>
          <w14:ligatures w14:val="standardContextual"/>
        </w:rPr>
        <w:t>Requires upfront implementation effort, training and change management within current workforce capacity</w:t>
      </w:r>
    </w:p>
    <w:p w:rsidRPr="00915778" w:rsidR="00AC308E" w:rsidP="001C4EF8" w:rsidRDefault="00AC308E" w14:paraId="01CA45FC" w14:textId="77777777">
      <w:pPr>
        <w:pStyle w:val="Subtitle"/>
        <w:numPr>
          <w:ilvl w:val="0"/>
          <w:numId w:val="9"/>
        </w:numPr>
        <w:rPr>
          <w:rFonts w:ascii="Verdana" w:hAnsi="Verdana" w:eastAsia="Aptos" w:cs="Arial"/>
          <w:b w:val="0"/>
          <w:bCs w:val="0"/>
          <w:color w:val="000000"/>
          <w:kern w:val="2"/>
          <w:u w:val="none"/>
          <w:lang w:val="en-GB"/>
          <w14:ligatures w14:val="standardContextual"/>
        </w:rPr>
      </w:pPr>
      <w:r w:rsidRPr="00915778">
        <w:rPr>
          <w:rFonts w:ascii="Verdana" w:hAnsi="Verdana" w:eastAsia="Aptos" w:cs="Arial"/>
          <w:b w:val="0"/>
          <w:bCs w:val="0"/>
          <w:color w:val="000000"/>
          <w:kern w:val="2"/>
          <w:u w:val="none"/>
          <w:lang w:val="en-GB"/>
          <w14:ligatures w14:val="standardContextual"/>
        </w:rPr>
        <w:t>Provider onboarding is required.</w:t>
      </w:r>
    </w:p>
    <w:p w:rsidRPr="00915778" w:rsidR="00AC308E" w:rsidP="001C4EF8" w:rsidRDefault="00AC308E" w14:paraId="47EB7969" w14:textId="77777777">
      <w:pPr>
        <w:pStyle w:val="Subtitle"/>
        <w:numPr>
          <w:ilvl w:val="0"/>
          <w:numId w:val="9"/>
        </w:numPr>
        <w:rPr>
          <w:rFonts w:ascii="Verdana" w:hAnsi="Verdana" w:eastAsia="Aptos" w:cs="Arial"/>
          <w:b w:val="0"/>
          <w:bCs w:val="0"/>
          <w:color w:val="000000"/>
          <w:kern w:val="2"/>
          <w:u w:val="none"/>
          <w:lang w:val="en-GB"/>
          <w14:ligatures w14:val="standardContextual"/>
        </w:rPr>
      </w:pPr>
      <w:r w:rsidRPr="00915778">
        <w:rPr>
          <w:rFonts w:ascii="Verdana" w:hAnsi="Verdana" w:eastAsia="Aptos" w:cs="Arial"/>
          <w:b w:val="0"/>
          <w:bCs w:val="0"/>
          <w:color w:val="000000"/>
          <w:kern w:val="2"/>
          <w:u w:val="none"/>
          <w:lang w:val="en-GB"/>
          <w14:ligatures w14:val="standardContextual"/>
        </w:rPr>
        <w:t>Limited wider impact as it does not, on its own, address wider market pricing pressures or automate commissioning decisions.</w:t>
      </w:r>
    </w:p>
    <w:p w:rsidRPr="00915778" w:rsidR="00AC308E" w:rsidP="001C4EF8" w:rsidRDefault="00AC308E" w14:paraId="2F9D9913" w14:textId="77777777">
      <w:pPr>
        <w:pStyle w:val="Subtitle"/>
        <w:numPr>
          <w:ilvl w:val="0"/>
          <w:numId w:val="9"/>
        </w:numPr>
        <w:rPr>
          <w:rFonts w:ascii="Verdana" w:hAnsi="Verdana" w:eastAsia="Aptos" w:cs="Arial"/>
          <w:b w:val="0"/>
          <w:bCs w:val="0"/>
          <w:color w:val="000000"/>
          <w:kern w:val="2"/>
          <w:u w:val="none"/>
          <w:lang w:val="en-GB"/>
          <w14:ligatures w14:val="standardContextual"/>
        </w:rPr>
      </w:pPr>
      <w:r w:rsidRPr="00915778">
        <w:rPr>
          <w:rFonts w:ascii="Verdana" w:hAnsi="Verdana" w:eastAsia="Aptos" w:cs="Arial"/>
          <w:b w:val="0"/>
          <w:bCs w:val="0"/>
          <w:color w:val="000000"/>
          <w:kern w:val="2"/>
          <w:u w:val="none"/>
          <w:lang w:val="en-GB"/>
          <w14:ligatures w14:val="standardContextual"/>
        </w:rPr>
        <w:t xml:space="preserve">Narrow benefit focus as the primary benefits focus on control, visibility and efficiency </w:t>
      </w:r>
    </w:p>
    <w:p w:rsidR="00B91D15" w:rsidP="00B91D15" w:rsidRDefault="00B91D15" w14:paraId="60C87A0C" w14:textId="77777777">
      <w:pPr>
        <w:spacing w:after="0" w:line="240" w:lineRule="auto"/>
        <w:rPr>
          <w:b/>
        </w:rPr>
      </w:pPr>
    </w:p>
    <w:p w:rsidR="00A7288B" w:rsidP="00762A97" w:rsidRDefault="00762A97" w14:paraId="4083F726" w14:textId="21AD4C91">
      <w:pPr>
        <w:pStyle w:val="Subtitle"/>
        <w:rPr>
          <w:rFonts w:ascii="Verdana" w:hAnsi="Verdana"/>
          <w:noProof/>
          <w:u w:val="none"/>
        </w:rPr>
      </w:pPr>
      <w:r w:rsidRPr="00762A97">
        <w:rPr>
          <w:rFonts w:ascii="Verdana" w:hAnsi="Verdana"/>
          <w:noProof/>
          <w:u w:val="none"/>
        </w:rPr>
        <w:t>Interim extension of the Welsh Institute of Metabolic and Obesity Surgery to North Wales residents</w:t>
      </w:r>
    </w:p>
    <w:p w:rsidRPr="00815FCD" w:rsidR="00815FCD" w:rsidP="00762A97" w:rsidRDefault="00815FCD" w14:paraId="341E131E" w14:textId="7EEB6158">
      <w:pPr>
        <w:pStyle w:val="Subtitle"/>
        <w:rPr>
          <w:rFonts w:ascii="Verdana" w:hAnsi="Verdana"/>
          <w:b w:val="0"/>
          <w:bCs w:val="0"/>
          <w:noProof/>
          <w:u w:val="none"/>
        </w:rPr>
      </w:pPr>
      <w:r w:rsidRPr="00815FCD">
        <w:rPr>
          <w:rFonts w:ascii="Verdana" w:hAnsi="Verdana"/>
          <w:b w:val="0"/>
          <w:bCs w:val="0"/>
          <w:noProof/>
          <w:u w:val="none"/>
        </w:rPr>
        <w:t>Non approval carries the following risks:</w:t>
      </w:r>
    </w:p>
    <w:p w:rsidRPr="00A7288B" w:rsidR="00A7288B" w:rsidP="00A7288B" w:rsidRDefault="00A7288B" w14:paraId="610FC572" w14:textId="77777777">
      <w:pPr>
        <w:rPr>
          <w:u w:val="single"/>
        </w:rPr>
      </w:pPr>
      <w:r w:rsidRPr="00A7288B">
        <w:rPr>
          <w:u w:val="single"/>
        </w:rPr>
        <w:t>Immediate Service Gap and Risk to Patients</w:t>
      </w:r>
    </w:p>
    <w:p w:rsidR="00A7288B" w:rsidP="00A7288B" w:rsidRDefault="00A7288B" w14:paraId="3CA77F40" w14:textId="0C2AE03D">
      <w:r>
        <w:t xml:space="preserve">Obesity Surgery for North Wales residents has been commissioned by NWJCC from Northen Care Alliance NHS Foundation Trust (Salford Royal </w:t>
      </w:r>
      <w:r>
        <w:t xml:space="preserve">Hospital) for many years however, in January 2025 the service was escalated to </w:t>
      </w:r>
      <w:r w:rsidRPr="002C4C28">
        <w:t>Level 3 of the NWJCC Escalation Framework</w:t>
      </w:r>
      <w:r>
        <w:t>.  Northern Care Alliance NHS Foundation Trust formally wrote to the NWJCC on the 16 September 2025 informing the commissioner that from the end of March 2026 they would no longer be able to provide the Obesity Surgery Service at Salford Royal Hospital due to a number of operational challenges, including capacity i</w:t>
      </w:r>
      <w:r w:rsidRPr="00547403">
        <w:t xml:space="preserve">ssues and increased levels of demand. </w:t>
      </w:r>
    </w:p>
    <w:p w:rsidRPr="00122B8A" w:rsidR="00A7288B" w:rsidP="00A7288B" w:rsidRDefault="00A7288B" w14:paraId="00C9875B" w14:textId="77777777">
      <w:r>
        <w:t>Now that t</w:t>
      </w:r>
      <w:r w:rsidRPr="00122B8A">
        <w:t>he existing specialist bariatric service contract for North Wales residents has ended, leaving a defined cohort of patients already mid</w:t>
      </w:r>
      <w:r w:rsidRPr="00122B8A">
        <w:noBreakHyphen/>
      </w:r>
      <w:r w:rsidRPr="00122B8A">
        <w:t>pathway without an assured NHS provider. These patients have undergone initial assessment and preparation and are awaiting further specialist review and, where appropriate, surgery.</w:t>
      </w:r>
    </w:p>
    <w:p w:rsidRPr="00122B8A" w:rsidR="00A7288B" w:rsidP="00A7288B" w:rsidRDefault="00A7288B" w14:paraId="4E5A5E03" w14:textId="77777777">
      <w:pPr>
        <w:ind w:left="57"/>
      </w:pPr>
      <w:r w:rsidRPr="00122B8A">
        <w:t>Without an interim solution:</w:t>
      </w:r>
    </w:p>
    <w:p w:rsidRPr="00122B8A" w:rsidR="00A7288B" w:rsidP="001C4EF8" w:rsidRDefault="00A7288B" w14:paraId="7BD57C84" w14:textId="77777777">
      <w:pPr>
        <w:numPr>
          <w:ilvl w:val="0"/>
          <w:numId w:val="17"/>
        </w:numPr>
        <w:spacing w:after="0" w:line="240" w:lineRule="auto"/>
      </w:pPr>
      <w:r w:rsidRPr="00122B8A">
        <w:t>Patients face significant delays or abandonment of care, increasing clinical risk.</w:t>
      </w:r>
    </w:p>
    <w:p w:rsidRPr="00122B8A" w:rsidR="00A7288B" w:rsidP="001C4EF8" w:rsidRDefault="00A7288B" w14:paraId="4816E10B" w14:textId="77777777">
      <w:pPr>
        <w:numPr>
          <w:ilvl w:val="0"/>
          <w:numId w:val="17"/>
        </w:numPr>
        <w:spacing w:after="0" w:line="240" w:lineRule="auto"/>
      </w:pPr>
      <w:r w:rsidRPr="00122B8A">
        <w:t>Pathways would need to be restarted elsewhere, resulting in inefficiency, duplication and patient harm.</w:t>
      </w:r>
    </w:p>
    <w:p w:rsidRPr="00122B8A" w:rsidR="00A7288B" w:rsidP="001C4EF8" w:rsidRDefault="00A7288B" w14:paraId="30C43E09" w14:textId="77777777">
      <w:pPr>
        <w:numPr>
          <w:ilvl w:val="0"/>
          <w:numId w:val="17"/>
        </w:numPr>
        <w:spacing w:after="0" w:line="240" w:lineRule="auto"/>
      </w:pPr>
      <w:r w:rsidRPr="00122B8A">
        <w:t>There is a material risk of RTT non</w:t>
      </w:r>
      <w:r w:rsidRPr="00122B8A">
        <w:noBreakHyphen/>
      </w:r>
      <w:r w:rsidRPr="00122B8A">
        <w:t>compliance, complaints, and loss of confidence in NHS specialist services.</w:t>
      </w:r>
    </w:p>
    <w:p w:rsidRPr="00122B8A" w:rsidR="00A7288B" w:rsidP="00A7288B" w:rsidRDefault="00A7288B" w14:paraId="738CAD58" w14:textId="77777777">
      <w:pPr>
        <w:ind w:left="57"/>
      </w:pPr>
      <w:r w:rsidRPr="00122B8A">
        <w:t>Given the complexity of this patient group, a pause or fragmentation of care is not clinically acceptable.</w:t>
      </w:r>
    </w:p>
    <w:p w:rsidRPr="00AE2D20" w:rsidR="00B50ABC" w:rsidP="00653AEC" w:rsidRDefault="00B50ABC" w14:paraId="7D6248A7" w14:textId="2D9851C6">
      <w:pPr>
        <w:pStyle w:val="ListParagraph"/>
        <w:numPr>
          <w:ilvl w:val="0"/>
          <w:numId w:val="1"/>
        </w:numPr>
        <w:spacing w:after="0" w:line="240" w:lineRule="auto"/>
        <w:rPr>
          <w:b/>
        </w:rPr>
      </w:pPr>
      <w:r w:rsidRPr="00AE2D20">
        <w:rPr>
          <w:b/>
          <w:bCs/>
        </w:rPr>
        <w:t xml:space="preserve">OPEN AUDIT RECOMMENDATIONS </w:t>
      </w:r>
    </w:p>
    <w:p w:rsidR="00F10DA7" w:rsidP="00B50ABC" w:rsidRDefault="00F10DA7" w14:paraId="486ED4E9" w14:textId="77777777">
      <w:pPr>
        <w:spacing w:after="0" w:line="240" w:lineRule="auto"/>
        <w:rPr>
          <w:b/>
        </w:rPr>
      </w:pPr>
    </w:p>
    <w:p w:rsidR="000617AE" w:rsidP="00B50ABC" w:rsidRDefault="00A7288B" w14:paraId="6E5CC24D" w14:textId="2DCFC4C9">
      <w:pPr>
        <w:spacing w:after="0" w:line="240" w:lineRule="auto"/>
        <w:rPr>
          <w:b/>
        </w:rPr>
      </w:pPr>
      <w:r>
        <w:rPr>
          <w:b/>
        </w:rPr>
        <w:t xml:space="preserve">N/A </w:t>
      </w:r>
    </w:p>
    <w:p w:rsidRPr="00AE2D20" w:rsidR="00A7288B" w:rsidP="00B50ABC" w:rsidRDefault="00A7288B" w14:paraId="6EE54E54" w14:textId="77777777">
      <w:pPr>
        <w:spacing w:after="0" w:line="240" w:lineRule="auto"/>
        <w:rPr>
          <w:b/>
        </w:rPr>
      </w:pPr>
    </w:p>
    <w:p w:rsidR="00653AEC" w:rsidP="00653AEC" w:rsidRDefault="00653AEC" w14:paraId="6D290427" w14:textId="5AD01FD6">
      <w:pPr>
        <w:pStyle w:val="ListParagraph"/>
        <w:numPr>
          <w:ilvl w:val="0"/>
          <w:numId w:val="1"/>
        </w:numPr>
        <w:spacing w:after="0" w:line="240" w:lineRule="auto"/>
        <w:rPr>
          <w:b/>
        </w:rPr>
      </w:pPr>
      <w:r w:rsidRPr="00AE2D20">
        <w:rPr>
          <w:b/>
        </w:rPr>
        <w:t>FINANCIAL IMPLICATIONS</w:t>
      </w:r>
    </w:p>
    <w:p w:rsidRPr="00915778" w:rsidR="00915778" w:rsidP="00A7288B" w:rsidRDefault="00915778" w14:paraId="4F4CAFA9" w14:textId="77777777">
      <w:pPr>
        <w:spacing w:after="0" w:line="240" w:lineRule="auto"/>
        <w:rPr>
          <w:b/>
          <w:bCs/>
        </w:rPr>
      </w:pPr>
      <w:r w:rsidRPr="00915778">
        <w:rPr>
          <w:b/>
          <w:bCs/>
        </w:rPr>
        <w:t>Continuing Healthcare (CHC) Digital Case Management System</w:t>
      </w:r>
    </w:p>
    <w:p w:rsidR="00915778" w:rsidP="00A7288B" w:rsidRDefault="00915778" w14:paraId="27544524" w14:textId="77777777">
      <w:r w:rsidRPr="00006DB9">
        <w:t>The table below details the cost and projected savings profile for the recommended option. The investment comprises an upfront cost of £61,755 in Year 1, followed by annual costs of £40,275 for both Year 2 and Year 3. A benefits analysis indicates anticipated annual savings of £67,000, which will be realised on a quarterly basis.</w:t>
      </w:r>
    </w:p>
    <w:p w:rsidRPr="00114A84" w:rsidR="00915778" w:rsidP="00915778" w:rsidRDefault="00915778" w14:paraId="7ABA1EB9" w14:textId="77777777">
      <w:r w:rsidRPr="00114A84">
        <w:t>The licence costs for the initial three-year period were intended to be funded by Welsh Government through the Value and Sustainability Board. However, the costs submitted by the programme exceed the £500k allocation set aside for the digital solution.</w:t>
      </w:r>
    </w:p>
    <w:p w:rsidR="00915778" w:rsidP="00915778" w:rsidRDefault="00915778" w14:paraId="2A7752F6" w14:textId="0CD82F79">
      <w:r w:rsidRPr="00114A84">
        <w:t xml:space="preserve">At a national CHC workshop held on 11 May 2026, Welsh Government officials confirmed that £500k remains available for 2026/27 and that the digital solution is now included within the newly established CHC workstream of the Value and Sustainability Board. Despite this, there </w:t>
      </w:r>
      <w:r w:rsidRPr="00114A84">
        <w:t>remains uncertainty regarding the timing and distribution of funding to Health Boards.</w:t>
      </w:r>
    </w:p>
    <w:p w:rsidR="00915778" w:rsidP="00915778" w:rsidRDefault="00915778" w14:paraId="79E3C74B" w14:textId="5CA1F744">
      <w:r w:rsidRPr="00114A84">
        <w:t>While it is likely that some, if not all, of the licence costs will be supported by Welsh Government, there will be ongoing recurrent costs that will need to be met by the Health Board. Given that a decision on national funding has been pending for over 12 months, this business case has been developed to enable progress and support timely implementation, rather than delaying further pending national confirmation.</w:t>
      </w:r>
    </w:p>
    <w:p w:rsidR="00915778" w:rsidP="00915778" w:rsidRDefault="00915778" w14:paraId="32618CB8" w14:textId="77777777">
      <w:r>
        <w:t xml:space="preserve">Furthermore, a request has been submitted for external funding via the </w:t>
      </w:r>
      <w:r w:rsidRPr="00620B9F">
        <w:t>Digital Priorities Investment Fund</w:t>
      </w:r>
      <w:r>
        <w:t xml:space="preserve"> (DPIF) for 2026/27 which cover 12 months licence costs and some dedicated workforce resource.  However, at the time of writing this case, the funding had not been agreed.  </w:t>
      </w:r>
    </w:p>
    <w:p w:rsidRPr="0046394E" w:rsidR="00915778" w:rsidP="00915778" w:rsidRDefault="00915778" w14:paraId="31CAACA4" w14:textId="0F41DAAD">
      <w:r>
        <w:t>In 2025/26, £102m was spent on commissioning packages for CHC/ complex care.  The new system will be a key enabler to achieve future savings (i.e. from 2027/28) as a</w:t>
      </w:r>
      <w:r w:rsidRPr="0046394E">
        <w:t xml:space="preserve"> single digital platform allows packages to be commissioned, varied and reviewed in real time, preventing cost drift and retrospective surprises. It enables death and status notifications to be captured promptly, reducing overpayments. It provides the data needed to understand demand, cost and provider performance, supporting better market engagement and strategic commissioning.</w:t>
      </w:r>
    </w:p>
    <w:p w:rsidR="00915778" w:rsidP="00915778" w:rsidRDefault="00915778" w14:paraId="474DD06E" w14:textId="77777777">
      <w:r w:rsidRPr="0046394E">
        <w:t>Given the scale and growth of CHC expenditure, even modest reductions in avoidable spend and administrative burden represent a strong return on investment.</w:t>
      </w:r>
      <w:r>
        <w:t xml:space="preserve">  Funding the system would equate to a 0.06% CIP in year 1 and a recurring CIP of 0.04% from year 2 onwards.</w:t>
      </w:r>
    </w:p>
    <w:p w:rsidR="00915778" w:rsidP="00915778" w:rsidRDefault="00915778" w14:paraId="65292DC7" w14:textId="77CE09ED">
      <w:r w:rsidRPr="00BA46B5">
        <w:rPr>
          <w:noProof/>
        </w:rPr>
        <w:drawing>
          <wp:inline distT="0" distB="0" distL="0" distR="0" wp14:anchorId="365FB2BF" wp14:editId="105927BA">
            <wp:extent cx="5693410" cy="1424940"/>
            <wp:effectExtent l="0" t="0" r="2540" b="3810"/>
            <wp:docPr id="239888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539499" name=""/>
                    <pic:cNvPicPr/>
                  </pic:nvPicPr>
                  <pic:blipFill>
                    <a:blip r:embed="rId11"/>
                    <a:stretch>
                      <a:fillRect/>
                    </a:stretch>
                  </pic:blipFill>
                  <pic:spPr>
                    <a:xfrm>
                      <a:off x="0" y="0"/>
                      <a:ext cx="5693410" cy="1424940"/>
                    </a:xfrm>
                    <a:prstGeom prst="rect">
                      <a:avLst/>
                    </a:prstGeom>
                  </pic:spPr>
                </pic:pic>
              </a:graphicData>
            </a:graphic>
          </wp:inline>
        </w:drawing>
      </w:r>
    </w:p>
    <w:p w:rsidR="000617AE" w:rsidP="00380DE0" w:rsidRDefault="000617AE" w14:paraId="763D72E4" w14:textId="77777777">
      <w:pPr>
        <w:spacing w:after="0" w:line="240" w:lineRule="auto"/>
        <w:jc w:val="both"/>
        <w:rPr>
          <w:b/>
          <w:bCs/>
        </w:rPr>
      </w:pPr>
    </w:p>
    <w:p w:rsidRPr="00762A97" w:rsidR="00762A97" w:rsidP="00762A97" w:rsidRDefault="00762A97" w14:paraId="2E7EC5A5" w14:textId="77777777">
      <w:pPr>
        <w:pStyle w:val="Subtitle"/>
        <w:rPr>
          <w:rFonts w:ascii="Verdana" w:hAnsi="Verdana"/>
          <w:u w:val="none"/>
          <w:lang w:val="en-GB"/>
        </w:rPr>
      </w:pPr>
      <w:r w:rsidRPr="00762A97">
        <w:rPr>
          <w:rFonts w:ascii="Verdana" w:hAnsi="Verdana"/>
          <w:noProof/>
          <w:u w:val="none"/>
        </w:rPr>
        <w:t>Interim extension of the Welsh Institute of Metabolic and Obesity Surgery to North Wales residents</w:t>
      </w:r>
    </w:p>
    <w:p w:rsidRPr="00A7288B" w:rsidR="00A7288B" w:rsidP="00A7288B" w:rsidRDefault="00A7288B" w14:paraId="72781CB4" w14:textId="77777777">
      <w:pPr>
        <w:pStyle w:val="NormalWeb"/>
        <w:spacing w:line="300" w:lineRule="atLeast"/>
        <w:rPr>
          <w:rFonts w:ascii="Verdana" w:hAnsi="Verdana" w:cs="Arial"/>
        </w:rPr>
      </w:pPr>
      <w:r w:rsidRPr="00A7288B">
        <w:rPr>
          <w:rFonts w:ascii="Verdana" w:hAnsi="Verdana" w:cs="Arial"/>
        </w:rPr>
        <w:t>The proposal requires a defined, time</w:t>
      </w:r>
      <w:r w:rsidRPr="00A7288B">
        <w:rPr>
          <w:rFonts w:ascii="Verdana" w:hAnsi="Verdana"/>
        </w:rPr>
        <w:noBreakHyphen/>
      </w:r>
      <w:r w:rsidRPr="00A7288B">
        <w:rPr>
          <w:rFonts w:ascii="Verdana" w:hAnsi="Verdana" w:cs="Arial"/>
        </w:rPr>
        <w:t xml:space="preserve">limited increase in revenue expenditure to support additional MDT capacity and digital enablement. Total additional MDT costs are estimated at approximately £396k over the delivery period, equating to a cost per case that remains below reimbursement levels. Surgical activity continues to be reimbursed under </w:t>
      </w:r>
      <w:r w:rsidRPr="00A7288B">
        <w:rPr>
          <w:rFonts w:ascii="Verdana" w:hAnsi="Verdana" w:cs="Arial"/>
        </w:rPr>
        <w:t>the existing Service Level Agreement, and modelling includes a substantial contingency for low</w:t>
      </w:r>
      <w:r w:rsidRPr="00A7288B">
        <w:rPr>
          <w:rFonts w:ascii="Verdana" w:hAnsi="Verdana"/>
        </w:rPr>
        <w:noBreakHyphen/>
      </w:r>
      <w:r w:rsidRPr="00A7288B">
        <w:rPr>
          <w:rFonts w:ascii="Verdana" w:hAnsi="Verdana" w:cs="Arial"/>
        </w:rPr>
        <w:t>frequency, high</w:t>
      </w:r>
      <w:r w:rsidRPr="00A7288B">
        <w:rPr>
          <w:rFonts w:ascii="Verdana" w:hAnsi="Verdana"/>
        </w:rPr>
        <w:noBreakHyphen/>
      </w:r>
      <w:r w:rsidRPr="00A7288B">
        <w:rPr>
          <w:rFonts w:ascii="Verdana" w:hAnsi="Verdana" w:cs="Arial"/>
        </w:rPr>
        <w:t>cost complications.</w:t>
      </w:r>
    </w:p>
    <w:p w:rsidRPr="00A7288B" w:rsidR="00A7288B" w:rsidP="00A7288B" w:rsidRDefault="00A7288B" w14:paraId="04F2194F" w14:textId="77777777">
      <w:pPr>
        <w:pStyle w:val="NormalWeb"/>
        <w:spacing w:line="300" w:lineRule="atLeast"/>
        <w:rPr>
          <w:rFonts w:ascii="Verdana" w:hAnsi="Verdana" w:cs="Arial"/>
        </w:rPr>
      </w:pPr>
      <w:r w:rsidRPr="00A7288B">
        <w:rPr>
          <w:rFonts w:ascii="Verdana" w:hAnsi="Verdana" w:cs="Arial"/>
        </w:rPr>
        <w:t>There is no capital requirement associated with the proposal. Digital infrastructure required for the pathway solution is already in place within SBUHB, and the proposed system can be expanded without additional capital investment.</w:t>
      </w:r>
    </w:p>
    <w:p w:rsidRPr="00A7288B" w:rsidR="00A7288B" w:rsidP="00A7288B" w:rsidRDefault="00A7288B" w14:paraId="56C19F2D" w14:textId="77777777">
      <w:pPr>
        <w:pStyle w:val="NormalWeb"/>
        <w:spacing w:line="300" w:lineRule="atLeast"/>
        <w:rPr>
          <w:rFonts w:ascii="Verdana" w:hAnsi="Verdana" w:cs="Arial"/>
        </w:rPr>
      </w:pPr>
      <w:r w:rsidRPr="00A7288B">
        <w:rPr>
          <w:rFonts w:ascii="Verdana" w:hAnsi="Verdana" w:cs="Arial"/>
        </w:rPr>
        <w:t>Ongoing financial management will require agreement with the NWJCC on interim funding arrangements, alongside routine monitoring of activity, unit costs and complication rates to ensure affordability and value for money are maintained throughout delivery.</w:t>
      </w:r>
    </w:p>
    <w:p w:rsidRPr="00A7288B" w:rsidR="00A7288B" w:rsidP="00A7288B" w:rsidRDefault="00A7288B" w14:paraId="5D045305" w14:textId="77777777">
      <w:pPr>
        <w:spacing w:line="300" w:lineRule="atLeast"/>
      </w:pPr>
      <w:r w:rsidRPr="00A7288B">
        <w:t xml:space="preserve">Assumptions following scrutiny of all patients: </w:t>
      </w:r>
    </w:p>
    <w:p w:rsidR="00B371C5" w:rsidP="001C4EF8" w:rsidRDefault="00A7288B" w14:paraId="314A02CE" w14:textId="77777777">
      <w:pPr>
        <w:pStyle w:val="ListParagraph"/>
        <w:numPr>
          <w:ilvl w:val="0"/>
          <w:numId w:val="26"/>
        </w:numPr>
      </w:pPr>
      <w:r w:rsidRPr="00A7288B">
        <w:t xml:space="preserve">A total of 55 to 65 referrals; primary surgery for the vast majority, but 3-5 have been identified as complications or revisional surgery; mostly moderate to high complexity. </w:t>
      </w:r>
    </w:p>
    <w:p w:rsidRPr="00A7288B" w:rsidR="00A7288B" w:rsidP="001C4EF8" w:rsidRDefault="00A7288B" w14:paraId="0F925D70" w14:textId="26A55F69">
      <w:pPr>
        <w:pStyle w:val="ListParagraph"/>
        <w:numPr>
          <w:ilvl w:val="0"/>
          <w:numId w:val="26"/>
        </w:numPr>
      </w:pPr>
      <w:r w:rsidRPr="00A7288B">
        <w:t xml:space="preserve">Expectation from JCC that SBUHB will process referrals within 104 weeks of receipt at WIMOS. Every effort will be made to complete the pathway (to operation or discharge) within 104 weeks according to the prior (Salford) pathway – which is likely achievable for a majority. </w:t>
      </w:r>
    </w:p>
    <w:tbl>
      <w:tblPr>
        <w:tblW w:w="0" w:type="auto"/>
        <w:tblBorders>
          <w:top w:val="single" w:color="auto" w:sz="6" w:space="0"/>
          <w:left w:val="single" w:color="auto" w:sz="6" w:space="0"/>
          <w:bottom w:val="single" w:color="auto" w:sz="6" w:space="0"/>
          <w:right w:val="single" w:color="auto" w:sz="6" w:space="0"/>
        </w:tblBorders>
        <w:tblLook w:val="04A0" w:firstRow="1" w:lastRow="0" w:firstColumn="1" w:lastColumn="0" w:noHBand="0" w:noVBand="1"/>
      </w:tblPr>
      <w:tblGrid>
        <w:gridCol w:w="2479"/>
        <w:gridCol w:w="2747"/>
        <w:gridCol w:w="1947"/>
        <w:gridCol w:w="1833"/>
      </w:tblGrid>
      <w:tr w:rsidRPr="00A7288B" w:rsidR="00A7288B" w:rsidTr="00FE166F" w14:paraId="03711F2D" w14:textId="77777777">
        <w:trPr>
          <w:trHeight w:val="285"/>
        </w:trPr>
        <w:tc>
          <w:tcPr>
            <w:tcW w:w="250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7D175DA9" w14:textId="77777777">
            <w:pPr>
              <w:rPr>
                <w:rFonts w:eastAsia="Calibri" w:cs="Calibri"/>
                <w:color w:val="000000" w:themeColor="text1"/>
                <w:sz w:val="22"/>
                <w:szCs w:val="22"/>
              </w:rPr>
            </w:pPr>
          </w:p>
        </w:tc>
        <w:tc>
          <w:tcPr>
            <w:tcW w:w="6581" w:type="dxa"/>
            <w:gridSpan w:val="3"/>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047123A5" w14:textId="77777777">
            <w:pPr>
              <w:rPr>
                <w:rFonts w:eastAsia="Calibri" w:cs="Calibri"/>
                <w:color w:val="000000" w:themeColor="text1"/>
                <w:sz w:val="22"/>
                <w:szCs w:val="22"/>
              </w:rPr>
            </w:pPr>
            <w:r w:rsidRPr="00A7288B">
              <w:rPr>
                <w:rFonts w:eastAsia="Calibri" w:cs="Calibri"/>
                <w:b/>
                <w:bCs/>
                <w:color w:val="000000" w:themeColor="text1"/>
                <w:sz w:val="22"/>
                <w:szCs w:val="22"/>
              </w:rPr>
              <w:t xml:space="preserve">55-65 cases </w:t>
            </w:r>
            <w:r w:rsidRPr="00A7288B">
              <w:rPr>
                <w:rFonts w:eastAsia="Calibri" w:cs="Calibri"/>
                <w:color w:val="000000" w:themeColor="text1"/>
                <w:sz w:val="22"/>
                <w:szCs w:val="22"/>
              </w:rPr>
              <w:t xml:space="preserve"> </w:t>
            </w:r>
          </w:p>
        </w:tc>
      </w:tr>
      <w:tr w:rsidRPr="00A7288B" w:rsidR="00A7288B" w:rsidTr="00FE166F" w14:paraId="7763DBD3" w14:textId="77777777">
        <w:trPr>
          <w:trHeight w:val="285"/>
        </w:trPr>
        <w:tc>
          <w:tcPr>
            <w:tcW w:w="250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25C5B799" w14:textId="77777777">
            <w:pPr>
              <w:rPr>
                <w:rFonts w:eastAsia="Calibri" w:cs="Calibri"/>
                <w:color w:val="000000" w:themeColor="text1"/>
                <w:sz w:val="22"/>
                <w:szCs w:val="22"/>
              </w:rPr>
            </w:pPr>
            <w:r w:rsidRPr="00A7288B">
              <w:rPr>
                <w:rFonts w:eastAsia="Calibri" w:cs="Calibri"/>
                <w:b/>
                <w:bCs/>
                <w:color w:val="000000" w:themeColor="text1"/>
                <w:sz w:val="22"/>
                <w:szCs w:val="22"/>
              </w:rPr>
              <w:t>MDT member</w:t>
            </w:r>
            <w:r w:rsidRPr="00A7288B">
              <w:rPr>
                <w:rFonts w:eastAsia="Calibri" w:cs="Calibri"/>
                <w:color w:val="000000" w:themeColor="text1"/>
                <w:sz w:val="22"/>
                <w:szCs w:val="22"/>
              </w:rPr>
              <w:t xml:space="preserve"> </w:t>
            </w:r>
          </w:p>
        </w:tc>
        <w:tc>
          <w:tcPr>
            <w:tcW w:w="277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2D212F8A" w14:textId="77777777">
            <w:pPr>
              <w:rPr>
                <w:rFonts w:eastAsia="Calibri" w:cs="Calibri"/>
                <w:color w:val="000000" w:themeColor="text1"/>
                <w:sz w:val="22"/>
                <w:szCs w:val="22"/>
              </w:rPr>
            </w:pPr>
            <w:r w:rsidRPr="00A7288B">
              <w:rPr>
                <w:rFonts w:eastAsia="Calibri" w:cs="Calibri"/>
                <w:b/>
                <w:bCs/>
                <w:color w:val="000000" w:themeColor="text1"/>
                <w:sz w:val="22"/>
                <w:szCs w:val="22"/>
              </w:rPr>
              <w:t xml:space="preserve">Additional requirement </w:t>
            </w:r>
            <w:r w:rsidRPr="00A7288B">
              <w:rPr>
                <w:rFonts w:eastAsia="Calibri" w:cs="Calibri"/>
                <w:color w:val="000000" w:themeColor="text1"/>
                <w:sz w:val="22"/>
                <w:szCs w:val="22"/>
              </w:rPr>
              <w:t xml:space="preserve"> </w:t>
            </w:r>
          </w:p>
          <w:p w:rsidRPr="00A7288B" w:rsidR="00A7288B" w:rsidP="00FE166F" w:rsidRDefault="00A7288B" w14:paraId="6D299B7E" w14:textId="77777777">
            <w:pPr>
              <w:rPr>
                <w:rFonts w:eastAsia="Calibri" w:cs="Calibri"/>
                <w:color w:val="000000" w:themeColor="text1"/>
                <w:sz w:val="22"/>
                <w:szCs w:val="22"/>
              </w:rPr>
            </w:pPr>
            <w:r w:rsidRPr="00A7288B">
              <w:rPr>
                <w:rFonts w:eastAsia="Calibri" w:cs="Calibri"/>
                <w:b/>
                <w:bCs/>
                <w:color w:val="000000" w:themeColor="text1"/>
                <w:sz w:val="22"/>
                <w:szCs w:val="22"/>
              </w:rPr>
              <w:t>(WTE unless stated)</w:t>
            </w:r>
            <w:r w:rsidRPr="00A7288B">
              <w:rPr>
                <w:rFonts w:eastAsia="Calibri" w:cs="Calibri"/>
                <w:color w:val="000000" w:themeColor="text1"/>
                <w:sz w:val="22"/>
                <w:szCs w:val="22"/>
              </w:rPr>
              <w:t xml:space="preserve"> </w:t>
            </w:r>
          </w:p>
        </w:tc>
        <w:tc>
          <w:tcPr>
            <w:tcW w:w="1965" w:type="dxa"/>
            <w:tcBorders>
              <w:top w:val="nil"/>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703F3339" w14:textId="77777777">
            <w:pPr>
              <w:jc w:val="right"/>
              <w:rPr>
                <w:rFonts w:eastAsia="Calibri" w:cs="Calibri"/>
                <w:color w:val="000000" w:themeColor="text1"/>
                <w:sz w:val="22"/>
                <w:szCs w:val="22"/>
              </w:rPr>
            </w:pPr>
            <w:r w:rsidRPr="00A7288B">
              <w:rPr>
                <w:rFonts w:eastAsia="Calibri" w:cs="Calibri"/>
                <w:b/>
                <w:bCs/>
                <w:color w:val="000000" w:themeColor="text1"/>
                <w:sz w:val="22"/>
                <w:szCs w:val="22"/>
              </w:rPr>
              <w:t>Duration (years)</w:t>
            </w:r>
            <w:r w:rsidRPr="00A7288B">
              <w:rPr>
                <w:rFonts w:eastAsia="Calibri" w:cs="Calibri"/>
                <w:color w:val="000000" w:themeColor="text1"/>
                <w:sz w:val="22"/>
                <w:szCs w:val="22"/>
              </w:rPr>
              <w:t xml:space="preserve"> </w:t>
            </w:r>
          </w:p>
        </w:tc>
        <w:tc>
          <w:tcPr>
            <w:tcW w:w="1841" w:type="dxa"/>
            <w:tcBorders>
              <w:top w:val="nil"/>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439CF4B0" w14:textId="77777777">
            <w:pPr>
              <w:jc w:val="right"/>
              <w:rPr>
                <w:rFonts w:eastAsia="Calibri" w:cs="Calibri"/>
                <w:color w:val="000000" w:themeColor="text1"/>
                <w:sz w:val="22"/>
                <w:szCs w:val="22"/>
              </w:rPr>
            </w:pPr>
            <w:r w:rsidRPr="00A7288B">
              <w:rPr>
                <w:rFonts w:eastAsia="Calibri" w:cs="Calibri"/>
                <w:b/>
                <w:bCs/>
                <w:color w:val="000000" w:themeColor="text1"/>
                <w:sz w:val="22"/>
                <w:szCs w:val="22"/>
              </w:rPr>
              <w:t>Cost</w:t>
            </w:r>
            <w:r w:rsidRPr="00A7288B">
              <w:rPr>
                <w:rFonts w:eastAsia="Calibri" w:cs="Calibri"/>
                <w:color w:val="000000" w:themeColor="text1"/>
                <w:sz w:val="22"/>
                <w:szCs w:val="22"/>
              </w:rPr>
              <w:t xml:space="preserve"> </w:t>
            </w:r>
          </w:p>
        </w:tc>
      </w:tr>
      <w:tr w:rsidRPr="00A7288B" w:rsidR="00A7288B" w:rsidTr="00FE166F" w14:paraId="25935E7C" w14:textId="77777777">
        <w:trPr>
          <w:trHeight w:val="285"/>
        </w:trPr>
        <w:tc>
          <w:tcPr>
            <w:tcW w:w="250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4CF53054" w14:textId="77777777">
            <w:pPr>
              <w:rPr>
                <w:rFonts w:eastAsia="Calibri" w:cs="Calibri"/>
                <w:color w:val="000000" w:themeColor="text1"/>
                <w:sz w:val="22"/>
                <w:szCs w:val="22"/>
              </w:rPr>
            </w:pPr>
            <w:r w:rsidRPr="00A7288B">
              <w:rPr>
                <w:rFonts w:eastAsia="Calibri" w:cs="Calibri"/>
                <w:color w:val="000000" w:themeColor="text1"/>
                <w:sz w:val="22"/>
                <w:szCs w:val="22"/>
              </w:rPr>
              <w:t xml:space="preserve">Specialist Dietitian 8a </w:t>
            </w:r>
          </w:p>
        </w:tc>
        <w:tc>
          <w:tcPr>
            <w:tcW w:w="277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754BD7F6"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0.6 </w:t>
            </w:r>
          </w:p>
        </w:tc>
        <w:tc>
          <w:tcPr>
            <w:tcW w:w="196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79A8E336"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1.5 yr </w:t>
            </w:r>
          </w:p>
        </w:tc>
        <w:tc>
          <w:tcPr>
            <w:tcW w:w="1841"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5F218FB8"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68709.60 </w:t>
            </w:r>
          </w:p>
        </w:tc>
      </w:tr>
      <w:tr w:rsidRPr="00A7288B" w:rsidR="00A7288B" w:rsidTr="00FE166F" w14:paraId="529DDF83" w14:textId="77777777">
        <w:trPr>
          <w:trHeight w:val="285"/>
        </w:trPr>
        <w:tc>
          <w:tcPr>
            <w:tcW w:w="250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219C9051" w14:textId="77777777">
            <w:pPr>
              <w:rPr>
                <w:rFonts w:eastAsia="Calibri" w:cs="Calibri"/>
                <w:color w:val="000000" w:themeColor="text1"/>
                <w:sz w:val="22"/>
                <w:szCs w:val="22"/>
              </w:rPr>
            </w:pPr>
            <w:r w:rsidRPr="00A7288B">
              <w:rPr>
                <w:rFonts w:eastAsia="Calibri" w:cs="Calibri"/>
                <w:color w:val="000000" w:themeColor="text1"/>
                <w:sz w:val="22"/>
                <w:szCs w:val="22"/>
              </w:rPr>
              <w:t xml:space="preserve">CNS 7 </w:t>
            </w:r>
          </w:p>
        </w:tc>
        <w:tc>
          <w:tcPr>
            <w:tcW w:w="277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0E594207"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0.6 </w:t>
            </w:r>
          </w:p>
        </w:tc>
        <w:tc>
          <w:tcPr>
            <w:tcW w:w="196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1146CEC7"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3 yr </w:t>
            </w:r>
          </w:p>
        </w:tc>
        <w:tc>
          <w:tcPr>
            <w:tcW w:w="1841"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64775FAA"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117945.00  </w:t>
            </w:r>
          </w:p>
        </w:tc>
      </w:tr>
      <w:tr w:rsidRPr="00A7288B" w:rsidR="00A7288B" w:rsidTr="00FE166F" w14:paraId="1F9B1685" w14:textId="77777777">
        <w:trPr>
          <w:trHeight w:val="285"/>
        </w:trPr>
        <w:tc>
          <w:tcPr>
            <w:tcW w:w="250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0D948DDE" w14:textId="77777777">
            <w:pPr>
              <w:rPr>
                <w:rFonts w:eastAsia="Calibri" w:cs="Calibri"/>
                <w:color w:val="000000" w:themeColor="text1"/>
                <w:sz w:val="22"/>
                <w:szCs w:val="22"/>
              </w:rPr>
            </w:pPr>
            <w:r w:rsidRPr="00A7288B">
              <w:rPr>
                <w:rFonts w:eastAsia="Calibri" w:cs="Calibri"/>
                <w:color w:val="000000" w:themeColor="text1"/>
                <w:sz w:val="22"/>
                <w:szCs w:val="22"/>
              </w:rPr>
              <w:t xml:space="preserve">Coord 4 </w:t>
            </w:r>
          </w:p>
        </w:tc>
        <w:tc>
          <w:tcPr>
            <w:tcW w:w="277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171338FF"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0.2 </w:t>
            </w:r>
          </w:p>
        </w:tc>
        <w:tc>
          <w:tcPr>
            <w:tcW w:w="196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577E3CB7"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3 yr </w:t>
            </w:r>
          </w:p>
        </w:tc>
        <w:tc>
          <w:tcPr>
            <w:tcW w:w="1841"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20EC2D85"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23407.80 </w:t>
            </w:r>
          </w:p>
        </w:tc>
      </w:tr>
      <w:tr w:rsidRPr="00A7288B" w:rsidR="00A7288B" w:rsidTr="00FE166F" w14:paraId="14C9EA53" w14:textId="77777777">
        <w:trPr>
          <w:trHeight w:val="525"/>
        </w:trPr>
        <w:tc>
          <w:tcPr>
            <w:tcW w:w="250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1BBB9F92" w14:textId="77777777">
            <w:pPr>
              <w:rPr>
                <w:rFonts w:eastAsia="Calibri" w:cs="Calibri"/>
                <w:color w:val="000000" w:themeColor="text1"/>
                <w:sz w:val="22"/>
                <w:szCs w:val="22"/>
              </w:rPr>
            </w:pPr>
            <w:r w:rsidRPr="00A7288B">
              <w:rPr>
                <w:rFonts w:eastAsia="Calibri" w:cs="Calibri"/>
                <w:color w:val="000000" w:themeColor="text1"/>
                <w:sz w:val="22"/>
                <w:szCs w:val="22"/>
              </w:rPr>
              <w:t xml:space="preserve">OPD/Admin Band 4 </w:t>
            </w:r>
          </w:p>
        </w:tc>
        <w:tc>
          <w:tcPr>
            <w:tcW w:w="277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07E560CF"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0.4 </w:t>
            </w:r>
          </w:p>
        </w:tc>
        <w:tc>
          <w:tcPr>
            <w:tcW w:w="196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05BFA498"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3 yr </w:t>
            </w:r>
          </w:p>
        </w:tc>
        <w:tc>
          <w:tcPr>
            <w:tcW w:w="1841"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241A01F5"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46815.60 </w:t>
            </w:r>
          </w:p>
        </w:tc>
      </w:tr>
      <w:tr w:rsidRPr="00A7288B" w:rsidR="00A7288B" w:rsidTr="00FE166F" w14:paraId="1D017D60" w14:textId="77777777">
        <w:trPr>
          <w:trHeight w:val="285"/>
        </w:trPr>
        <w:tc>
          <w:tcPr>
            <w:tcW w:w="250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212F2F39" w14:textId="77777777">
            <w:pPr>
              <w:rPr>
                <w:rFonts w:eastAsia="Calibri" w:cs="Calibri"/>
                <w:color w:val="000000" w:themeColor="text1"/>
                <w:sz w:val="22"/>
                <w:szCs w:val="22"/>
              </w:rPr>
            </w:pPr>
            <w:r w:rsidRPr="00A7288B">
              <w:rPr>
                <w:rFonts w:eastAsia="Calibri" w:cs="Calibri"/>
                <w:color w:val="000000" w:themeColor="text1"/>
                <w:sz w:val="22"/>
                <w:szCs w:val="22"/>
              </w:rPr>
              <w:t xml:space="preserve">Database subscription </w:t>
            </w:r>
          </w:p>
        </w:tc>
        <w:tc>
          <w:tcPr>
            <w:tcW w:w="277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2A33529C"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£19253.33 </w:t>
            </w:r>
          </w:p>
        </w:tc>
        <w:tc>
          <w:tcPr>
            <w:tcW w:w="196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0DF4E74B"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3 yr </w:t>
            </w:r>
          </w:p>
        </w:tc>
        <w:tc>
          <w:tcPr>
            <w:tcW w:w="1841"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0759D9B4"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57760.00 </w:t>
            </w:r>
          </w:p>
        </w:tc>
      </w:tr>
      <w:tr w:rsidRPr="00A7288B" w:rsidR="00A7288B" w:rsidTr="00FE166F" w14:paraId="7E0C8923" w14:textId="77777777">
        <w:trPr>
          <w:trHeight w:val="285"/>
        </w:trPr>
        <w:tc>
          <w:tcPr>
            <w:tcW w:w="250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5D337B14" w14:textId="77777777">
            <w:pPr>
              <w:rPr>
                <w:rFonts w:eastAsia="Calibri" w:cs="Calibri"/>
                <w:color w:val="000000" w:themeColor="text1"/>
                <w:sz w:val="22"/>
                <w:szCs w:val="22"/>
              </w:rPr>
            </w:pPr>
            <w:r w:rsidRPr="00A7288B">
              <w:rPr>
                <w:rFonts w:eastAsia="Calibri" w:cs="Calibri"/>
                <w:color w:val="000000" w:themeColor="text1"/>
                <w:sz w:val="22"/>
                <w:szCs w:val="22"/>
              </w:rPr>
              <w:t xml:space="preserve">Database Officer Band 5 </w:t>
            </w:r>
          </w:p>
        </w:tc>
        <w:tc>
          <w:tcPr>
            <w:tcW w:w="277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1B0598BE"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0.2 </w:t>
            </w:r>
          </w:p>
        </w:tc>
        <w:tc>
          <w:tcPr>
            <w:tcW w:w="196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40C168C5"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3 yr </w:t>
            </w:r>
          </w:p>
        </w:tc>
        <w:tc>
          <w:tcPr>
            <w:tcW w:w="1841"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56DD2CCD"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29446.20 </w:t>
            </w:r>
          </w:p>
        </w:tc>
      </w:tr>
      <w:tr w:rsidRPr="00A7288B" w:rsidR="00A7288B" w:rsidTr="00FE166F" w14:paraId="519ABCBA" w14:textId="77777777">
        <w:trPr>
          <w:trHeight w:val="285"/>
        </w:trPr>
        <w:tc>
          <w:tcPr>
            <w:tcW w:w="250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41F60DA8" w14:textId="77777777">
            <w:pPr>
              <w:rPr>
                <w:rFonts w:eastAsia="Calibri" w:cs="Calibri"/>
                <w:color w:val="000000" w:themeColor="text1"/>
                <w:sz w:val="22"/>
                <w:szCs w:val="22"/>
              </w:rPr>
            </w:pPr>
            <w:r w:rsidRPr="00A7288B">
              <w:rPr>
                <w:rFonts w:eastAsia="Calibri" w:cs="Calibri"/>
                <w:color w:val="000000" w:themeColor="text1"/>
                <w:sz w:val="22"/>
                <w:szCs w:val="22"/>
              </w:rPr>
              <w:t xml:space="preserve">Diagnostics </w:t>
            </w:r>
          </w:p>
        </w:tc>
        <w:tc>
          <w:tcPr>
            <w:tcW w:w="277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1776CF4F"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£314.82/pt </w:t>
            </w:r>
          </w:p>
        </w:tc>
        <w:tc>
          <w:tcPr>
            <w:tcW w:w="196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43FBC50B"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64 pts </w:t>
            </w:r>
          </w:p>
        </w:tc>
        <w:tc>
          <w:tcPr>
            <w:tcW w:w="1841"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2CC30B71"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20148.70 </w:t>
            </w:r>
          </w:p>
        </w:tc>
      </w:tr>
      <w:tr w:rsidRPr="00A7288B" w:rsidR="00A7288B" w:rsidTr="00FE166F" w14:paraId="31E58206" w14:textId="77777777">
        <w:trPr>
          <w:trHeight w:val="285"/>
        </w:trPr>
        <w:tc>
          <w:tcPr>
            <w:tcW w:w="250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3846FAC5" w14:textId="77777777">
            <w:pPr>
              <w:rPr>
                <w:rFonts w:eastAsia="Calibri" w:cs="Calibri"/>
                <w:color w:val="000000" w:themeColor="text1"/>
                <w:sz w:val="22"/>
                <w:szCs w:val="22"/>
              </w:rPr>
            </w:pPr>
            <w:r w:rsidRPr="00A7288B">
              <w:rPr>
                <w:rFonts w:eastAsia="Calibri" w:cs="Calibri"/>
                <w:color w:val="000000" w:themeColor="text1"/>
                <w:sz w:val="22"/>
                <w:szCs w:val="22"/>
              </w:rPr>
              <w:t xml:space="preserve">Surgeon (0.75 session) </w:t>
            </w:r>
          </w:p>
        </w:tc>
        <w:tc>
          <w:tcPr>
            <w:tcW w:w="277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160F312F"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0.075 </w:t>
            </w:r>
          </w:p>
        </w:tc>
        <w:tc>
          <w:tcPr>
            <w:tcW w:w="196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5FDE94D7"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1.5 yr </w:t>
            </w:r>
          </w:p>
        </w:tc>
        <w:tc>
          <w:tcPr>
            <w:tcW w:w="1841"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7900E1DB"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18439.50 </w:t>
            </w:r>
          </w:p>
        </w:tc>
      </w:tr>
      <w:tr w:rsidRPr="00A7288B" w:rsidR="00A7288B" w:rsidTr="00FE166F" w14:paraId="21FABCCF" w14:textId="77777777">
        <w:trPr>
          <w:trHeight w:val="285"/>
        </w:trPr>
        <w:tc>
          <w:tcPr>
            <w:tcW w:w="250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4CB9F692" w14:textId="77777777">
            <w:pPr>
              <w:rPr>
                <w:rFonts w:eastAsia="Calibri" w:cs="Calibri"/>
                <w:color w:val="000000" w:themeColor="text1"/>
                <w:sz w:val="22"/>
                <w:szCs w:val="22"/>
              </w:rPr>
            </w:pPr>
            <w:r w:rsidRPr="00A7288B">
              <w:rPr>
                <w:rFonts w:eastAsia="Calibri" w:cs="Calibri"/>
                <w:color w:val="000000" w:themeColor="text1"/>
                <w:sz w:val="22"/>
                <w:szCs w:val="22"/>
              </w:rPr>
              <w:t xml:space="preserve">Psychologist 8a </w:t>
            </w:r>
          </w:p>
        </w:tc>
        <w:tc>
          <w:tcPr>
            <w:tcW w:w="277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15352971"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0.2 </w:t>
            </w:r>
          </w:p>
        </w:tc>
        <w:tc>
          <w:tcPr>
            <w:tcW w:w="196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338384D5"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1 yr </w:t>
            </w:r>
          </w:p>
        </w:tc>
        <w:tc>
          <w:tcPr>
            <w:tcW w:w="1841"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578B9C5F"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15268.80 </w:t>
            </w:r>
          </w:p>
        </w:tc>
      </w:tr>
      <w:tr w:rsidRPr="00A7288B" w:rsidR="00A7288B" w:rsidTr="00FE166F" w14:paraId="7ED8A33F" w14:textId="77777777">
        <w:trPr>
          <w:trHeight w:val="285"/>
        </w:trPr>
        <w:tc>
          <w:tcPr>
            <w:tcW w:w="250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2B2A11F0" w14:textId="77777777">
            <w:pPr>
              <w:rPr>
                <w:rFonts w:eastAsia="Calibri" w:cs="Calibri"/>
                <w:color w:val="000000" w:themeColor="text1"/>
                <w:sz w:val="22"/>
                <w:szCs w:val="22"/>
              </w:rPr>
            </w:pPr>
            <w:r w:rsidRPr="00A7288B">
              <w:rPr>
                <w:rFonts w:eastAsia="Calibri" w:cs="Calibri"/>
                <w:b/>
                <w:bCs/>
                <w:color w:val="000000" w:themeColor="text1"/>
                <w:sz w:val="22"/>
                <w:szCs w:val="22"/>
              </w:rPr>
              <w:t>TOTAL</w:t>
            </w:r>
            <w:r w:rsidRPr="00A7288B">
              <w:rPr>
                <w:rFonts w:eastAsia="Calibri" w:cs="Calibri"/>
                <w:color w:val="000000" w:themeColor="text1"/>
                <w:sz w:val="22"/>
                <w:szCs w:val="22"/>
              </w:rPr>
              <w:t xml:space="preserve"> </w:t>
            </w:r>
          </w:p>
        </w:tc>
        <w:tc>
          <w:tcPr>
            <w:tcW w:w="277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07FEFBA2"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 </w:t>
            </w:r>
          </w:p>
        </w:tc>
        <w:tc>
          <w:tcPr>
            <w:tcW w:w="196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5C08285A"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 </w:t>
            </w:r>
          </w:p>
        </w:tc>
        <w:tc>
          <w:tcPr>
            <w:tcW w:w="1841"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4000EEDE" w14:textId="77777777">
            <w:pPr>
              <w:jc w:val="right"/>
              <w:rPr>
                <w:rFonts w:eastAsia="Calibri" w:cs="Calibri"/>
                <w:color w:val="000000" w:themeColor="text1"/>
                <w:sz w:val="22"/>
                <w:szCs w:val="22"/>
              </w:rPr>
            </w:pPr>
            <w:r w:rsidRPr="00A7288B">
              <w:rPr>
                <w:rFonts w:eastAsia="Calibri" w:cs="Calibri"/>
                <w:b/>
                <w:bCs/>
                <w:color w:val="000000" w:themeColor="text1"/>
                <w:sz w:val="22"/>
                <w:szCs w:val="22"/>
              </w:rPr>
              <w:t>397941.33</w:t>
            </w:r>
            <w:r w:rsidRPr="00A7288B">
              <w:rPr>
                <w:rFonts w:eastAsia="Calibri" w:cs="Calibri"/>
                <w:color w:val="000000" w:themeColor="text1"/>
                <w:sz w:val="22"/>
                <w:szCs w:val="22"/>
              </w:rPr>
              <w:t xml:space="preserve"> </w:t>
            </w:r>
          </w:p>
        </w:tc>
      </w:tr>
      <w:tr w:rsidRPr="00A7288B" w:rsidR="00A7288B" w:rsidTr="00FE166F" w14:paraId="0628CE41" w14:textId="77777777">
        <w:trPr>
          <w:trHeight w:val="285"/>
        </w:trPr>
        <w:tc>
          <w:tcPr>
            <w:tcW w:w="250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57FB979B" w14:textId="77777777">
            <w:pPr>
              <w:rPr>
                <w:rFonts w:eastAsia="Calibri" w:cs="Calibri"/>
                <w:color w:val="000000" w:themeColor="text1"/>
                <w:sz w:val="22"/>
                <w:szCs w:val="22"/>
              </w:rPr>
            </w:pPr>
            <w:r w:rsidRPr="00A7288B">
              <w:rPr>
                <w:rFonts w:eastAsia="Calibri" w:cs="Calibri"/>
                <w:b/>
                <w:bCs/>
                <w:color w:val="000000" w:themeColor="text1"/>
                <w:sz w:val="22"/>
                <w:szCs w:val="22"/>
              </w:rPr>
              <w:t xml:space="preserve">MDT cost/case </w:t>
            </w:r>
            <w:r w:rsidRPr="00A7288B">
              <w:rPr>
                <w:rFonts w:eastAsia="Calibri" w:cs="Calibri"/>
                <w:color w:val="000000" w:themeColor="text1"/>
                <w:sz w:val="22"/>
                <w:szCs w:val="22"/>
              </w:rPr>
              <w:t xml:space="preserve"> </w:t>
            </w:r>
          </w:p>
          <w:p w:rsidRPr="00A7288B" w:rsidR="00A7288B" w:rsidP="00FE166F" w:rsidRDefault="00A7288B" w14:paraId="69F3E88D" w14:textId="77777777">
            <w:pPr>
              <w:rPr>
                <w:rFonts w:eastAsia="Calibri" w:cs="Calibri"/>
                <w:color w:val="000000" w:themeColor="text1"/>
                <w:sz w:val="22"/>
                <w:szCs w:val="22"/>
              </w:rPr>
            </w:pPr>
            <w:r w:rsidRPr="00A7288B">
              <w:rPr>
                <w:rFonts w:eastAsia="Calibri" w:cs="Calibri"/>
                <w:b/>
                <w:bCs/>
                <w:color w:val="000000" w:themeColor="text1"/>
                <w:sz w:val="22"/>
                <w:szCs w:val="22"/>
              </w:rPr>
              <w:t>(64 cases projected)</w:t>
            </w:r>
            <w:r w:rsidRPr="00A7288B">
              <w:rPr>
                <w:rFonts w:eastAsia="Calibri" w:cs="Calibri"/>
                <w:color w:val="000000" w:themeColor="text1"/>
                <w:sz w:val="22"/>
                <w:szCs w:val="22"/>
              </w:rPr>
              <w:t xml:space="preserve"> </w:t>
            </w:r>
          </w:p>
        </w:tc>
        <w:tc>
          <w:tcPr>
            <w:tcW w:w="277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4D2D61DB" w14:textId="77777777">
            <w:pPr>
              <w:rPr>
                <w:rFonts w:eastAsia="Calibri" w:cs="Calibri"/>
                <w:color w:val="000000" w:themeColor="text1"/>
                <w:sz w:val="22"/>
                <w:szCs w:val="22"/>
              </w:rPr>
            </w:pPr>
            <w:r w:rsidRPr="00A7288B">
              <w:rPr>
                <w:rFonts w:eastAsia="Calibri" w:cs="Calibri"/>
                <w:color w:val="000000" w:themeColor="text1"/>
                <w:sz w:val="22"/>
                <w:szCs w:val="22"/>
              </w:rPr>
              <w:t xml:space="preserve"> </w:t>
            </w:r>
          </w:p>
        </w:tc>
        <w:tc>
          <w:tcPr>
            <w:tcW w:w="196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610FF954" w14:textId="77777777">
            <w:pPr>
              <w:jc w:val="right"/>
              <w:rPr>
                <w:rFonts w:eastAsia="Calibri" w:cs="Calibri"/>
                <w:color w:val="000000" w:themeColor="text1"/>
                <w:sz w:val="22"/>
                <w:szCs w:val="22"/>
              </w:rPr>
            </w:pPr>
            <w:r w:rsidRPr="00A7288B">
              <w:rPr>
                <w:rFonts w:eastAsia="Calibri" w:cs="Calibri"/>
                <w:color w:val="000000" w:themeColor="text1"/>
                <w:sz w:val="22"/>
                <w:szCs w:val="22"/>
              </w:rPr>
              <w:t xml:space="preserve"> </w:t>
            </w:r>
          </w:p>
        </w:tc>
        <w:tc>
          <w:tcPr>
            <w:tcW w:w="1841"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3CDD0580" w14:textId="77777777">
            <w:pPr>
              <w:jc w:val="right"/>
              <w:rPr>
                <w:rFonts w:eastAsia="Calibri" w:cs="Calibri"/>
                <w:color w:val="000000" w:themeColor="text1"/>
                <w:sz w:val="22"/>
                <w:szCs w:val="22"/>
              </w:rPr>
            </w:pPr>
            <w:r w:rsidRPr="00A7288B">
              <w:rPr>
                <w:rFonts w:eastAsia="Calibri" w:cs="Calibri"/>
                <w:b/>
                <w:bCs/>
                <w:color w:val="000000" w:themeColor="text1"/>
                <w:sz w:val="22"/>
                <w:szCs w:val="22"/>
              </w:rPr>
              <w:t>6217.83</w:t>
            </w:r>
          </w:p>
        </w:tc>
      </w:tr>
    </w:tbl>
    <w:p w:rsidRPr="00A7288B" w:rsidR="00A7288B" w:rsidP="00A7288B" w:rsidRDefault="00A7288B" w14:paraId="6E90355D" w14:textId="77777777">
      <w:pPr>
        <w:rPr>
          <w:rFonts w:eastAsia="Calibri"/>
        </w:rPr>
      </w:pPr>
    </w:p>
    <w:p w:rsidRPr="00A7288B" w:rsidR="00A7288B" w:rsidP="00A7288B" w:rsidRDefault="00A7288B" w14:paraId="2D5C144B" w14:textId="77777777">
      <w:r w:rsidRPr="00A7288B">
        <w:t xml:space="preserve">The model proposed outlines the additional MDT costs required for the caseload and does not account for the procedure costs. Operative costs will fall under the existing service level agreement, which currently outlines a £7,038 payment for major bariatric procedures (e.g. sleeve gastrectomy or gastric bypass). </w:t>
      </w:r>
    </w:p>
    <w:p w:rsidRPr="00A7288B" w:rsidR="00A7288B" w:rsidP="00A7288B" w:rsidRDefault="00A7288B" w14:paraId="05CC6066" w14:textId="2744622C">
      <w:r w:rsidRPr="00A7288B">
        <w:t xml:space="preserve">The total cost of a list delivering 3 major bariatric cases per patient is £5,218.56. This delivers a surplus per patient of £1,819.44 to allow for contingency for complications. Using data from the past 3 years at WIMOS, the projected major complication rate is 1.46%, i.e. 1 major complication projected, with costs outlined in more detail below in the risk mitigation section. Assuming the pessimistic extreme of associated costs (i.e. using £20,000 per complication from the published cost estimate range of £5,000 to £20,000), operating on 51-58 patients (80-90% of referrals), the tolerance for excess complications before the business case becomes unprofitable is ~500% of the projected complication rate. </w:t>
      </w:r>
    </w:p>
    <w:tbl>
      <w:tblPr>
        <w:tblW w:w="0" w:type="auto"/>
        <w:tblBorders>
          <w:top w:val="single" w:color="auto" w:sz="6" w:space="0"/>
          <w:left w:val="single" w:color="auto" w:sz="6" w:space="0"/>
          <w:bottom w:val="single" w:color="auto" w:sz="6" w:space="0"/>
          <w:right w:val="single" w:color="auto" w:sz="6" w:space="0"/>
        </w:tblBorders>
        <w:tblLook w:val="04A0" w:firstRow="1" w:lastRow="0" w:firstColumn="1" w:lastColumn="0" w:noHBand="0" w:noVBand="1"/>
      </w:tblPr>
      <w:tblGrid>
        <w:gridCol w:w="1616"/>
        <w:gridCol w:w="1646"/>
        <w:gridCol w:w="1216"/>
        <w:gridCol w:w="1486"/>
        <w:gridCol w:w="1568"/>
        <w:gridCol w:w="1484"/>
      </w:tblGrid>
      <w:tr w:rsidRPr="00A7288B" w:rsidR="00A7288B" w:rsidTr="00FE166F" w14:paraId="141AC69C" w14:textId="77777777">
        <w:trPr>
          <w:trHeight w:val="285"/>
        </w:trPr>
        <w:tc>
          <w:tcPr>
            <w:tcW w:w="162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D9D9D9" w:themeFill="background1" w:themeFillShade="D9"/>
          </w:tcPr>
          <w:p w:rsidRPr="00A7288B" w:rsidR="00A7288B" w:rsidP="00FE166F" w:rsidRDefault="00A7288B" w14:paraId="0C9ADAE3" w14:textId="77777777">
            <w:pPr>
              <w:rPr>
                <w:sz w:val="20"/>
                <w:szCs w:val="20"/>
              </w:rPr>
            </w:pPr>
            <w:r w:rsidRPr="00A7288B">
              <w:rPr>
                <w:rFonts w:eastAsia="Calibri" w:cs="Calibri"/>
                <w:b/>
                <w:bCs/>
                <w:color w:val="000000" w:themeColor="text1"/>
                <w:sz w:val="20"/>
                <w:szCs w:val="20"/>
              </w:rPr>
              <w:t>Cost</w:t>
            </w:r>
          </w:p>
        </w:tc>
        <w:tc>
          <w:tcPr>
            <w:tcW w:w="1485"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2F2F2" w:themeFill="background1" w:themeFillShade="F2"/>
          </w:tcPr>
          <w:p w:rsidRPr="00A7288B" w:rsidR="00A7288B" w:rsidP="00FE166F" w:rsidRDefault="00A7288B" w14:paraId="2BCBE1ED" w14:textId="77777777">
            <w:pPr>
              <w:rPr>
                <w:sz w:val="20"/>
                <w:szCs w:val="20"/>
              </w:rPr>
            </w:pPr>
            <w:r w:rsidRPr="00A7288B">
              <w:rPr>
                <w:rFonts w:eastAsia="Calibri" w:cs="Calibri"/>
                <w:b/>
                <w:bCs/>
                <w:color w:val="000000" w:themeColor="text1"/>
                <w:sz w:val="20"/>
                <w:szCs w:val="20"/>
              </w:rPr>
              <w:t>Cost/patient</w:t>
            </w:r>
          </w:p>
        </w:tc>
        <w:tc>
          <w:tcPr>
            <w:tcW w:w="123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2F2F2" w:themeFill="background1" w:themeFillShade="F2"/>
          </w:tcPr>
          <w:p w:rsidRPr="00A7288B" w:rsidR="00A7288B" w:rsidP="00FE166F" w:rsidRDefault="00A7288B" w14:paraId="47A7020F" w14:textId="77777777">
            <w:pPr>
              <w:jc w:val="right"/>
              <w:rPr>
                <w:sz w:val="20"/>
                <w:szCs w:val="20"/>
              </w:rPr>
            </w:pPr>
            <w:r w:rsidRPr="00A7288B">
              <w:rPr>
                <w:rFonts w:eastAsia="Calibri" w:cs="Calibri"/>
                <w:b/>
                <w:bCs/>
                <w:color w:val="000000" w:themeColor="text1"/>
                <w:sz w:val="20"/>
                <w:szCs w:val="20"/>
              </w:rPr>
              <w:t>Cost/list</w:t>
            </w:r>
          </w:p>
        </w:tc>
        <w:tc>
          <w:tcPr>
            <w:tcW w:w="159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2F2F2" w:themeFill="background1" w:themeFillShade="F2"/>
          </w:tcPr>
          <w:p w:rsidRPr="00A7288B" w:rsidR="00A7288B" w:rsidP="00FE166F" w:rsidRDefault="00A7288B" w14:paraId="6D06E5CB" w14:textId="77777777">
            <w:pPr>
              <w:jc w:val="right"/>
              <w:rPr>
                <w:sz w:val="20"/>
                <w:szCs w:val="20"/>
              </w:rPr>
            </w:pPr>
            <w:r w:rsidRPr="00A7288B">
              <w:rPr>
                <w:rFonts w:eastAsia="Calibri" w:cs="Calibri"/>
                <w:b/>
                <w:bCs/>
                <w:color w:val="000000" w:themeColor="text1"/>
                <w:sz w:val="20"/>
                <w:szCs w:val="20"/>
              </w:rPr>
              <w:t xml:space="preserve">Total cost </w:t>
            </w:r>
          </w:p>
          <w:p w:rsidRPr="00A7288B" w:rsidR="00A7288B" w:rsidP="00FE166F" w:rsidRDefault="00A7288B" w14:paraId="3CAA8F9D" w14:textId="77777777">
            <w:pPr>
              <w:jc w:val="right"/>
              <w:rPr>
                <w:rFonts w:eastAsia="Calibri" w:cs="Calibri"/>
                <w:color w:val="000000" w:themeColor="text1"/>
                <w:sz w:val="20"/>
                <w:szCs w:val="20"/>
              </w:rPr>
            </w:pPr>
            <w:r w:rsidRPr="00A7288B">
              <w:rPr>
                <w:rFonts w:eastAsia="Calibri" w:cs="Calibri"/>
                <w:b/>
                <w:bCs/>
                <w:color w:val="000000" w:themeColor="text1"/>
                <w:sz w:val="20"/>
                <w:szCs w:val="20"/>
              </w:rPr>
              <w:t>(51 patients)</w:t>
            </w:r>
          </w:p>
        </w:tc>
        <w:tc>
          <w:tcPr>
            <w:tcW w:w="165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2F2F2" w:themeFill="background1" w:themeFillShade="F2"/>
          </w:tcPr>
          <w:p w:rsidRPr="00A7288B" w:rsidR="00A7288B" w:rsidP="00FE166F" w:rsidRDefault="00A7288B" w14:paraId="76543F0B" w14:textId="77777777">
            <w:pPr>
              <w:jc w:val="right"/>
              <w:rPr>
                <w:sz w:val="20"/>
                <w:szCs w:val="20"/>
              </w:rPr>
            </w:pPr>
            <w:r w:rsidRPr="00A7288B">
              <w:rPr>
                <w:rFonts w:eastAsia="Calibri" w:cs="Calibri"/>
                <w:b/>
                <w:bCs/>
                <w:color w:val="000000" w:themeColor="text1"/>
                <w:sz w:val="20"/>
                <w:szCs w:val="20"/>
              </w:rPr>
              <w:t xml:space="preserve">Total cost </w:t>
            </w:r>
          </w:p>
          <w:p w:rsidRPr="00A7288B" w:rsidR="00A7288B" w:rsidP="00FE166F" w:rsidRDefault="00A7288B" w14:paraId="19036E01" w14:textId="77777777">
            <w:pPr>
              <w:jc w:val="right"/>
              <w:rPr>
                <w:rFonts w:eastAsia="Calibri" w:cs="Calibri"/>
                <w:color w:val="000000" w:themeColor="text1"/>
                <w:sz w:val="20"/>
                <w:szCs w:val="20"/>
              </w:rPr>
            </w:pPr>
            <w:r w:rsidRPr="00A7288B">
              <w:rPr>
                <w:rFonts w:eastAsia="Calibri" w:cs="Calibri"/>
                <w:b/>
                <w:bCs/>
                <w:color w:val="000000" w:themeColor="text1"/>
                <w:sz w:val="20"/>
                <w:szCs w:val="20"/>
              </w:rPr>
              <w:t>(58 patients)</w:t>
            </w:r>
          </w:p>
        </w:tc>
        <w:tc>
          <w:tcPr>
            <w:tcW w:w="1518"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2F2F2" w:themeFill="background1" w:themeFillShade="F2"/>
          </w:tcPr>
          <w:p w:rsidRPr="00A7288B" w:rsidR="00A7288B" w:rsidP="00FE166F" w:rsidRDefault="00A7288B" w14:paraId="339FCA25" w14:textId="77777777">
            <w:pPr>
              <w:jc w:val="right"/>
              <w:rPr>
                <w:sz w:val="20"/>
                <w:szCs w:val="20"/>
              </w:rPr>
            </w:pPr>
            <w:r w:rsidRPr="00A7288B">
              <w:rPr>
                <w:rFonts w:eastAsia="Calibri" w:cs="Calibri"/>
                <w:b/>
                <w:bCs/>
                <w:color w:val="000000" w:themeColor="text1"/>
                <w:sz w:val="20"/>
                <w:szCs w:val="20"/>
              </w:rPr>
              <w:t>Total cost (64 patients)</w:t>
            </w:r>
          </w:p>
        </w:tc>
      </w:tr>
      <w:tr w:rsidRPr="00A7288B" w:rsidR="00A7288B" w:rsidTr="00FE166F" w14:paraId="4C14AA01" w14:textId="77777777">
        <w:trPr>
          <w:trHeight w:val="285"/>
        </w:trPr>
        <w:tc>
          <w:tcPr>
            <w:tcW w:w="1620" w:type="dxa"/>
            <w:tcBorders>
              <w:top w:val="single" w:color="000000" w:themeColor="text1" w:sz="4"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624207FE" w14:textId="77777777">
            <w:pPr>
              <w:rPr>
                <w:sz w:val="20"/>
                <w:szCs w:val="20"/>
              </w:rPr>
            </w:pPr>
            <w:r w:rsidRPr="00A7288B">
              <w:rPr>
                <w:rFonts w:eastAsia="Calibri" w:cs="Calibri"/>
                <w:color w:val="000000" w:themeColor="text1"/>
                <w:sz w:val="20"/>
                <w:szCs w:val="20"/>
              </w:rPr>
              <w:t>Medical staff</w:t>
            </w:r>
          </w:p>
        </w:tc>
        <w:tc>
          <w:tcPr>
            <w:tcW w:w="1485" w:type="dxa"/>
            <w:tcBorders>
              <w:top w:val="single" w:color="000000" w:themeColor="text1" w:sz="4"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1A397364" w14:textId="77777777">
            <w:pPr>
              <w:jc w:val="right"/>
              <w:rPr>
                <w:rFonts w:eastAsia="Calibri" w:cs="Calibri"/>
                <w:color w:val="000000" w:themeColor="text1"/>
                <w:sz w:val="20"/>
                <w:szCs w:val="20"/>
              </w:rPr>
            </w:pPr>
            <w:r w:rsidRPr="00A7288B">
              <w:rPr>
                <w:rFonts w:eastAsia="Calibri" w:cs="Calibri"/>
                <w:color w:val="000000" w:themeColor="text1"/>
                <w:sz w:val="20"/>
                <w:szCs w:val="20"/>
              </w:rPr>
              <w:t>630.41</w:t>
            </w:r>
          </w:p>
        </w:tc>
        <w:tc>
          <w:tcPr>
            <w:tcW w:w="1230" w:type="dxa"/>
            <w:tcBorders>
              <w:top w:val="single" w:color="000000" w:themeColor="text1" w:sz="4"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290C8E2F" w14:textId="77777777">
            <w:pPr>
              <w:jc w:val="right"/>
              <w:rPr>
                <w:rFonts w:eastAsia="Calibri" w:cs="Calibri"/>
                <w:color w:val="000000" w:themeColor="text1"/>
                <w:sz w:val="20"/>
                <w:szCs w:val="20"/>
              </w:rPr>
            </w:pPr>
            <w:r w:rsidRPr="00A7288B">
              <w:rPr>
                <w:rFonts w:eastAsia="Calibri" w:cs="Calibri"/>
                <w:color w:val="000000" w:themeColor="text1"/>
                <w:sz w:val="20"/>
                <w:szCs w:val="20"/>
              </w:rPr>
              <w:t>1891.23</w:t>
            </w:r>
          </w:p>
        </w:tc>
        <w:tc>
          <w:tcPr>
            <w:tcW w:w="1590" w:type="dxa"/>
            <w:tcBorders>
              <w:top w:val="single" w:color="000000" w:themeColor="text1" w:sz="4"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61B76628" w14:textId="77777777">
            <w:pPr>
              <w:jc w:val="right"/>
              <w:rPr>
                <w:rFonts w:eastAsia="Calibri" w:cs="Calibri"/>
                <w:color w:val="000000" w:themeColor="text1"/>
                <w:sz w:val="20"/>
                <w:szCs w:val="20"/>
              </w:rPr>
            </w:pPr>
            <w:r w:rsidRPr="00A7288B">
              <w:rPr>
                <w:rFonts w:eastAsia="Calibri" w:cs="Calibri"/>
                <w:color w:val="000000" w:themeColor="text1"/>
                <w:sz w:val="20"/>
                <w:szCs w:val="20"/>
              </w:rPr>
              <w:t>32150.92</w:t>
            </w:r>
          </w:p>
        </w:tc>
        <w:tc>
          <w:tcPr>
            <w:tcW w:w="1650" w:type="dxa"/>
            <w:tcBorders>
              <w:top w:val="single" w:color="000000" w:themeColor="text1" w:sz="4"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53D6F881" w14:textId="77777777">
            <w:pPr>
              <w:jc w:val="right"/>
              <w:rPr>
                <w:rFonts w:eastAsia="Calibri" w:cs="Calibri"/>
                <w:color w:val="000000" w:themeColor="text1"/>
                <w:sz w:val="20"/>
                <w:szCs w:val="20"/>
              </w:rPr>
            </w:pPr>
            <w:r w:rsidRPr="00A7288B">
              <w:rPr>
                <w:rFonts w:eastAsia="Calibri" w:cs="Calibri"/>
                <w:color w:val="000000" w:themeColor="text1"/>
                <w:sz w:val="20"/>
                <w:szCs w:val="20"/>
              </w:rPr>
              <w:t>36563.80</w:t>
            </w:r>
          </w:p>
        </w:tc>
        <w:tc>
          <w:tcPr>
            <w:tcW w:w="1518" w:type="dxa"/>
            <w:tcBorders>
              <w:top w:val="single" w:color="000000" w:themeColor="text1" w:sz="4"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79083CE2" w14:textId="77777777">
            <w:pPr>
              <w:jc w:val="right"/>
              <w:rPr>
                <w:rFonts w:eastAsia="Calibri" w:cs="Calibri"/>
                <w:color w:val="000000" w:themeColor="text1"/>
                <w:sz w:val="20"/>
                <w:szCs w:val="20"/>
              </w:rPr>
            </w:pPr>
            <w:r w:rsidRPr="00A7288B">
              <w:rPr>
                <w:rFonts w:eastAsia="Calibri" w:cs="Calibri"/>
                <w:color w:val="000000" w:themeColor="text1"/>
                <w:sz w:val="20"/>
                <w:szCs w:val="20"/>
              </w:rPr>
              <w:t>40346.26</w:t>
            </w:r>
          </w:p>
        </w:tc>
      </w:tr>
      <w:tr w:rsidRPr="00A7288B" w:rsidR="00A7288B" w:rsidTr="00FE166F" w14:paraId="6C06446A" w14:textId="77777777">
        <w:trPr>
          <w:trHeight w:val="285"/>
        </w:trPr>
        <w:tc>
          <w:tcPr>
            <w:tcW w:w="162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4FCAC499" w14:textId="77777777">
            <w:pPr>
              <w:rPr>
                <w:sz w:val="20"/>
                <w:szCs w:val="20"/>
              </w:rPr>
            </w:pPr>
            <w:r w:rsidRPr="00A7288B">
              <w:rPr>
                <w:rFonts w:eastAsia="Calibri" w:cs="Calibri"/>
                <w:color w:val="000000" w:themeColor="text1"/>
                <w:sz w:val="20"/>
                <w:szCs w:val="20"/>
              </w:rPr>
              <w:t>Other staff</w:t>
            </w:r>
          </w:p>
        </w:tc>
        <w:tc>
          <w:tcPr>
            <w:tcW w:w="148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30E5126D" w14:textId="77777777">
            <w:pPr>
              <w:jc w:val="right"/>
              <w:rPr>
                <w:rFonts w:eastAsia="Calibri" w:cs="Calibri"/>
                <w:color w:val="000000" w:themeColor="text1"/>
                <w:sz w:val="20"/>
                <w:szCs w:val="20"/>
              </w:rPr>
            </w:pPr>
            <w:r w:rsidRPr="00A7288B">
              <w:rPr>
                <w:rFonts w:eastAsia="Calibri" w:cs="Calibri"/>
                <w:color w:val="000000" w:themeColor="text1"/>
                <w:sz w:val="20"/>
                <w:szCs w:val="20"/>
              </w:rPr>
              <w:t>259.86</w:t>
            </w:r>
          </w:p>
        </w:tc>
        <w:tc>
          <w:tcPr>
            <w:tcW w:w="123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5F00A834" w14:textId="77777777">
            <w:pPr>
              <w:jc w:val="right"/>
              <w:rPr>
                <w:rFonts w:eastAsia="Calibri" w:cs="Calibri"/>
                <w:color w:val="000000" w:themeColor="text1"/>
                <w:sz w:val="20"/>
                <w:szCs w:val="20"/>
              </w:rPr>
            </w:pPr>
            <w:r w:rsidRPr="00A7288B">
              <w:rPr>
                <w:rFonts w:eastAsia="Calibri" w:cs="Calibri"/>
                <w:color w:val="000000" w:themeColor="text1"/>
                <w:sz w:val="20"/>
                <w:szCs w:val="20"/>
              </w:rPr>
              <w:t>779.59</w:t>
            </w:r>
          </w:p>
        </w:tc>
        <w:tc>
          <w:tcPr>
            <w:tcW w:w="159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3741AD1B" w14:textId="77777777">
            <w:pPr>
              <w:jc w:val="right"/>
              <w:rPr>
                <w:rFonts w:eastAsia="Calibri" w:cs="Calibri"/>
                <w:color w:val="000000" w:themeColor="text1"/>
                <w:sz w:val="20"/>
                <w:szCs w:val="20"/>
              </w:rPr>
            </w:pPr>
            <w:r w:rsidRPr="00A7288B">
              <w:rPr>
                <w:rFonts w:eastAsia="Calibri" w:cs="Calibri"/>
                <w:color w:val="000000" w:themeColor="text1"/>
                <w:sz w:val="20"/>
                <w:szCs w:val="20"/>
              </w:rPr>
              <w:t>13252.96</w:t>
            </w:r>
          </w:p>
        </w:tc>
        <w:tc>
          <w:tcPr>
            <w:tcW w:w="165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6D9AB2F5" w14:textId="77777777">
            <w:pPr>
              <w:jc w:val="right"/>
              <w:rPr>
                <w:rFonts w:eastAsia="Calibri" w:cs="Calibri"/>
                <w:color w:val="000000" w:themeColor="text1"/>
                <w:sz w:val="20"/>
                <w:szCs w:val="20"/>
              </w:rPr>
            </w:pPr>
            <w:r w:rsidRPr="00A7288B">
              <w:rPr>
                <w:rFonts w:eastAsia="Calibri" w:cs="Calibri"/>
                <w:color w:val="000000" w:themeColor="text1"/>
                <w:sz w:val="20"/>
                <w:szCs w:val="20"/>
              </w:rPr>
              <w:t>15071.99</w:t>
            </w:r>
          </w:p>
        </w:tc>
        <w:tc>
          <w:tcPr>
            <w:tcW w:w="1518"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62D04C26" w14:textId="77777777">
            <w:pPr>
              <w:jc w:val="right"/>
              <w:rPr>
                <w:rFonts w:eastAsia="Calibri" w:cs="Calibri"/>
                <w:color w:val="000000" w:themeColor="text1"/>
                <w:sz w:val="20"/>
                <w:szCs w:val="20"/>
              </w:rPr>
            </w:pPr>
            <w:r w:rsidRPr="00A7288B">
              <w:rPr>
                <w:rFonts w:eastAsia="Calibri" w:cs="Calibri"/>
                <w:color w:val="000000" w:themeColor="text1"/>
                <w:sz w:val="20"/>
                <w:szCs w:val="20"/>
              </w:rPr>
              <w:t>16631.16</w:t>
            </w:r>
          </w:p>
        </w:tc>
      </w:tr>
      <w:tr w:rsidRPr="00A7288B" w:rsidR="00A7288B" w:rsidTr="00FE166F" w14:paraId="047D413B" w14:textId="77777777">
        <w:trPr>
          <w:trHeight w:val="285"/>
        </w:trPr>
        <w:tc>
          <w:tcPr>
            <w:tcW w:w="162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477B84F4" w14:textId="77777777">
            <w:pPr>
              <w:rPr>
                <w:sz w:val="20"/>
                <w:szCs w:val="20"/>
              </w:rPr>
            </w:pPr>
            <w:r w:rsidRPr="00A7288B">
              <w:rPr>
                <w:rFonts w:eastAsia="Calibri" w:cs="Calibri"/>
                <w:color w:val="000000" w:themeColor="text1"/>
                <w:sz w:val="20"/>
                <w:szCs w:val="20"/>
              </w:rPr>
              <w:t>Surgical consumables</w:t>
            </w:r>
          </w:p>
        </w:tc>
        <w:tc>
          <w:tcPr>
            <w:tcW w:w="148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68A85496" w14:textId="77777777">
            <w:pPr>
              <w:jc w:val="right"/>
              <w:rPr>
                <w:rFonts w:eastAsia="Calibri" w:cs="Calibri"/>
                <w:color w:val="000000" w:themeColor="text1"/>
                <w:sz w:val="20"/>
                <w:szCs w:val="20"/>
              </w:rPr>
            </w:pPr>
            <w:r w:rsidRPr="00A7288B">
              <w:rPr>
                <w:rFonts w:eastAsia="Calibri" w:cs="Calibri"/>
                <w:color w:val="000000" w:themeColor="text1"/>
                <w:sz w:val="20"/>
                <w:szCs w:val="20"/>
              </w:rPr>
              <w:t>2680.00</w:t>
            </w:r>
          </w:p>
        </w:tc>
        <w:tc>
          <w:tcPr>
            <w:tcW w:w="123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1CC1F76E" w14:textId="77777777">
            <w:pPr>
              <w:jc w:val="right"/>
              <w:rPr>
                <w:rFonts w:eastAsia="Calibri" w:cs="Calibri"/>
                <w:color w:val="000000" w:themeColor="text1"/>
                <w:sz w:val="20"/>
                <w:szCs w:val="20"/>
              </w:rPr>
            </w:pPr>
            <w:r w:rsidRPr="00A7288B">
              <w:rPr>
                <w:rFonts w:eastAsia="Calibri" w:cs="Calibri"/>
                <w:color w:val="000000" w:themeColor="text1"/>
                <w:sz w:val="20"/>
                <w:szCs w:val="20"/>
              </w:rPr>
              <w:t>8040.00</w:t>
            </w:r>
          </w:p>
        </w:tc>
        <w:tc>
          <w:tcPr>
            <w:tcW w:w="159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583DF0E1" w14:textId="77777777">
            <w:pPr>
              <w:jc w:val="right"/>
              <w:rPr>
                <w:rFonts w:eastAsia="Calibri" w:cs="Calibri"/>
                <w:color w:val="000000" w:themeColor="text1"/>
                <w:sz w:val="20"/>
                <w:szCs w:val="20"/>
              </w:rPr>
            </w:pPr>
            <w:r w:rsidRPr="00A7288B">
              <w:rPr>
                <w:rFonts w:eastAsia="Calibri" w:cs="Calibri"/>
                <w:color w:val="000000" w:themeColor="text1"/>
                <w:sz w:val="20"/>
                <w:szCs w:val="20"/>
              </w:rPr>
              <w:t>136680.00</w:t>
            </w:r>
          </w:p>
        </w:tc>
        <w:tc>
          <w:tcPr>
            <w:tcW w:w="165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5B4ED13C" w14:textId="77777777">
            <w:pPr>
              <w:jc w:val="right"/>
              <w:rPr>
                <w:rFonts w:eastAsia="Calibri" w:cs="Calibri"/>
                <w:color w:val="000000" w:themeColor="text1"/>
                <w:sz w:val="20"/>
                <w:szCs w:val="20"/>
              </w:rPr>
            </w:pPr>
            <w:r w:rsidRPr="00A7288B">
              <w:rPr>
                <w:rFonts w:eastAsia="Calibri" w:cs="Calibri"/>
                <w:color w:val="000000" w:themeColor="text1"/>
                <w:sz w:val="20"/>
                <w:szCs w:val="20"/>
              </w:rPr>
              <w:t>155440.00</w:t>
            </w:r>
          </w:p>
        </w:tc>
        <w:tc>
          <w:tcPr>
            <w:tcW w:w="1518"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79BDE168" w14:textId="77777777">
            <w:pPr>
              <w:jc w:val="right"/>
              <w:rPr>
                <w:rFonts w:eastAsia="Calibri" w:cs="Calibri"/>
                <w:color w:val="000000" w:themeColor="text1"/>
                <w:sz w:val="20"/>
                <w:szCs w:val="20"/>
              </w:rPr>
            </w:pPr>
            <w:r w:rsidRPr="00A7288B">
              <w:rPr>
                <w:rFonts w:eastAsia="Calibri" w:cs="Calibri"/>
                <w:color w:val="000000" w:themeColor="text1"/>
                <w:sz w:val="20"/>
                <w:szCs w:val="20"/>
              </w:rPr>
              <w:t>171520.00</w:t>
            </w:r>
          </w:p>
        </w:tc>
      </w:tr>
      <w:tr w:rsidRPr="00A7288B" w:rsidR="00A7288B" w:rsidTr="00FE166F" w14:paraId="377A29C3" w14:textId="77777777">
        <w:trPr>
          <w:trHeight w:val="285"/>
        </w:trPr>
        <w:tc>
          <w:tcPr>
            <w:tcW w:w="162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543C1E05" w14:textId="77777777">
            <w:pPr>
              <w:rPr>
                <w:sz w:val="20"/>
                <w:szCs w:val="20"/>
              </w:rPr>
            </w:pPr>
            <w:r w:rsidRPr="00A7288B">
              <w:rPr>
                <w:rFonts w:eastAsia="Calibri" w:cs="Calibri"/>
                <w:color w:val="000000" w:themeColor="text1"/>
                <w:sz w:val="20"/>
                <w:szCs w:val="20"/>
              </w:rPr>
              <w:t>Anaesthetic consumables</w:t>
            </w:r>
          </w:p>
        </w:tc>
        <w:tc>
          <w:tcPr>
            <w:tcW w:w="148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21587864" w14:textId="77777777">
            <w:pPr>
              <w:jc w:val="right"/>
              <w:rPr>
                <w:rFonts w:eastAsia="Calibri" w:cs="Calibri"/>
                <w:color w:val="000000" w:themeColor="text1"/>
                <w:sz w:val="20"/>
                <w:szCs w:val="20"/>
              </w:rPr>
            </w:pPr>
            <w:r w:rsidRPr="00A7288B">
              <w:rPr>
                <w:rFonts w:eastAsia="Calibri" w:cs="Calibri"/>
                <w:color w:val="000000" w:themeColor="text1"/>
                <w:sz w:val="20"/>
                <w:szCs w:val="20"/>
              </w:rPr>
              <w:t>725.00</w:t>
            </w:r>
          </w:p>
        </w:tc>
        <w:tc>
          <w:tcPr>
            <w:tcW w:w="123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5A0F4E3F" w14:textId="77777777">
            <w:pPr>
              <w:jc w:val="right"/>
              <w:rPr>
                <w:rFonts w:eastAsia="Calibri" w:cs="Calibri"/>
                <w:color w:val="000000" w:themeColor="text1"/>
                <w:sz w:val="20"/>
                <w:szCs w:val="20"/>
              </w:rPr>
            </w:pPr>
            <w:r w:rsidRPr="00A7288B">
              <w:rPr>
                <w:rFonts w:eastAsia="Calibri" w:cs="Calibri"/>
                <w:color w:val="000000" w:themeColor="text1"/>
                <w:sz w:val="20"/>
                <w:szCs w:val="20"/>
              </w:rPr>
              <w:t>2175.00</w:t>
            </w:r>
          </w:p>
        </w:tc>
        <w:tc>
          <w:tcPr>
            <w:tcW w:w="159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1839B063" w14:textId="77777777">
            <w:pPr>
              <w:jc w:val="right"/>
              <w:rPr>
                <w:rFonts w:eastAsia="Calibri" w:cs="Calibri"/>
                <w:color w:val="000000" w:themeColor="text1"/>
                <w:sz w:val="20"/>
                <w:szCs w:val="20"/>
              </w:rPr>
            </w:pPr>
            <w:r w:rsidRPr="00A7288B">
              <w:rPr>
                <w:rFonts w:eastAsia="Calibri" w:cs="Calibri"/>
                <w:color w:val="000000" w:themeColor="text1"/>
                <w:sz w:val="20"/>
                <w:szCs w:val="20"/>
              </w:rPr>
              <w:t>36975.00</w:t>
            </w:r>
          </w:p>
        </w:tc>
        <w:tc>
          <w:tcPr>
            <w:tcW w:w="165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78309636" w14:textId="77777777">
            <w:pPr>
              <w:jc w:val="right"/>
              <w:rPr>
                <w:rFonts w:eastAsia="Calibri" w:cs="Calibri"/>
                <w:color w:val="000000" w:themeColor="text1"/>
                <w:sz w:val="20"/>
                <w:szCs w:val="20"/>
              </w:rPr>
            </w:pPr>
            <w:r w:rsidRPr="00A7288B">
              <w:rPr>
                <w:rFonts w:eastAsia="Calibri" w:cs="Calibri"/>
                <w:color w:val="000000" w:themeColor="text1"/>
                <w:sz w:val="20"/>
                <w:szCs w:val="20"/>
              </w:rPr>
              <w:t>42050.00</w:t>
            </w:r>
          </w:p>
        </w:tc>
        <w:tc>
          <w:tcPr>
            <w:tcW w:w="1518"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7AFF840F" w14:textId="77777777">
            <w:pPr>
              <w:jc w:val="right"/>
              <w:rPr>
                <w:rFonts w:eastAsia="Calibri" w:cs="Calibri"/>
                <w:color w:val="000000" w:themeColor="text1"/>
                <w:sz w:val="20"/>
                <w:szCs w:val="20"/>
              </w:rPr>
            </w:pPr>
            <w:r w:rsidRPr="00A7288B">
              <w:rPr>
                <w:rFonts w:eastAsia="Calibri" w:cs="Calibri"/>
                <w:color w:val="000000" w:themeColor="text1"/>
                <w:sz w:val="20"/>
                <w:szCs w:val="20"/>
              </w:rPr>
              <w:t>46400.00</w:t>
            </w:r>
          </w:p>
        </w:tc>
      </w:tr>
      <w:tr w:rsidRPr="00A7288B" w:rsidR="00A7288B" w:rsidTr="00FE166F" w14:paraId="76668968" w14:textId="77777777">
        <w:trPr>
          <w:trHeight w:val="285"/>
        </w:trPr>
        <w:tc>
          <w:tcPr>
            <w:tcW w:w="162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64A0F07C" w14:textId="77777777">
            <w:pPr>
              <w:rPr>
                <w:sz w:val="20"/>
                <w:szCs w:val="20"/>
              </w:rPr>
            </w:pPr>
            <w:r w:rsidRPr="00A7288B">
              <w:rPr>
                <w:rFonts w:eastAsia="Calibri" w:cs="Calibri"/>
                <w:color w:val="000000" w:themeColor="text1"/>
                <w:sz w:val="20"/>
                <w:szCs w:val="20"/>
              </w:rPr>
              <w:t>CSSD (Sterilisation)</w:t>
            </w:r>
          </w:p>
        </w:tc>
        <w:tc>
          <w:tcPr>
            <w:tcW w:w="148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0D36AC4D" w14:textId="77777777">
            <w:pPr>
              <w:jc w:val="right"/>
              <w:rPr>
                <w:rFonts w:eastAsia="Calibri" w:cs="Calibri"/>
                <w:color w:val="000000" w:themeColor="text1"/>
                <w:sz w:val="20"/>
                <w:szCs w:val="20"/>
              </w:rPr>
            </w:pPr>
            <w:r w:rsidRPr="00A7288B">
              <w:rPr>
                <w:rFonts w:eastAsia="Calibri" w:cs="Calibri"/>
                <w:color w:val="000000" w:themeColor="text1"/>
                <w:sz w:val="20"/>
                <w:szCs w:val="20"/>
              </w:rPr>
              <w:t>600.00</w:t>
            </w:r>
          </w:p>
        </w:tc>
        <w:tc>
          <w:tcPr>
            <w:tcW w:w="123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057CC4FE" w14:textId="77777777">
            <w:pPr>
              <w:jc w:val="right"/>
              <w:rPr>
                <w:rFonts w:eastAsia="Calibri" w:cs="Calibri"/>
                <w:color w:val="000000" w:themeColor="text1"/>
                <w:sz w:val="20"/>
                <w:szCs w:val="20"/>
              </w:rPr>
            </w:pPr>
            <w:r w:rsidRPr="00A7288B">
              <w:rPr>
                <w:rFonts w:eastAsia="Calibri" w:cs="Calibri"/>
                <w:color w:val="000000" w:themeColor="text1"/>
                <w:sz w:val="20"/>
                <w:szCs w:val="20"/>
              </w:rPr>
              <w:t>1800.00</w:t>
            </w:r>
          </w:p>
        </w:tc>
        <w:tc>
          <w:tcPr>
            <w:tcW w:w="159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1E9DEE89" w14:textId="77777777">
            <w:pPr>
              <w:jc w:val="right"/>
              <w:rPr>
                <w:rFonts w:eastAsia="Calibri" w:cs="Calibri"/>
                <w:color w:val="000000" w:themeColor="text1"/>
                <w:sz w:val="20"/>
                <w:szCs w:val="20"/>
              </w:rPr>
            </w:pPr>
            <w:r w:rsidRPr="00A7288B">
              <w:rPr>
                <w:rFonts w:eastAsia="Calibri" w:cs="Calibri"/>
                <w:color w:val="000000" w:themeColor="text1"/>
                <w:sz w:val="20"/>
                <w:szCs w:val="20"/>
              </w:rPr>
              <w:t>30600.00</w:t>
            </w:r>
          </w:p>
        </w:tc>
        <w:tc>
          <w:tcPr>
            <w:tcW w:w="165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2BD4C255" w14:textId="77777777">
            <w:pPr>
              <w:jc w:val="right"/>
              <w:rPr>
                <w:rFonts w:eastAsia="Calibri" w:cs="Calibri"/>
                <w:color w:val="000000" w:themeColor="text1"/>
                <w:sz w:val="20"/>
                <w:szCs w:val="20"/>
              </w:rPr>
            </w:pPr>
            <w:r w:rsidRPr="00A7288B">
              <w:rPr>
                <w:rFonts w:eastAsia="Calibri" w:cs="Calibri"/>
                <w:color w:val="000000" w:themeColor="text1"/>
                <w:sz w:val="20"/>
                <w:szCs w:val="20"/>
              </w:rPr>
              <w:t>34800.00</w:t>
            </w:r>
          </w:p>
        </w:tc>
        <w:tc>
          <w:tcPr>
            <w:tcW w:w="1518"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1C2FF213" w14:textId="77777777">
            <w:pPr>
              <w:jc w:val="right"/>
              <w:rPr>
                <w:rFonts w:eastAsia="Calibri" w:cs="Calibri"/>
                <w:color w:val="000000" w:themeColor="text1"/>
                <w:sz w:val="20"/>
                <w:szCs w:val="20"/>
              </w:rPr>
            </w:pPr>
            <w:r w:rsidRPr="00A7288B">
              <w:rPr>
                <w:rFonts w:eastAsia="Calibri" w:cs="Calibri"/>
                <w:color w:val="000000" w:themeColor="text1"/>
                <w:sz w:val="20"/>
                <w:szCs w:val="20"/>
              </w:rPr>
              <w:t>38400.00</w:t>
            </w:r>
          </w:p>
        </w:tc>
      </w:tr>
      <w:tr w:rsidRPr="00A7288B" w:rsidR="00A7288B" w:rsidTr="00FE166F" w14:paraId="61ED64D4" w14:textId="77777777">
        <w:trPr>
          <w:trHeight w:val="285"/>
        </w:trPr>
        <w:tc>
          <w:tcPr>
            <w:tcW w:w="162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D9D9D9" w:themeFill="background1" w:themeFillShade="D9"/>
          </w:tcPr>
          <w:p w:rsidRPr="00A7288B" w:rsidR="00A7288B" w:rsidP="00FE166F" w:rsidRDefault="00A7288B" w14:paraId="56B2580F" w14:textId="77777777">
            <w:pPr>
              <w:rPr>
                <w:sz w:val="20"/>
                <w:szCs w:val="20"/>
              </w:rPr>
            </w:pPr>
            <w:r w:rsidRPr="00A7288B">
              <w:rPr>
                <w:rFonts w:eastAsia="Calibri" w:cs="Calibri"/>
                <w:color w:val="000000" w:themeColor="text1"/>
                <w:sz w:val="20"/>
                <w:szCs w:val="20"/>
              </w:rPr>
              <w:t>Inpatient stay</w:t>
            </w:r>
          </w:p>
        </w:tc>
        <w:tc>
          <w:tcPr>
            <w:tcW w:w="148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12E92C44" w14:textId="77777777">
            <w:pPr>
              <w:jc w:val="right"/>
              <w:rPr>
                <w:rFonts w:eastAsia="Calibri" w:cs="Calibri"/>
                <w:color w:val="000000" w:themeColor="text1"/>
                <w:sz w:val="20"/>
                <w:szCs w:val="20"/>
              </w:rPr>
            </w:pPr>
            <w:r w:rsidRPr="00A7288B">
              <w:rPr>
                <w:rFonts w:eastAsia="Calibri" w:cs="Calibri"/>
                <w:color w:val="000000" w:themeColor="text1"/>
                <w:sz w:val="20"/>
                <w:szCs w:val="20"/>
              </w:rPr>
              <w:t>323.29</w:t>
            </w:r>
          </w:p>
        </w:tc>
        <w:tc>
          <w:tcPr>
            <w:tcW w:w="123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1653E700" w14:textId="77777777">
            <w:pPr>
              <w:jc w:val="right"/>
              <w:rPr>
                <w:rFonts w:eastAsia="Calibri" w:cs="Calibri"/>
                <w:color w:val="000000" w:themeColor="text1"/>
                <w:sz w:val="20"/>
                <w:szCs w:val="20"/>
              </w:rPr>
            </w:pPr>
            <w:r w:rsidRPr="00A7288B">
              <w:rPr>
                <w:rFonts w:eastAsia="Calibri" w:cs="Calibri"/>
                <w:color w:val="000000" w:themeColor="text1"/>
                <w:sz w:val="20"/>
                <w:szCs w:val="20"/>
              </w:rPr>
              <w:t>969.87</w:t>
            </w:r>
          </w:p>
        </w:tc>
        <w:tc>
          <w:tcPr>
            <w:tcW w:w="159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2BD1AA9E" w14:textId="77777777">
            <w:pPr>
              <w:jc w:val="right"/>
              <w:rPr>
                <w:rFonts w:eastAsia="Calibri" w:cs="Calibri"/>
                <w:color w:val="000000" w:themeColor="text1"/>
                <w:sz w:val="20"/>
                <w:szCs w:val="20"/>
              </w:rPr>
            </w:pPr>
            <w:r w:rsidRPr="00A7288B">
              <w:rPr>
                <w:rFonts w:eastAsia="Calibri" w:cs="Calibri"/>
                <w:color w:val="000000" w:themeColor="text1"/>
                <w:sz w:val="20"/>
                <w:szCs w:val="20"/>
              </w:rPr>
              <w:t>16487.79</w:t>
            </w:r>
          </w:p>
        </w:tc>
        <w:tc>
          <w:tcPr>
            <w:tcW w:w="165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258B2B0B" w14:textId="77777777">
            <w:pPr>
              <w:jc w:val="right"/>
              <w:rPr>
                <w:rFonts w:eastAsia="Calibri" w:cs="Calibri"/>
                <w:color w:val="000000" w:themeColor="text1"/>
                <w:sz w:val="20"/>
                <w:szCs w:val="20"/>
              </w:rPr>
            </w:pPr>
            <w:r w:rsidRPr="00A7288B">
              <w:rPr>
                <w:rFonts w:eastAsia="Calibri" w:cs="Calibri"/>
                <w:color w:val="000000" w:themeColor="text1"/>
                <w:sz w:val="20"/>
                <w:szCs w:val="20"/>
              </w:rPr>
              <w:t>18750.82</w:t>
            </w:r>
          </w:p>
        </w:tc>
        <w:tc>
          <w:tcPr>
            <w:tcW w:w="1518"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2F2F2" w:themeFill="background1" w:themeFillShade="F2"/>
          </w:tcPr>
          <w:p w:rsidRPr="00A7288B" w:rsidR="00A7288B" w:rsidP="00FE166F" w:rsidRDefault="00A7288B" w14:paraId="66FF0EF3" w14:textId="77777777">
            <w:pPr>
              <w:jc w:val="right"/>
              <w:rPr>
                <w:rFonts w:eastAsia="Calibri" w:cs="Calibri"/>
                <w:color w:val="000000" w:themeColor="text1"/>
                <w:sz w:val="20"/>
                <w:szCs w:val="20"/>
              </w:rPr>
            </w:pPr>
            <w:r w:rsidRPr="00A7288B">
              <w:rPr>
                <w:rFonts w:eastAsia="Calibri" w:cs="Calibri"/>
                <w:color w:val="000000" w:themeColor="text1"/>
                <w:sz w:val="20"/>
                <w:szCs w:val="20"/>
              </w:rPr>
              <w:t>20690.56</w:t>
            </w:r>
          </w:p>
        </w:tc>
      </w:tr>
      <w:tr w:rsidRPr="00A7288B" w:rsidR="00A7288B" w:rsidTr="00FE166F" w14:paraId="6BF96BDE" w14:textId="77777777">
        <w:trPr>
          <w:trHeight w:val="285"/>
        </w:trPr>
        <w:tc>
          <w:tcPr>
            <w:tcW w:w="162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7CBCB"/>
          </w:tcPr>
          <w:p w:rsidRPr="00A7288B" w:rsidR="00A7288B" w:rsidP="00FE166F" w:rsidRDefault="00A7288B" w14:paraId="6B421013" w14:textId="77777777">
            <w:pPr>
              <w:rPr>
                <w:sz w:val="20"/>
                <w:szCs w:val="20"/>
              </w:rPr>
            </w:pPr>
            <w:r w:rsidRPr="00A7288B">
              <w:rPr>
                <w:rFonts w:eastAsia="Calibri" w:cs="Calibri"/>
                <w:color w:val="000000" w:themeColor="text1"/>
                <w:sz w:val="20"/>
                <w:szCs w:val="20"/>
              </w:rPr>
              <w:t>Total cost</w:t>
            </w:r>
          </w:p>
        </w:tc>
        <w:tc>
          <w:tcPr>
            <w:tcW w:w="148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7CBCB"/>
          </w:tcPr>
          <w:p w:rsidRPr="00A7288B" w:rsidR="00A7288B" w:rsidP="00FE166F" w:rsidRDefault="00A7288B" w14:paraId="606F9ACB" w14:textId="77777777">
            <w:pPr>
              <w:jc w:val="right"/>
              <w:rPr>
                <w:rFonts w:eastAsia="Calibri" w:cs="Calibri"/>
                <w:color w:val="000000" w:themeColor="text1"/>
                <w:sz w:val="20"/>
                <w:szCs w:val="20"/>
              </w:rPr>
            </w:pPr>
            <w:r w:rsidRPr="00A7288B">
              <w:rPr>
                <w:rFonts w:eastAsia="Calibri" w:cs="Calibri"/>
                <w:color w:val="000000" w:themeColor="text1"/>
                <w:sz w:val="20"/>
                <w:szCs w:val="20"/>
              </w:rPr>
              <w:t>5218.56</w:t>
            </w:r>
          </w:p>
        </w:tc>
        <w:tc>
          <w:tcPr>
            <w:tcW w:w="123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7CBCB"/>
          </w:tcPr>
          <w:p w:rsidRPr="00A7288B" w:rsidR="00A7288B" w:rsidP="00FE166F" w:rsidRDefault="00A7288B" w14:paraId="34923B2F" w14:textId="77777777">
            <w:pPr>
              <w:jc w:val="right"/>
              <w:rPr>
                <w:rFonts w:eastAsia="Calibri" w:cs="Calibri"/>
                <w:color w:val="000000" w:themeColor="text1"/>
                <w:sz w:val="20"/>
                <w:szCs w:val="20"/>
              </w:rPr>
            </w:pPr>
            <w:r w:rsidRPr="00A7288B">
              <w:rPr>
                <w:rFonts w:eastAsia="Calibri" w:cs="Calibri"/>
                <w:color w:val="000000" w:themeColor="text1"/>
                <w:sz w:val="20"/>
                <w:szCs w:val="20"/>
              </w:rPr>
              <w:t>15655.69</w:t>
            </w:r>
          </w:p>
        </w:tc>
        <w:tc>
          <w:tcPr>
            <w:tcW w:w="159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7CBCB"/>
          </w:tcPr>
          <w:p w:rsidRPr="00A7288B" w:rsidR="00A7288B" w:rsidP="00FE166F" w:rsidRDefault="00A7288B" w14:paraId="68F540F4" w14:textId="77777777">
            <w:pPr>
              <w:jc w:val="right"/>
              <w:rPr>
                <w:rFonts w:eastAsia="Calibri" w:cs="Calibri"/>
                <w:color w:val="000000" w:themeColor="text1"/>
                <w:sz w:val="20"/>
                <w:szCs w:val="20"/>
              </w:rPr>
            </w:pPr>
            <w:r w:rsidRPr="00A7288B">
              <w:rPr>
                <w:rFonts w:eastAsia="Calibri" w:cs="Calibri"/>
                <w:color w:val="000000" w:themeColor="text1"/>
                <w:sz w:val="20"/>
                <w:szCs w:val="20"/>
              </w:rPr>
              <w:t>266146.67</w:t>
            </w:r>
          </w:p>
        </w:tc>
        <w:tc>
          <w:tcPr>
            <w:tcW w:w="165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7CBCB"/>
          </w:tcPr>
          <w:p w:rsidRPr="00A7288B" w:rsidR="00A7288B" w:rsidP="00FE166F" w:rsidRDefault="00A7288B" w14:paraId="23C9CA67" w14:textId="77777777">
            <w:pPr>
              <w:jc w:val="right"/>
              <w:rPr>
                <w:rFonts w:eastAsia="Calibri" w:cs="Calibri"/>
                <w:color w:val="000000" w:themeColor="text1"/>
                <w:sz w:val="20"/>
                <w:szCs w:val="20"/>
              </w:rPr>
            </w:pPr>
            <w:r w:rsidRPr="00A7288B">
              <w:rPr>
                <w:rFonts w:eastAsia="Calibri" w:cs="Calibri"/>
                <w:color w:val="000000" w:themeColor="text1"/>
                <w:sz w:val="20"/>
                <w:szCs w:val="20"/>
              </w:rPr>
              <w:t>302676.60</w:t>
            </w:r>
          </w:p>
        </w:tc>
        <w:tc>
          <w:tcPr>
            <w:tcW w:w="1518"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F7CBCB"/>
          </w:tcPr>
          <w:p w:rsidRPr="00A7288B" w:rsidR="00A7288B" w:rsidP="00FE166F" w:rsidRDefault="00A7288B" w14:paraId="0F668B44" w14:textId="77777777">
            <w:pPr>
              <w:jc w:val="right"/>
              <w:rPr>
                <w:rFonts w:eastAsia="Calibri" w:cs="Calibri"/>
                <w:color w:val="000000" w:themeColor="text1"/>
                <w:sz w:val="20"/>
                <w:szCs w:val="20"/>
              </w:rPr>
            </w:pPr>
            <w:r w:rsidRPr="00A7288B">
              <w:rPr>
                <w:rFonts w:eastAsia="Calibri" w:cs="Calibri"/>
                <w:color w:val="000000" w:themeColor="text1"/>
                <w:sz w:val="20"/>
                <w:szCs w:val="20"/>
              </w:rPr>
              <w:t>333987.98</w:t>
            </w:r>
          </w:p>
        </w:tc>
      </w:tr>
      <w:tr w:rsidRPr="00A7288B" w:rsidR="00A7288B" w:rsidTr="00FE166F" w14:paraId="33E76313" w14:textId="77777777">
        <w:trPr>
          <w:trHeight w:val="285"/>
        </w:trPr>
        <w:tc>
          <w:tcPr>
            <w:tcW w:w="162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E2EFD9" w:themeFill="accent6" w:themeFillTint="33"/>
          </w:tcPr>
          <w:p w:rsidRPr="00A7288B" w:rsidR="00A7288B" w:rsidP="00FE166F" w:rsidRDefault="00A7288B" w14:paraId="5AAC1E61" w14:textId="77777777">
            <w:pPr>
              <w:rPr>
                <w:sz w:val="20"/>
                <w:szCs w:val="20"/>
              </w:rPr>
            </w:pPr>
            <w:r w:rsidRPr="00A7288B">
              <w:rPr>
                <w:rFonts w:eastAsia="Calibri" w:cs="Calibri"/>
                <w:color w:val="000000" w:themeColor="text1"/>
                <w:sz w:val="20"/>
                <w:szCs w:val="20"/>
              </w:rPr>
              <w:t>Revenue agreed (per existing SLA)</w:t>
            </w:r>
          </w:p>
        </w:tc>
        <w:tc>
          <w:tcPr>
            <w:tcW w:w="148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E2EFD9" w:themeFill="accent6" w:themeFillTint="33"/>
          </w:tcPr>
          <w:p w:rsidRPr="00A7288B" w:rsidR="00A7288B" w:rsidP="00FE166F" w:rsidRDefault="00A7288B" w14:paraId="18165D76" w14:textId="77777777">
            <w:pPr>
              <w:jc w:val="right"/>
              <w:rPr>
                <w:rFonts w:eastAsia="Calibri" w:cs="Calibri"/>
                <w:color w:val="000000" w:themeColor="text1"/>
                <w:sz w:val="20"/>
                <w:szCs w:val="20"/>
              </w:rPr>
            </w:pPr>
            <w:r w:rsidRPr="00A7288B">
              <w:rPr>
                <w:rFonts w:eastAsia="Calibri" w:cs="Calibri"/>
                <w:color w:val="000000" w:themeColor="text1"/>
                <w:sz w:val="20"/>
                <w:szCs w:val="20"/>
              </w:rPr>
              <w:t>7038.00</w:t>
            </w:r>
          </w:p>
        </w:tc>
        <w:tc>
          <w:tcPr>
            <w:tcW w:w="123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E2EFD9" w:themeFill="accent6" w:themeFillTint="33"/>
          </w:tcPr>
          <w:p w:rsidRPr="00A7288B" w:rsidR="00A7288B" w:rsidP="00FE166F" w:rsidRDefault="00A7288B" w14:paraId="2D0C32C3" w14:textId="77777777">
            <w:pPr>
              <w:jc w:val="right"/>
              <w:rPr>
                <w:rFonts w:eastAsia="Calibri" w:cs="Calibri"/>
                <w:color w:val="000000" w:themeColor="text1"/>
                <w:sz w:val="20"/>
                <w:szCs w:val="20"/>
              </w:rPr>
            </w:pPr>
            <w:r w:rsidRPr="00A7288B">
              <w:rPr>
                <w:rFonts w:eastAsia="Calibri" w:cs="Calibri"/>
                <w:color w:val="000000" w:themeColor="text1"/>
                <w:sz w:val="20"/>
                <w:szCs w:val="20"/>
              </w:rPr>
              <w:t>21114.00</w:t>
            </w:r>
          </w:p>
        </w:tc>
        <w:tc>
          <w:tcPr>
            <w:tcW w:w="159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E2EFD9" w:themeFill="accent6" w:themeFillTint="33"/>
          </w:tcPr>
          <w:p w:rsidRPr="00A7288B" w:rsidR="00A7288B" w:rsidP="00FE166F" w:rsidRDefault="00A7288B" w14:paraId="480433D6" w14:textId="77777777">
            <w:pPr>
              <w:jc w:val="right"/>
              <w:rPr>
                <w:rFonts w:eastAsia="Calibri" w:cs="Calibri"/>
                <w:color w:val="000000" w:themeColor="text1"/>
                <w:sz w:val="20"/>
                <w:szCs w:val="20"/>
              </w:rPr>
            </w:pPr>
            <w:r w:rsidRPr="00A7288B">
              <w:rPr>
                <w:rFonts w:eastAsia="Calibri" w:cs="Calibri"/>
                <w:color w:val="000000" w:themeColor="text1"/>
                <w:sz w:val="20"/>
                <w:szCs w:val="20"/>
              </w:rPr>
              <w:t>358938.00</w:t>
            </w:r>
          </w:p>
        </w:tc>
        <w:tc>
          <w:tcPr>
            <w:tcW w:w="165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E2EFD9" w:themeFill="accent6" w:themeFillTint="33"/>
          </w:tcPr>
          <w:p w:rsidRPr="00A7288B" w:rsidR="00A7288B" w:rsidP="00FE166F" w:rsidRDefault="00A7288B" w14:paraId="64458024" w14:textId="77777777">
            <w:pPr>
              <w:jc w:val="right"/>
              <w:rPr>
                <w:rFonts w:eastAsia="Calibri" w:cs="Calibri"/>
                <w:color w:val="000000" w:themeColor="text1"/>
                <w:sz w:val="20"/>
                <w:szCs w:val="20"/>
              </w:rPr>
            </w:pPr>
            <w:r w:rsidRPr="00A7288B">
              <w:rPr>
                <w:rFonts w:eastAsia="Calibri" w:cs="Calibri"/>
                <w:color w:val="000000" w:themeColor="text1"/>
                <w:sz w:val="20"/>
                <w:szCs w:val="20"/>
              </w:rPr>
              <w:t>408204.00</w:t>
            </w:r>
          </w:p>
        </w:tc>
        <w:tc>
          <w:tcPr>
            <w:tcW w:w="1518"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E2EFD9" w:themeFill="accent6" w:themeFillTint="33"/>
          </w:tcPr>
          <w:p w:rsidRPr="00A7288B" w:rsidR="00A7288B" w:rsidP="00FE166F" w:rsidRDefault="00A7288B" w14:paraId="5951D864" w14:textId="77777777">
            <w:pPr>
              <w:jc w:val="right"/>
              <w:rPr>
                <w:rFonts w:eastAsia="Calibri" w:cs="Calibri"/>
                <w:color w:val="000000" w:themeColor="text1"/>
                <w:sz w:val="20"/>
                <w:szCs w:val="20"/>
              </w:rPr>
            </w:pPr>
            <w:r w:rsidRPr="00A7288B">
              <w:rPr>
                <w:rFonts w:eastAsia="Calibri" w:cs="Calibri"/>
                <w:color w:val="000000" w:themeColor="text1"/>
                <w:sz w:val="20"/>
                <w:szCs w:val="20"/>
              </w:rPr>
              <w:t>450432.00</w:t>
            </w:r>
          </w:p>
        </w:tc>
      </w:tr>
      <w:tr w:rsidRPr="00A7288B" w:rsidR="00A7288B" w:rsidTr="00FE166F" w14:paraId="439E517B" w14:textId="77777777">
        <w:trPr>
          <w:trHeight w:val="285"/>
        </w:trPr>
        <w:tc>
          <w:tcPr>
            <w:tcW w:w="162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C5E0B3" w:themeFill="accent6" w:themeFillTint="66"/>
          </w:tcPr>
          <w:p w:rsidRPr="00A7288B" w:rsidR="00A7288B" w:rsidP="00FE166F" w:rsidRDefault="00A7288B" w14:paraId="4ED09536" w14:textId="77777777">
            <w:pPr>
              <w:rPr>
                <w:rFonts w:eastAsia="Calibri" w:cs="Calibri"/>
                <w:b/>
                <w:bCs/>
                <w:color w:val="000000" w:themeColor="text1"/>
                <w:sz w:val="20"/>
                <w:szCs w:val="20"/>
              </w:rPr>
            </w:pPr>
            <w:r w:rsidRPr="00A7288B">
              <w:rPr>
                <w:rFonts w:eastAsia="Calibri" w:cs="Calibri"/>
                <w:b/>
                <w:bCs/>
                <w:color w:val="000000" w:themeColor="text1"/>
                <w:sz w:val="20"/>
                <w:szCs w:val="20"/>
              </w:rPr>
              <w:t xml:space="preserve">Contingency surplus </w:t>
            </w:r>
          </w:p>
        </w:tc>
        <w:tc>
          <w:tcPr>
            <w:tcW w:w="148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C5E0B3" w:themeFill="accent6" w:themeFillTint="66"/>
          </w:tcPr>
          <w:p w:rsidRPr="00A7288B" w:rsidR="00A7288B" w:rsidP="00FE166F" w:rsidRDefault="00A7288B" w14:paraId="32F91322" w14:textId="77777777">
            <w:pPr>
              <w:jc w:val="right"/>
              <w:rPr>
                <w:rFonts w:eastAsia="Calibri" w:cs="Calibri"/>
                <w:b/>
                <w:bCs/>
                <w:color w:val="000000" w:themeColor="text1"/>
                <w:sz w:val="20"/>
                <w:szCs w:val="20"/>
              </w:rPr>
            </w:pPr>
            <w:r w:rsidRPr="00A7288B">
              <w:rPr>
                <w:rFonts w:eastAsia="Calibri" w:cs="Calibri"/>
                <w:b/>
                <w:bCs/>
                <w:color w:val="000000" w:themeColor="text1"/>
                <w:sz w:val="20"/>
                <w:szCs w:val="20"/>
              </w:rPr>
              <w:t>1819.44</w:t>
            </w:r>
          </w:p>
        </w:tc>
        <w:tc>
          <w:tcPr>
            <w:tcW w:w="123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C5E0B3" w:themeFill="accent6" w:themeFillTint="66"/>
          </w:tcPr>
          <w:p w:rsidRPr="00A7288B" w:rsidR="00A7288B" w:rsidP="00FE166F" w:rsidRDefault="00A7288B" w14:paraId="185FC304" w14:textId="77777777">
            <w:pPr>
              <w:jc w:val="right"/>
              <w:rPr>
                <w:rFonts w:eastAsia="Calibri" w:cs="Calibri"/>
                <w:b/>
                <w:bCs/>
                <w:color w:val="000000" w:themeColor="text1"/>
                <w:sz w:val="20"/>
                <w:szCs w:val="20"/>
              </w:rPr>
            </w:pPr>
            <w:r w:rsidRPr="00A7288B">
              <w:rPr>
                <w:rFonts w:eastAsia="Calibri" w:cs="Calibri"/>
                <w:b/>
                <w:bCs/>
                <w:color w:val="000000" w:themeColor="text1"/>
                <w:sz w:val="20"/>
                <w:szCs w:val="20"/>
              </w:rPr>
              <w:t>5458.31</w:t>
            </w:r>
          </w:p>
        </w:tc>
        <w:tc>
          <w:tcPr>
            <w:tcW w:w="159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C5E0B3" w:themeFill="accent6" w:themeFillTint="66"/>
          </w:tcPr>
          <w:p w:rsidRPr="00A7288B" w:rsidR="00A7288B" w:rsidP="00FE166F" w:rsidRDefault="00A7288B" w14:paraId="2CC924C1" w14:textId="77777777">
            <w:pPr>
              <w:jc w:val="right"/>
              <w:rPr>
                <w:rFonts w:eastAsia="Calibri" w:cs="Calibri"/>
                <w:b/>
                <w:bCs/>
                <w:color w:val="000000" w:themeColor="text1"/>
                <w:sz w:val="20"/>
                <w:szCs w:val="20"/>
              </w:rPr>
            </w:pPr>
            <w:r w:rsidRPr="00A7288B">
              <w:rPr>
                <w:rFonts w:eastAsia="Calibri" w:cs="Calibri"/>
                <w:b/>
                <w:bCs/>
                <w:color w:val="000000" w:themeColor="text1"/>
                <w:sz w:val="20"/>
                <w:szCs w:val="20"/>
              </w:rPr>
              <w:t>92791.33</w:t>
            </w:r>
          </w:p>
        </w:tc>
        <w:tc>
          <w:tcPr>
            <w:tcW w:w="165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C5E0B3" w:themeFill="accent6" w:themeFillTint="66"/>
          </w:tcPr>
          <w:p w:rsidRPr="00A7288B" w:rsidR="00A7288B" w:rsidP="00FE166F" w:rsidRDefault="00A7288B" w14:paraId="3B93D1B6" w14:textId="77777777">
            <w:pPr>
              <w:jc w:val="right"/>
              <w:rPr>
                <w:rFonts w:eastAsia="Calibri" w:cs="Calibri"/>
                <w:b/>
                <w:bCs/>
                <w:color w:val="000000" w:themeColor="text1"/>
                <w:sz w:val="20"/>
                <w:szCs w:val="20"/>
              </w:rPr>
            </w:pPr>
            <w:r w:rsidRPr="00A7288B">
              <w:rPr>
                <w:rFonts w:eastAsia="Calibri" w:cs="Calibri"/>
                <w:b/>
                <w:bCs/>
                <w:color w:val="000000" w:themeColor="text1"/>
                <w:sz w:val="20"/>
                <w:szCs w:val="20"/>
              </w:rPr>
              <w:t>105527.40</w:t>
            </w:r>
          </w:p>
        </w:tc>
        <w:tc>
          <w:tcPr>
            <w:tcW w:w="1518"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C5E0B3" w:themeFill="accent6" w:themeFillTint="66"/>
          </w:tcPr>
          <w:p w:rsidRPr="00A7288B" w:rsidR="00A7288B" w:rsidP="00FE166F" w:rsidRDefault="00A7288B" w14:paraId="30E1058A" w14:textId="77777777">
            <w:pPr>
              <w:jc w:val="right"/>
              <w:rPr>
                <w:rFonts w:eastAsia="Calibri" w:cs="Calibri"/>
                <w:b/>
                <w:bCs/>
                <w:color w:val="000000" w:themeColor="text1"/>
                <w:sz w:val="20"/>
                <w:szCs w:val="20"/>
              </w:rPr>
            </w:pPr>
            <w:r w:rsidRPr="00A7288B">
              <w:rPr>
                <w:rFonts w:eastAsia="Calibri" w:cs="Calibri"/>
                <w:b/>
                <w:bCs/>
                <w:color w:val="000000" w:themeColor="text1"/>
                <w:sz w:val="20"/>
                <w:szCs w:val="20"/>
              </w:rPr>
              <w:t>116444.02</w:t>
            </w:r>
          </w:p>
        </w:tc>
      </w:tr>
    </w:tbl>
    <w:p w:rsidRPr="00F10DA7" w:rsidR="00653AEC" w:rsidP="00F10DA7" w:rsidRDefault="00653AEC" w14:paraId="6D290429" w14:textId="77777777">
      <w:pPr>
        <w:spacing w:after="0" w:line="240" w:lineRule="auto"/>
        <w:rPr>
          <w:b/>
        </w:rPr>
      </w:pPr>
    </w:p>
    <w:p w:rsidRPr="00762A97" w:rsidR="001F3341" w:rsidP="00762A97" w:rsidRDefault="00653AEC" w14:paraId="4575B1CE" w14:textId="252B9D34">
      <w:pPr>
        <w:pStyle w:val="ListParagraph"/>
        <w:numPr>
          <w:ilvl w:val="0"/>
          <w:numId w:val="1"/>
        </w:numPr>
        <w:spacing w:after="0" w:line="240" w:lineRule="auto"/>
        <w:rPr>
          <w:b/>
        </w:rPr>
      </w:pPr>
      <w:r w:rsidRPr="00AE2D20">
        <w:rPr>
          <w:b/>
        </w:rPr>
        <w:t>RECOMMENDATION</w:t>
      </w:r>
    </w:p>
    <w:p w:rsidRPr="004E1EDA" w:rsidR="00B91D15" w:rsidP="00B91D15" w:rsidRDefault="00B91D15" w14:paraId="72D4056E" w14:textId="58FB8DA4">
      <w:pPr>
        <w:ind w:right="96"/>
      </w:pPr>
      <w:r w:rsidRPr="004E1EDA">
        <w:t>Members are asked to:</w:t>
      </w:r>
    </w:p>
    <w:p w:rsidR="00034731" w:rsidP="00034731" w:rsidRDefault="00034731" w14:paraId="5B132A0C" w14:textId="1E740C06">
      <w:pPr>
        <w:pStyle w:val="ListParagraph"/>
        <w:numPr>
          <w:ilvl w:val="0"/>
          <w:numId w:val="3"/>
        </w:numPr>
      </w:pPr>
      <w:r w:rsidRPr="00AF59FD">
        <w:rPr>
          <w:b/>
          <w:color w:val="000000" w:themeColor="text1"/>
        </w:rPr>
        <w:t xml:space="preserve">APPROVE </w:t>
      </w:r>
      <w:r>
        <w:t>the recommendation from PFAG to</w:t>
      </w:r>
      <w:r w:rsidRPr="00006DB9">
        <w:t xml:space="preserve"> directly award a preferred digital case management solution, Access Adam, for Continuing Healthcare (CHC) and </w:t>
      </w:r>
      <w:r>
        <w:t>Complex Care</w:t>
      </w:r>
      <w:r w:rsidRPr="00006DB9">
        <w:t xml:space="preserve">. </w:t>
      </w:r>
      <w:r>
        <w:t xml:space="preserve"> </w:t>
      </w:r>
      <w:r w:rsidRPr="00006DB9">
        <w:t>The investment comprises an upfront cost of £61,755 in Year 1, followed by annual costs of £40,275 for both Year 2 and Year 3. A benefits analysis indicates anticipated annual savings of £67,000, which will be realised on a quarterly basis</w:t>
      </w:r>
      <w:r>
        <w:t>.</w:t>
      </w:r>
    </w:p>
    <w:p w:rsidRPr="00006DB9" w:rsidR="000D1A77" w:rsidP="000D1A77" w:rsidRDefault="000D1A77" w14:paraId="2501B13D" w14:textId="77777777">
      <w:pPr>
        <w:pStyle w:val="ListParagraph"/>
      </w:pPr>
    </w:p>
    <w:p w:rsidR="000D1A77" w:rsidP="00034731" w:rsidRDefault="00034731" w14:paraId="12A02750" w14:textId="1842C8E0">
      <w:pPr>
        <w:pStyle w:val="ListParagraph"/>
        <w:numPr>
          <w:ilvl w:val="0"/>
          <w:numId w:val="3"/>
        </w:numPr>
        <w:rPr>
          <w:noProof/>
        </w:rPr>
      </w:pPr>
      <w:r w:rsidRPr="00AF59FD">
        <w:rPr>
          <w:b/>
          <w:color w:val="000000" w:themeColor="text1"/>
        </w:rPr>
        <w:t xml:space="preserve">APPROVE </w:t>
      </w:r>
      <w:r>
        <w:t>the recommendation from PFAG to</w:t>
      </w:r>
      <w:r w:rsidRPr="45B28A61">
        <w:t xml:space="preserve"> extend the WIMOS service to residents of North Wales for up to 65 referred patients from Northern Care Alliance NHS Foundation Trust</w:t>
      </w:r>
      <w:r>
        <w:t xml:space="preserve">. </w:t>
      </w:r>
      <w:r>
        <w:rPr>
          <w:noProof/>
        </w:rPr>
        <w:t>I</w:t>
      </w:r>
      <w:r w:rsidRPr="6B981D9A">
        <w:rPr>
          <w:noProof/>
        </w:rPr>
        <w:t>t has been agreed by NWJCC that the entirety of additional MDT costs will be reimbursed by NWJCC at £397,941.33 across the 3-year period</w:t>
      </w:r>
      <w:r>
        <w:rPr>
          <w:noProof/>
        </w:rPr>
        <w:t>.</w:t>
      </w:r>
    </w:p>
    <w:p w:rsidR="000D1A77" w:rsidRDefault="000D1A77" w14:paraId="5520EA87" w14:textId="77777777">
      <w:pPr>
        <w:rPr>
          <w:noProof/>
        </w:rPr>
      </w:pPr>
      <w:r>
        <w:rPr>
          <w:noProof/>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F10DA7" w:rsidTr="2D0282FE" w14:paraId="1632A73C" w14:textId="77777777">
        <w:tc>
          <w:tcPr>
            <w:tcW w:w="9245" w:type="dxa"/>
            <w:gridSpan w:val="3"/>
            <w:shd w:val="clear" w:color="auto" w:fill="163E64"/>
            <w:tcMar/>
          </w:tcPr>
          <w:p w:rsidRPr="001F2857" w:rsidR="00F10DA7" w:rsidP="004D38CE" w:rsidRDefault="00F10DA7" w14:paraId="2510F278" w14:textId="77777777">
            <w:pPr>
              <w:jc w:val="center"/>
              <w:rPr>
                <w:b/>
              </w:rPr>
            </w:pPr>
            <w:r w:rsidRPr="00F8567E">
              <w:rPr>
                <w:b/>
              </w:rPr>
              <w:t>Governance and Assurance</w:t>
            </w:r>
          </w:p>
        </w:tc>
      </w:tr>
      <w:tr w:rsidRPr="00F8567E" w:rsidR="00F10DA7" w:rsidTr="2D0282FE" w14:paraId="16FB3358" w14:textId="77777777">
        <w:tc>
          <w:tcPr>
            <w:tcW w:w="9245" w:type="dxa"/>
            <w:gridSpan w:val="3"/>
            <w:shd w:val="clear" w:color="auto" w:fill="C1A775"/>
            <w:tcMar/>
          </w:tcPr>
          <w:p w:rsidRPr="00F8567E" w:rsidR="00F10DA7" w:rsidP="004D38CE" w:rsidRDefault="00F10DA7" w14:paraId="304660C5" w14:textId="77777777">
            <w:pPr>
              <w:rPr>
                <w:b/>
              </w:rPr>
            </w:pPr>
            <w:r>
              <w:rPr>
                <w:b/>
              </w:rPr>
              <w:t>Strategic Objectives</w:t>
            </w:r>
          </w:p>
        </w:tc>
      </w:tr>
      <w:tr w:rsidRPr="00F8567E" w:rsidR="00F10DA7" w:rsidTr="2D0282FE" w14:paraId="1EE5F45A" w14:textId="77777777">
        <w:tc>
          <w:tcPr>
            <w:tcW w:w="1809" w:type="dxa"/>
            <w:vMerge w:val="restart"/>
            <w:tcMar/>
          </w:tcPr>
          <w:p w:rsidRPr="00F8567E" w:rsidR="00F10DA7" w:rsidP="004D38CE" w:rsidRDefault="00F10DA7" w14:paraId="3DED7F46" w14:textId="77777777">
            <w:pPr>
              <w:rPr>
                <w:b/>
              </w:rPr>
            </w:pPr>
            <w:r>
              <w:rPr>
                <w:b/>
              </w:rPr>
              <w:t xml:space="preserve">Strategic </w:t>
            </w:r>
            <w:r w:rsidRPr="00F8567E">
              <w:rPr>
                <w:b/>
              </w:rPr>
              <w:t>Objectives</w:t>
            </w:r>
          </w:p>
          <w:p w:rsidRPr="00F8567E" w:rsidR="00F10DA7" w:rsidP="004D38CE" w:rsidRDefault="00F10DA7" w14:paraId="5B388522" w14:textId="77777777">
            <w:pPr>
              <w:rPr>
                <w:b/>
              </w:rPr>
            </w:pPr>
            <w:r w:rsidRPr="00F8567E">
              <w:rPr>
                <w:b/>
                <w:i/>
              </w:rPr>
              <w:t>(please choose</w:t>
            </w:r>
            <w:r>
              <w:rPr>
                <w:b/>
                <w:i/>
              </w:rPr>
              <w:t xml:space="preserve"> which is impacted</w:t>
            </w:r>
            <w:r w:rsidRPr="00F8567E">
              <w:rPr>
                <w:b/>
                <w:i/>
              </w:rPr>
              <w:t>)</w:t>
            </w:r>
          </w:p>
        </w:tc>
        <w:tc>
          <w:tcPr>
            <w:tcW w:w="5812" w:type="dxa"/>
            <w:tcMar/>
          </w:tcPr>
          <w:p w:rsidRPr="00F8567E" w:rsidR="00F10DA7" w:rsidP="004D38CE" w:rsidRDefault="00F10DA7" w14:paraId="225847FD" w14:textId="77777777">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Mar/>
              </w:tcPr>
              <w:p w:rsidRPr="00F8567E" w:rsidR="00F10DA7" w:rsidP="004D38CE" w:rsidRDefault="00B371C5" w14:paraId="2FCE7832" w14:textId="0CDB515B">
                <w:pPr>
                  <w:jc w:val="center"/>
                </w:pPr>
                <w:r>
                  <w:rPr>
                    <w:rFonts w:hint="eastAsia" w:ascii="MS Gothic" w:hAnsi="MS Gothic" w:eastAsia="MS Gothic"/>
                  </w:rPr>
                  <w:t>☒</w:t>
                </w:r>
              </w:p>
            </w:tc>
          </w:sdtContent>
        </w:sdt>
      </w:tr>
      <w:tr w:rsidRPr="00F8567E" w:rsidR="00F10DA7" w:rsidTr="2D0282FE" w14:paraId="76B151DC" w14:textId="77777777">
        <w:tc>
          <w:tcPr>
            <w:tcW w:w="1809" w:type="dxa"/>
            <w:vMerge/>
            <w:tcMar/>
          </w:tcPr>
          <w:p w:rsidRPr="00F8567E" w:rsidR="00F10DA7" w:rsidP="004D38CE" w:rsidRDefault="00F10DA7" w14:paraId="76DBE088" w14:textId="77777777">
            <w:pPr>
              <w:rPr>
                <w:b/>
              </w:rPr>
            </w:pPr>
          </w:p>
        </w:tc>
        <w:tc>
          <w:tcPr>
            <w:tcW w:w="5812" w:type="dxa"/>
            <w:tcMar/>
          </w:tcPr>
          <w:p w:rsidRPr="00F8567E" w:rsidR="00F10DA7" w:rsidP="004D38CE" w:rsidRDefault="00F10DA7" w14:paraId="6C41B851" w14:textId="77777777">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Mar/>
              </w:tcPr>
              <w:p w:rsidRPr="00F8567E" w:rsidR="00F10DA7" w:rsidP="004D38CE" w:rsidRDefault="00B371C5" w14:paraId="3048DF75" w14:textId="53C8C3FE">
                <w:pPr>
                  <w:jc w:val="center"/>
                </w:pPr>
                <w:r>
                  <w:rPr>
                    <w:rFonts w:hint="eastAsia" w:ascii="MS Gothic" w:hAnsi="MS Gothic" w:eastAsia="MS Gothic"/>
                  </w:rPr>
                  <w:t>☒</w:t>
                </w:r>
              </w:p>
            </w:tc>
          </w:sdtContent>
        </w:sdt>
      </w:tr>
      <w:tr w:rsidRPr="00F8567E" w:rsidR="00F10DA7" w:rsidTr="2D0282FE" w14:paraId="1F208B63" w14:textId="77777777">
        <w:tc>
          <w:tcPr>
            <w:tcW w:w="1809" w:type="dxa"/>
            <w:vMerge/>
            <w:tcMar/>
          </w:tcPr>
          <w:p w:rsidRPr="00F8567E" w:rsidR="00F10DA7" w:rsidP="004D38CE" w:rsidRDefault="00F10DA7" w14:paraId="0B9E5445" w14:textId="77777777">
            <w:pPr>
              <w:rPr>
                <w:b/>
              </w:rPr>
            </w:pPr>
          </w:p>
        </w:tc>
        <w:tc>
          <w:tcPr>
            <w:tcW w:w="5812" w:type="dxa"/>
            <w:tcMar/>
          </w:tcPr>
          <w:p w:rsidRPr="00F8567E" w:rsidR="00F10DA7" w:rsidP="004D38CE" w:rsidRDefault="00F10DA7" w14:paraId="54138B8B" w14:textId="77777777">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Mar/>
              </w:tcPr>
              <w:p w:rsidRPr="00F8567E" w:rsidR="00F10DA7" w:rsidP="004D38CE" w:rsidRDefault="00B371C5" w14:paraId="0CDD4158" w14:textId="6C173333">
                <w:pPr>
                  <w:jc w:val="center"/>
                </w:pPr>
                <w:r>
                  <w:rPr>
                    <w:rFonts w:hint="eastAsia" w:ascii="MS Gothic" w:hAnsi="MS Gothic" w:eastAsia="MS Gothic"/>
                  </w:rPr>
                  <w:t>☒</w:t>
                </w:r>
              </w:p>
            </w:tc>
          </w:sdtContent>
        </w:sdt>
      </w:tr>
      <w:tr w:rsidRPr="00F8567E" w:rsidR="00F10DA7" w:rsidTr="2D0282FE" w14:paraId="5C85DDA4" w14:textId="77777777">
        <w:tc>
          <w:tcPr>
            <w:tcW w:w="1809" w:type="dxa"/>
            <w:vMerge/>
            <w:tcMar/>
          </w:tcPr>
          <w:p w:rsidRPr="00F8567E" w:rsidR="00F10DA7" w:rsidP="004D38CE" w:rsidRDefault="00F10DA7" w14:paraId="3E901434" w14:textId="77777777">
            <w:pPr>
              <w:rPr>
                <w:b/>
              </w:rPr>
            </w:pPr>
          </w:p>
        </w:tc>
        <w:tc>
          <w:tcPr>
            <w:tcW w:w="5812" w:type="dxa"/>
            <w:tcMar/>
          </w:tcPr>
          <w:p w:rsidRPr="00F8567E" w:rsidR="00F10DA7" w:rsidP="004D38CE" w:rsidRDefault="00F10DA7" w14:paraId="3863F46B" w14:textId="77777777">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Mar/>
              </w:tcPr>
              <w:p w:rsidRPr="00F8567E" w:rsidR="00F10DA7" w:rsidP="004D38CE" w:rsidRDefault="00B371C5" w14:paraId="6DA48B6E" w14:textId="5189CD01">
                <w:pPr>
                  <w:jc w:val="center"/>
                </w:pPr>
                <w:r>
                  <w:rPr>
                    <w:rFonts w:hint="eastAsia" w:ascii="MS Gothic" w:hAnsi="MS Gothic" w:eastAsia="MS Gothic"/>
                  </w:rPr>
                  <w:t>☒</w:t>
                </w:r>
              </w:p>
            </w:tc>
          </w:sdtContent>
        </w:sdt>
      </w:tr>
      <w:tr w:rsidRPr="00F8567E" w:rsidR="00F10DA7" w:rsidTr="2D0282FE" w14:paraId="4BC51ACE" w14:textId="77777777">
        <w:tc>
          <w:tcPr>
            <w:tcW w:w="1809" w:type="dxa"/>
            <w:vMerge/>
            <w:tcMar/>
          </w:tcPr>
          <w:p w:rsidRPr="00F8567E" w:rsidR="00F10DA7" w:rsidP="004D38CE" w:rsidRDefault="00F10DA7" w14:paraId="1694BEF6" w14:textId="77777777">
            <w:pPr>
              <w:rPr>
                <w:b/>
              </w:rPr>
            </w:pPr>
          </w:p>
        </w:tc>
        <w:tc>
          <w:tcPr>
            <w:tcW w:w="5812" w:type="dxa"/>
            <w:tcMar/>
          </w:tcPr>
          <w:p w:rsidRPr="00F8567E" w:rsidR="00F10DA7" w:rsidP="004D38CE" w:rsidRDefault="00F10DA7" w14:paraId="636EA9CC" w14:textId="77777777">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Mar/>
              </w:tcPr>
              <w:p w:rsidRPr="00F8567E" w:rsidR="00F10DA7" w:rsidP="004D38CE" w:rsidRDefault="00F10DA7" w14:paraId="2774ED6C" w14:textId="77777777">
                <w:pPr>
                  <w:jc w:val="center"/>
                </w:pPr>
                <w:r>
                  <w:rPr>
                    <w:rFonts w:hint="eastAsia" w:ascii="MS Gothic" w:hAnsi="MS Gothic" w:eastAsia="MS Gothic"/>
                  </w:rPr>
                  <w:t>☒</w:t>
                </w:r>
              </w:p>
            </w:tc>
          </w:sdtContent>
        </w:sdt>
      </w:tr>
      <w:tr w:rsidRPr="00F8567E" w:rsidR="00F10DA7" w:rsidTr="2D0282FE" w14:paraId="60433565" w14:textId="77777777">
        <w:tc>
          <w:tcPr>
            <w:tcW w:w="9245" w:type="dxa"/>
            <w:gridSpan w:val="3"/>
            <w:shd w:val="clear" w:color="auto" w:fill="C1A775"/>
            <w:tcMar/>
          </w:tcPr>
          <w:p w:rsidRPr="00F8567E" w:rsidR="00F10DA7" w:rsidP="004D38CE" w:rsidRDefault="00F10DA7" w14:paraId="63A2311E" w14:textId="77777777">
            <w:pPr>
              <w:rPr>
                <w:b/>
              </w:rPr>
            </w:pPr>
            <w:r w:rsidRPr="00F8567E">
              <w:rPr>
                <w:b/>
              </w:rPr>
              <w:t>Health and Care Standards</w:t>
            </w:r>
          </w:p>
        </w:tc>
      </w:tr>
      <w:tr w:rsidRPr="00F8567E" w:rsidR="00F10DA7" w:rsidTr="2D0282FE" w14:paraId="72C4FD1E" w14:textId="77777777">
        <w:tc>
          <w:tcPr>
            <w:tcW w:w="1809" w:type="dxa"/>
            <w:vMerge w:val="restart"/>
            <w:tcMar/>
          </w:tcPr>
          <w:p w:rsidRPr="00F8567E" w:rsidR="00F10DA7" w:rsidP="004D38CE" w:rsidRDefault="00F10DA7" w14:paraId="0D645A4E" w14:textId="77777777">
            <w:r w:rsidRPr="00C55C8E">
              <w:rPr>
                <w:b/>
                <w:iCs/>
              </w:rPr>
              <w:t>Standards</w:t>
            </w:r>
            <w:r w:rsidRPr="00C55C8E">
              <w:rPr>
                <w:b/>
                <w:i/>
              </w:rPr>
              <w:t xml:space="preserve"> </w:t>
            </w:r>
            <w:r w:rsidRPr="00F8567E">
              <w:rPr>
                <w:b/>
                <w:i/>
              </w:rPr>
              <w:t>(please choose</w:t>
            </w:r>
            <w:r>
              <w:rPr>
                <w:b/>
                <w:i/>
              </w:rPr>
              <w:t xml:space="preserve"> which applies</w:t>
            </w:r>
            <w:r w:rsidRPr="00F8567E">
              <w:rPr>
                <w:b/>
                <w:i/>
              </w:rPr>
              <w:t>)</w:t>
            </w:r>
          </w:p>
        </w:tc>
        <w:tc>
          <w:tcPr>
            <w:tcW w:w="5812" w:type="dxa"/>
            <w:tcMar/>
          </w:tcPr>
          <w:p w:rsidRPr="00F8567E" w:rsidR="00F10DA7" w:rsidP="004D38CE" w:rsidRDefault="00F10DA7" w14:paraId="5DE92A6A" w14:textId="77777777">
            <w:r w:rsidRPr="00DE4E74">
              <w:t>Safe Care</w:t>
            </w:r>
          </w:p>
        </w:tc>
        <w:sdt>
          <w:sdtPr>
            <w:id w:val="937573542"/>
            <w14:checkbox>
              <w14:checked w14:val="1"/>
              <w14:checkedState w14:val="2612" w14:font="MS Gothic"/>
              <w14:uncheckedState w14:val="2610" w14:font="MS Gothic"/>
            </w14:checkbox>
          </w:sdtPr>
          <w:sdtEndPr/>
          <w:sdtContent>
            <w:tc>
              <w:tcPr>
                <w:tcW w:w="1624" w:type="dxa"/>
                <w:tcMar/>
              </w:tcPr>
              <w:p w:rsidRPr="00F8567E" w:rsidR="00F10DA7" w:rsidP="004D38CE" w:rsidRDefault="00F10DA7" w14:paraId="550D1AAB" w14:textId="77777777">
                <w:pPr>
                  <w:jc w:val="center"/>
                </w:pPr>
                <w:r>
                  <w:rPr>
                    <w:rFonts w:hint="eastAsia" w:ascii="MS Gothic" w:hAnsi="MS Gothic" w:eastAsia="MS Gothic"/>
                  </w:rPr>
                  <w:t>☒</w:t>
                </w:r>
              </w:p>
            </w:tc>
          </w:sdtContent>
        </w:sdt>
      </w:tr>
      <w:tr w:rsidRPr="00F8567E" w:rsidR="00F10DA7" w:rsidTr="2D0282FE" w14:paraId="73EFFDEC" w14:textId="77777777">
        <w:tc>
          <w:tcPr>
            <w:tcW w:w="1809" w:type="dxa"/>
            <w:vMerge/>
            <w:tcMar/>
          </w:tcPr>
          <w:p w:rsidRPr="00F8567E" w:rsidR="00F10DA7" w:rsidP="004D38CE" w:rsidRDefault="00F10DA7" w14:paraId="0A2F506D" w14:textId="77777777">
            <w:pPr>
              <w:rPr>
                <w:b/>
              </w:rPr>
            </w:pPr>
          </w:p>
        </w:tc>
        <w:tc>
          <w:tcPr>
            <w:tcW w:w="5812" w:type="dxa"/>
            <w:tcMar/>
          </w:tcPr>
          <w:p w:rsidRPr="00F8567E" w:rsidR="00F10DA7" w:rsidP="004D38CE" w:rsidRDefault="00F10DA7" w14:paraId="542D280F" w14:textId="77777777">
            <w:pPr>
              <w:rPr>
                <w:b/>
              </w:rPr>
            </w:pPr>
            <w:r w:rsidRPr="00DE4E74">
              <w:t>Timely Care</w:t>
            </w:r>
          </w:p>
        </w:tc>
        <w:sdt>
          <w:sdtPr>
            <w:id w:val="-275186550"/>
            <w14:checkbox>
              <w14:checked w14:val="1"/>
              <w14:checkedState w14:val="2612" w14:font="MS Gothic"/>
              <w14:uncheckedState w14:val="2610" w14:font="MS Gothic"/>
            </w14:checkbox>
          </w:sdtPr>
          <w:sdtEndPr/>
          <w:sdtContent>
            <w:tc>
              <w:tcPr>
                <w:tcW w:w="1624" w:type="dxa"/>
                <w:tcMar/>
              </w:tcPr>
              <w:p w:rsidRPr="00F8567E" w:rsidR="00F10DA7" w:rsidP="004D38CE" w:rsidRDefault="00F10DA7" w14:paraId="6366A5B5" w14:textId="77777777">
                <w:pPr>
                  <w:jc w:val="center"/>
                  <w:rPr>
                    <w:b/>
                  </w:rPr>
                </w:pPr>
                <w:r>
                  <w:rPr>
                    <w:rFonts w:hint="eastAsia" w:ascii="MS Gothic" w:hAnsi="MS Gothic" w:eastAsia="MS Gothic"/>
                  </w:rPr>
                  <w:t>☒</w:t>
                </w:r>
              </w:p>
            </w:tc>
          </w:sdtContent>
        </w:sdt>
      </w:tr>
      <w:tr w:rsidRPr="00F8567E" w:rsidR="00F10DA7" w:rsidTr="2D0282FE" w14:paraId="5BAF09FE" w14:textId="77777777">
        <w:tc>
          <w:tcPr>
            <w:tcW w:w="1809" w:type="dxa"/>
            <w:vMerge/>
            <w:tcMar/>
          </w:tcPr>
          <w:p w:rsidRPr="00F8567E" w:rsidR="00F10DA7" w:rsidP="004D38CE" w:rsidRDefault="00F10DA7" w14:paraId="58ED3986" w14:textId="77777777">
            <w:pPr>
              <w:rPr>
                <w:b/>
              </w:rPr>
            </w:pPr>
          </w:p>
        </w:tc>
        <w:tc>
          <w:tcPr>
            <w:tcW w:w="5812" w:type="dxa"/>
            <w:tcMar/>
          </w:tcPr>
          <w:p w:rsidRPr="00F8567E" w:rsidR="00F10DA7" w:rsidP="004D38CE" w:rsidRDefault="00F10DA7" w14:paraId="1FC4AE03" w14:textId="77777777">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Mar/>
              </w:tcPr>
              <w:p w:rsidRPr="00F8567E" w:rsidR="00F10DA7" w:rsidP="004D38CE" w:rsidRDefault="00F10DA7" w14:paraId="575464E2" w14:textId="77777777">
                <w:pPr>
                  <w:jc w:val="center"/>
                  <w:rPr>
                    <w:b/>
                  </w:rPr>
                </w:pPr>
                <w:r>
                  <w:rPr>
                    <w:rFonts w:hint="eastAsia" w:ascii="MS Gothic" w:hAnsi="MS Gothic" w:eastAsia="MS Gothic"/>
                  </w:rPr>
                  <w:t>☒</w:t>
                </w:r>
              </w:p>
            </w:tc>
          </w:sdtContent>
        </w:sdt>
      </w:tr>
      <w:tr w:rsidRPr="00F8567E" w:rsidR="00F10DA7" w:rsidTr="2D0282FE" w14:paraId="4A552602" w14:textId="77777777">
        <w:tc>
          <w:tcPr>
            <w:tcW w:w="1809" w:type="dxa"/>
            <w:vMerge/>
            <w:tcMar/>
          </w:tcPr>
          <w:p w:rsidRPr="00F8567E" w:rsidR="00F10DA7" w:rsidP="004D38CE" w:rsidRDefault="00F10DA7" w14:paraId="651F3195" w14:textId="77777777">
            <w:pPr>
              <w:rPr>
                <w:b/>
              </w:rPr>
            </w:pPr>
          </w:p>
        </w:tc>
        <w:tc>
          <w:tcPr>
            <w:tcW w:w="5812" w:type="dxa"/>
            <w:tcMar/>
          </w:tcPr>
          <w:p w:rsidRPr="00F8567E" w:rsidR="00F10DA7" w:rsidP="004D38CE" w:rsidRDefault="00F10DA7" w14:paraId="78BE18F0" w14:textId="77777777">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Mar/>
              </w:tcPr>
              <w:p w:rsidRPr="00F8567E" w:rsidR="00F10DA7" w:rsidP="004D38CE" w:rsidRDefault="00B371C5" w14:paraId="2FCF9A09" w14:textId="5BA84C94">
                <w:pPr>
                  <w:jc w:val="center"/>
                  <w:rPr>
                    <w:b/>
                  </w:rPr>
                </w:pPr>
                <w:r>
                  <w:rPr>
                    <w:rFonts w:hint="eastAsia" w:ascii="MS Gothic" w:hAnsi="MS Gothic" w:eastAsia="MS Gothic"/>
                  </w:rPr>
                  <w:t>☒</w:t>
                </w:r>
              </w:p>
            </w:tc>
          </w:sdtContent>
        </w:sdt>
      </w:tr>
      <w:tr w:rsidRPr="00F8567E" w:rsidR="00F10DA7" w:rsidTr="2D0282FE" w14:paraId="32CFF6FC" w14:textId="77777777">
        <w:tc>
          <w:tcPr>
            <w:tcW w:w="1809" w:type="dxa"/>
            <w:vMerge/>
            <w:tcMar/>
          </w:tcPr>
          <w:p w:rsidRPr="00F8567E" w:rsidR="00F10DA7" w:rsidP="004D38CE" w:rsidRDefault="00F10DA7" w14:paraId="3F9FF34B" w14:textId="77777777">
            <w:pPr>
              <w:rPr>
                <w:b/>
              </w:rPr>
            </w:pPr>
          </w:p>
        </w:tc>
        <w:tc>
          <w:tcPr>
            <w:tcW w:w="5812" w:type="dxa"/>
            <w:tcMar/>
          </w:tcPr>
          <w:p w:rsidRPr="00F8567E" w:rsidR="00F10DA7" w:rsidP="004D38CE" w:rsidRDefault="00F10DA7" w14:paraId="7645528B" w14:textId="77777777">
            <w:pPr>
              <w:rPr>
                <w:b/>
              </w:rPr>
            </w:pPr>
            <w:r w:rsidRPr="00DE4E74">
              <w:t>Equitable care</w:t>
            </w:r>
          </w:p>
        </w:tc>
        <w:sdt>
          <w:sdtPr>
            <w:id w:val="-1511138502"/>
            <w14:checkbox>
              <w14:checked w14:val="1"/>
              <w14:checkedState w14:val="2612" w14:font="MS Gothic"/>
              <w14:uncheckedState w14:val="2610" w14:font="MS Gothic"/>
            </w14:checkbox>
          </w:sdtPr>
          <w:sdtEndPr/>
          <w:sdtContent>
            <w:tc>
              <w:tcPr>
                <w:tcW w:w="1624" w:type="dxa"/>
                <w:tcMar/>
              </w:tcPr>
              <w:p w:rsidRPr="00F8567E" w:rsidR="00F10DA7" w:rsidP="004D38CE" w:rsidRDefault="00B371C5" w14:paraId="5C7C9794" w14:textId="153E41F3">
                <w:pPr>
                  <w:jc w:val="center"/>
                  <w:rPr>
                    <w:b/>
                  </w:rPr>
                </w:pPr>
                <w:r>
                  <w:rPr>
                    <w:rFonts w:hint="eastAsia" w:ascii="MS Gothic" w:hAnsi="MS Gothic" w:eastAsia="MS Gothic"/>
                  </w:rPr>
                  <w:t>☒</w:t>
                </w:r>
              </w:p>
            </w:tc>
          </w:sdtContent>
        </w:sdt>
      </w:tr>
      <w:tr w:rsidRPr="00F8567E" w:rsidR="00F10DA7" w:rsidTr="2D0282FE" w14:paraId="7400608D" w14:textId="77777777">
        <w:tc>
          <w:tcPr>
            <w:tcW w:w="1809" w:type="dxa"/>
            <w:vMerge/>
            <w:tcMar/>
          </w:tcPr>
          <w:p w:rsidRPr="00F8567E" w:rsidR="00F10DA7" w:rsidP="004D38CE" w:rsidRDefault="00F10DA7" w14:paraId="6F4302CD" w14:textId="77777777">
            <w:pPr>
              <w:rPr>
                <w:b/>
              </w:rPr>
            </w:pPr>
          </w:p>
        </w:tc>
        <w:tc>
          <w:tcPr>
            <w:tcW w:w="5812" w:type="dxa"/>
            <w:tcMar/>
          </w:tcPr>
          <w:p w:rsidRPr="00F8567E" w:rsidR="00F10DA7" w:rsidP="004D38CE" w:rsidRDefault="00F10DA7" w14:paraId="78CF69D5" w14:textId="77777777">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Mar/>
              </w:tcPr>
              <w:p w:rsidRPr="00F8567E" w:rsidR="00F10DA7" w:rsidP="004D38CE" w:rsidRDefault="00B371C5" w14:paraId="481BF7DB" w14:textId="69EB073F">
                <w:pPr>
                  <w:jc w:val="center"/>
                  <w:rPr>
                    <w:b/>
                  </w:rPr>
                </w:pPr>
                <w:r>
                  <w:rPr>
                    <w:rFonts w:hint="eastAsia" w:ascii="MS Gothic" w:hAnsi="MS Gothic" w:eastAsia="MS Gothic"/>
                  </w:rPr>
                  <w:t>☒</w:t>
                </w:r>
              </w:p>
            </w:tc>
          </w:sdtContent>
        </w:sdt>
      </w:tr>
      <w:tr w:rsidRPr="00F8567E" w:rsidR="00F10DA7" w:rsidTr="2D0282FE" w14:paraId="08995332" w14:textId="77777777">
        <w:tc>
          <w:tcPr>
            <w:tcW w:w="1809" w:type="dxa"/>
            <w:vMerge/>
            <w:tcMar/>
          </w:tcPr>
          <w:p w:rsidRPr="00F8567E" w:rsidR="00F10DA7" w:rsidP="004D38CE" w:rsidRDefault="00F10DA7" w14:paraId="4D84F2D0" w14:textId="77777777">
            <w:pPr>
              <w:rPr>
                <w:b/>
              </w:rPr>
            </w:pPr>
          </w:p>
        </w:tc>
        <w:tc>
          <w:tcPr>
            <w:tcW w:w="5812" w:type="dxa"/>
            <w:tcMar/>
          </w:tcPr>
          <w:p w:rsidRPr="00F8567E" w:rsidR="00F10DA7" w:rsidP="004D38CE" w:rsidRDefault="00F10DA7" w14:paraId="0063FD7E" w14:textId="77777777">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Mar/>
              </w:tcPr>
              <w:p w:rsidRPr="00F8567E" w:rsidR="00F10DA7" w:rsidP="004D38CE" w:rsidRDefault="00F10DA7" w14:paraId="17007BC8" w14:textId="77777777">
                <w:pPr>
                  <w:jc w:val="center"/>
                  <w:rPr>
                    <w:b/>
                  </w:rPr>
                </w:pPr>
                <w:r>
                  <w:rPr>
                    <w:rFonts w:hint="eastAsia" w:ascii="MS Gothic" w:hAnsi="MS Gothic" w:eastAsia="MS Gothic"/>
                  </w:rPr>
                  <w:t>☒</w:t>
                </w:r>
              </w:p>
            </w:tc>
          </w:sdtContent>
        </w:sdt>
      </w:tr>
      <w:tr w:rsidRPr="00F8567E" w:rsidR="00F10DA7" w:rsidTr="2D0282FE" w14:paraId="1845E110" w14:textId="77777777">
        <w:tc>
          <w:tcPr>
            <w:tcW w:w="1809" w:type="dxa"/>
            <w:vMerge w:val="restart"/>
            <w:tcMar/>
          </w:tcPr>
          <w:p w:rsidRPr="00F8567E" w:rsidR="00F10DA7" w:rsidP="004D38CE" w:rsidRDefault="00F10DA7" w14:paraId="7D195519" w14:textId="77777777">
            <w:pPr>
              <w:rPr>
                <w:b/>
              </w:rPr>
            </w:pPr>
            <w:r>
              <w:rPr>
                <w:b/>
                <w:iCs/>
              </w:rPr>
              <w:t>Enabler</w:t>
            </w:r>
            <w:r w:rsidRPr="00C55C8E">
              <w:rPr>
                <w:b/>
                <w:iCs/>
              </w:rPr>
              <w:t>s</w:t>
            </w:r>
            <w:r w:rsidRPr="00C55C8E">
              <w:rPr>
                <w:b/>
                <w:i/>
              </w:rPr>
              <w:t xml:space="preserve"> </w:t>
            </w:r>
            <w:r w:rsidRPr="00F8567E">
              <w:rPr>
                <w:b/>
                <w:i/>
              </w:rPr>
              <w:t>(please choose</w:t>
            </w:r>
            <w:r>
              <w:rPr>
                <w:b/>
                <w:i/>
              </w:rPr>
              <w:t xml:space="preserve"> which applies</w:t>
            </w:r>
            <w:r w:rsidRPr="00F8567E">
              <w:rPr>
                <w:b/>
                <w:i/>
              </w:rPr>
              <w:t>)</w:t>
            </w:r>
          </w:p>
        </w:tc>
        <w:tc>
          <w:tcPr>
            <w:tcW w:w="5812" w:type="dxa"/>
            <w:tcMar/>
          </w:tcPr>
          <w:p w:rsidRPr="00925DA1" w:rsidR="00F10DA7" w:rsidP="004D38CE" w:rsidRDefault="00F10DA7" w14:paraId="4FE28B5C" w14:textId="77777777">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Mar/>
              </w:tcPr>
              <w:p w:rsidR="00F10DA7" w:rsidP="004D38CE" w:rsidRDefault="00F10DA7" w14:paraId="41092E66" w14:textId="77777777">
                <w:pPr>
                  <w:jc w:val="center"/>
                </w:pPr>
                <w:r>
                  <w:rPr>
                    <w:rFonts w:hint="eastAsia" w:ascii="MS Gothic" w:hAnsi="MS Gothic" w:eastAsia="MS Gothic"/>
                  </w:rPr>
                  <w:t>☒</w:t>
                </w:r>
              </w:p>
            </w:tc>
          </w:sdtContent>
        </w:sdt>
      </w:tr>
      <w:tr w:rsidRPr="00F8567E" w:rsidR="00F10DA7" w:rsidTr="2D0282FE" w14:paraId="653A37E0" w14:textId="77777777">
        <w:tc>
          <w:tcPr>
            <w:tcW w:w="1809" w:type="dxa"/>
            <w:vMerge/>
            <w:tcMar/>
          </w:tcPr>
          <w:p w:rsidRPr="00F8567E" w:rsidR="00F10DA7" w:rsidP="004D38CE" w:rsidRDefault="00F10DA7" w14:paraId="4BD7ECC4" w14:textId="77777777">
            <w:pPr>
              <w:rPr>
                <w:b/>
              </w:rPr>
            </w:pPr>
          </w:p>
        </w:tc>
        <w:tc>
          <w:tcPr>
            <w:tcW w:w="5812" w:type="dxa"/>
            <w:tcMar/>
          </w:tcPr>
          <w:p w:rsidRPr="00925DA1" w:rsidR="00F10DA7" w:rsidP="004D38CE" w:rsidRDefault="00F10DA7" w14:paraId="35A2FFC2" w14:textId="77777777">
            <w:r w:rsidRPr="00925DA1">
              <w:t>Leadership</w:t>
            </w:r>
          </w:p>
        </w:tc>
        <w:sdt>
          <w:sdtPr>
            <w:id w:val="2117096538"/>
            <w14:checkbox>
              <w14:checked w14:val="1"/>
              <w14:checkedState w14:val="2612" w14:font="MS Gothic"/>
              <w14:uncheckedState w14:val="2610" w14:font="MS Gothic"/>
            </w14:checkbox>
          </w:sdtPr>
          <w:sdtEndPr/>
          <w:sdtContent>
            <w:tc>
              <w:tcPr>
                <w:tcW w:w="1624" w:type="dxa"/>
                <w:tcMar/>
              </w:tcPr>
              <w:p w:rsidR="00F10DA7" w:rsidP="004D38CE" w:rsidRDefault="00B371C5" w14:paraId="493A862D" w14:textId="2D1B56C1">
                <w:pPr>
                  <w:jc w:val="center"/>
                </w:pPr>
                <w:r>
                  <w:rPr>
                    <w:rFonts w:hint="eastAsia" w:ascii="MS Gothic" w:hAnsi="MS Gothic" w:eastAsia="MS Gothic"/>
                  </w:rPr>
                  <w:t>☒</w:t>
                </w:r>
              </w:p>
            </w:tc>
          </w:sdtContent>
        </w:sdt>
      </w:tr>
      <w:tr w:rsidRPr="00F8567E" w:rsidR="00F10DA7" w:rsidTr="2D0282FE" w14:paraId="23243C69" w14:textId="77777777">
        <w:tc>
          <w:tcPr>
            <w:tcW w:w="1809" w:type="dxa"/>
            <w:vMerge/>
            <w:tcMar/>
          </w:tcPr>
          <w:p w:rsidRPr="00F8567E" w:rsidR="00F10DA7" w:rsidP="004D38CE" w:rsidRDefault="00F10DA7" w14:paraId="057E69D1" w14:textId="77777777">
            <w:pPr>
              <w:rPr>
                <w:b/>
              </w:rPr>
            </w:pPr>
          </w:p>
        </w:tc>
        <w:tc>
          <w:tcPr>
            <w:tcW w:w="5812" w:type="dxa"/>
            <w:tcMar/>
          </w:tcPr>
          <w:p w:rsidRPr="00925DA1" w:rsidR="00F10DA7" w:rsidP="004D38CE" w:rsidRDefault="00F10DA7" w14:paraId="5DAE1771" w14:textId="77777777">
            <w:r w:rsidRPr="00925DA1">
              <w:t>Workforce</w:t>
            </w:r>
          </w:p>
        </w:tc>
        <w:sdt>
          <w:sdtPr>
            <w:id w:val="-1282257052"/>
            <w14:checkbox>
              <w14:checked w14:val="1"/>
              <w14:checkedState w14:val="2612" w14:font="MS Gothic"/>
              <w14:uncheckedState w14:val="2610" w14:font="MS Gothic"/>
            </w14:checkbox>
          </w:sdtPr>
          <w:sdtEndPr/>
          <w:sdtContent>
            <w:tc>
              <w:tcPr>
                <w:tcW w:w="1624" w:type="dxa"/>
                <w:tcMar/>
              </w:tcPr>
              <w:p w:rsidR="00F10DA7" w:rsidP="004D38CE" w:rsidRDefault="00F10DA7" w14:paraId="7AC643CE" w14:textId="77777777">
                <w:pPr>
                  <w:jc w:val="center"/>
                </w:pPr>
                <w:r>
                  <w:rPr>
                    <w:rFonts w:hint="eastAsia" w:ascii="MS Gothic" w:hAnsi="MS Gothic" w:eastAsia="MS Gothic"/>
                  </w:rPr>
                  <w:t>☒</w:t>
                </w:r>
              </w:p>
            </w:tc>
          </w:sdtContent>
        </w:sdt>
      </w:tr>
      <w:tr w:rsidRPr="00F8567E" w:rsidR="00F10DA7" w:rsidTr="2D0282FE" w14:paraId="4C49F53A" w14:textId="77777777">
        <w:tc>
          <w:tcPr>
            <w:tcW w:w="1809" w:type="dxa"/>
            <w:vMerge/>
            <w:tcMar/>
          </w:tcPr>
          <w:p w:rsidRPr="00F8567E" w:rsidR="00F10DA7" w:rsidP="004D38CE" w:rsidRDefault="00F10DA7" w14:paraId="402E4450" w14:textId="77777777">
            <w:pPr>
              <w:rPr>
                <w:b/>
              </w:rPr>
            </w:pPr>
          </w:p>
        </w:tc>
        <w:tc>
          <w:tcPr>
            <w:tcW w:w="5812" w:type="dxa"/>
            <w:tcMar/>
          </w:tcPr>
          <w:p w:rsidRPr="00925DA1" w:rsidR="00F10DA7" w:rsidP="004D38CE" w:rsidRDefault="00F10DA7" w14:paraId="49FF856E" w14:textId="77777777">
            <w:r w:rsidRPr="00925DA1">
              <w:t>Culture</w:t>
            </w:r>
          </w:p>
        </w:tc>
        <w:sdt>
          <w:sdtPr>
            <w:id w:val="617871883"/>
            <w14:checkbox>
              <w14:checked w14:val="1"/>
              <w14:checkedState w14:val="2612" w14:font="MS Gothic"/>
              <w14:uncheckedState w14:val="2610" w14:font="MS Gothic"/>
            </w14:checkbox>
          </w:sdtPr>
          <w:sdtEndPr/>
          <w:sdtContent>
            <w:tc>
              <w:tcPr>
                <w:tcW w:w="1624" w:type="dxa"/>
                <w:tcMar/>
              </w:tcPr>
              <w:p w:rsidR="00F10DA7" w:rsidP="004D38CE" w:rsidRDefault="006D1A14" w14:paraId="6AAEBB07" w14:textId="66429CC3">
                <w:pPr>
                  <w:jc w:val="center"/>
                </w:pPr>
                <w:r>
                  <w:rPr>
                    <w:rFonts w:hint="eastAsia" w:ascii="MS Gothic" w:hAnsi="MS Gothic" w:eastAsia="MS Gothic"/>
                  </w:rPr>
                  <w:t>☒</w:t>
                </w:r>
              </w:p>
            </w:tc>
          </w:sdtContent>
        </w:sdt>
      </w:tr>
      <w:tr w:rsidRPr="00F8567E" w:rsidR="00F10DA7" w:rsidTr="2D0282FE" w14:paraId="2BBB7D9B" w14:textId="77777777">
        <w:tc>
          <w:tcPr>
            <w:tcW w:w="1809" w:type="dxa"/>
            <w:vMerge/>
            <w:tcMar/>
          </w:tcPr>
          <w:p w:rsidRPr="00F8567E" w:rsidR="00F10DA7" w:rsidP="004D38CE" w:rsidRDefault="00F10DA7" w14:paraId="4C518B4F" w14:textId="77777777">
            <w:pPr>
              <w:rPr>
                <w:b/>
              </w:rPr>
            </w:pPr>
          </w:p>
        </w:tc>
        <w:tc>
          <w:tcPr>
            <w:tcW w:w="5812" w:type="dxa"/>
            <w:tcMar/>
          </w:tcPr>
          <w:p w:rsidRPr="00925DA1" w:rsidR="00F10DA7" w:rsidP="004D38CE" w:rsidRDefault="00F10DA7" w14:paraId="6F5A3C59" w14:textId="77777777">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Mar/>
              </w:tcPr>
              <w:p w:rsidR="00F10DA7" w:rsidP="004D38CE" w:rsidRDefault="00B371C5" w14:paraId="73CA1CB0" w14:textId="6D23953F">
                <w:pPr>
                  <w:jc w:val="center"/>
                </w:pPr>
                <w:r>
                  <w:rPr>
                    <w:rFonts w:hint="eastAsia" w:ascii="MS Gothic" w:hAnsi="MS Gothic" w:eastAsia="MS Gothic"/>
                  </w:rPr>
                  <w:t>☒</w:t>
                </w:r>
              </w:p>
            </w:tc>
          </w:sdtContent>
        </w:sdt>
      </w:tr>
      <w:tr w:rsidRPr="00F8567E" w:rsidR="00F10DA7" w:rsidTr="2D0282FE" w14:paraId="3DBD4EB5" w14:textId="77777777">
        <w:tc>
          <w:tcPr>
            <w:tcW w:w="1809" w:type="dxa"/>
            <w:vMerge/>
            <w:tcMar/>
          </w:tcPr>
          <w:p w:rsidRPr="00F8567E" w:rsidR="00F10DA7" w:rsidP="004D38CE" w:rsidRDefault="00F10DA7" w14:paraId="52CE6BEA" w14:textId="77777777">
            <w:pPr>
              <w:rPr>
                <w:b/>
              </w:rPr>
            </w:pPr>
          </w:p>
        </w:tc>
        <w:tc>
          <w:tcPr>
            <w:tcW w:w="5812" w:type="dxa"/>
            <w:tcMar/>
          </w:tcPr>
          <w:p w:rsidRPr="00925DA1" w:rsidR="00F10DA7" w:rsidP="004D38CE" w:rsidRDefault="00F10DA7" w14:paraId="540ECA38" w14:textId="77777777">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Mar/>
              </w:tcPr>
              <w:p w:rsidR="00F10DA7" w:rsidP="004D38CE" w:rsidRDefault="00B371C5" w14:paraId="5670BADB" w14:textId="634843A4">
                <w:pPr>
                  <w:jc w:val="center"/>
                </w:pPr>
                <w:r>
                  <w:rPr>
                    <w:rFonts w:hint="eastAsia" w:ascii="MS Gothic" w:hAnsi="MS Gothic" w:eastAsia="MS Gothic"/>
                  </w:rPr>
                  <w:t>☒</w:t>
                </w:r>
              </w:p>
            </w:tc>
          </w:sdtContent>
        </w:sdt>
      </w:tr>
      <w:tr w:rsidRPr="00F8567E" w:rsidR="00F10DA7" w:rsidTr="2D0282FE" w14:paraId="54619CB4" w14:textId="77777777">
        <w:tc>
          <w:tcPr>
            <w:tcW w:w="9245" w:type="dxa"/>
            <w:gridSpan w:val="3"/>
            <w:shd w:val="clear" w:color="auto" w:fill="C1A775"/>
            <w:tcMar/>
          </w:tcPr>
          <w:p w:rsidRPr="00F8567E" w:rsidR="00F10DA7" w:rsidP="004D38CE" w:rsidRDefault="00F10DA7" w14:paraId="228145DB" w14:textId="77777777">
            <w:pPr>
              <w:rPr>
                <w:b/>
              </w:rPr>
            </w:pPr>
            <w:r w:rsidRPr="008267FB">
              <w:rPr>
                <w:b/>
              </w:rPr>
              <w:t>Quality, Safety and Patient Experience</w:t>
            </w:r>
          </w:p>
        </w:tc>
      </w:tr>
      <w:tr w:rsidRPr="00F8567E" w:rsidR="00F10DA7" w:rsidTr="2D0282FE" w14:paraId="1669CF36" w14:textId="77777777">
        <w:tc>
          <w:tcPr>
            <w:tcW w:w="9245" w:type="dxa"/>
            <w:gridSpan w:val="3"/>
            <w:tcMar/>
          </w:tcPr>
          <w:p w:rsidRPr="009E249D" w:rsidR="00B91D15" w:rsidP="001C4EF8" w:rsidRDefault="00685CBC" w14:paraId="3FC57D6F" w14:textId="4DB6EE24">
            <w:pPr>
              <w:pStyle w:val="ListParagraph"/>
              <w:numPr>
                <w:ilvl w:val="0"/>
                <w:numId w:val="27"/>
              </w:numPr>
              <w:rPr>
                <w:bCs/>
              </w:rPr>
            </w:pPr>
            <w:r w:rsidRPr="009E249D">
              <w:rPr>
                <w:bCs/>
              </w:rPr>
              <w:t>See Appendices for Impact Assessments undertaken in respect of the proposals</w:t>
            </w:r>
          </w:p>
        </w:tc>
      </w:tr>
      <w:tr w:rsidRPr="00F8567E" w:rsidR="00F10DA7" w:rsidTr="2D0282FE" w14:paraId="32E84AE3" w14:textId="77777777">
        <w:tc>
          <w:tcPr>
            <w:tcW w:w="9245" w:type="dxa"/>
            <w:gridSpan w:val="3"/>
            <w:shd w:val="clear" w:color="auto" w:fill="C1A775"/>
            <w:tcMar/>
          </w:tcPr>
          <w:p w:rsidRPr="00F8567E" w:rsidR="00F10DA7" w:rsidP="004D38CE" w:rsidRDefault="00F10DA7" w14:paraId="743F13D2" w14:textId="77777777">
            <w:pPr>
              <w:rPr>
                <w:b/>
              </w:rPr>
            </w:pPr>
            <w:r w:rsidRPr="00F8567E">
              <w:rPr>
                <w:b/>
              </w:rPr>
              <w:t>Financial Implications</w:t>
            </w:r>
          </w:p>
        </w:tc>
      </w:tr>
      <w:tr w:rsidRPr="00F8567E" w:rsidR="00F10DA7" w:rsidTr="2D0282FE" w14:paraId="7131614C" w14:textId="77777777">
        <w:tc>
          <w:tcPr>
            <w:tcW w:w="9245" w:type="dxa"/>
            <w:gridSpan w:val="3"/>
            <w:tcMar/>
          </w:tcPr>
          <w:p w:rsidRPr="00382295" w:rsidR="00BF009C" w:rsidP="001C4EF8" w:rsidRDefault="00382295" w14:paraId="1C25CCE0" w14:textId="228F8D9B">
            <w:pPr>
              <w:pStyle w:val="ListParagraph"/>
              <w:numPr>
                <w:ilvl w:val="0"/>
                <w:numId w:val="5"/>
              </w:numPr>
              <w:ind w:right="96"/>
            </w:pPr>
            <w:r w:rsidRPr="00382295">
              <w:t>See Section 5</w:t>
            </w:r>
            <w:r w:rsidR="00685CBC">
              <w:t xml:space="preserve"> above</w:t>
            </w:r>
            <w:r w:rsidRPr="00382295">
              <w:t>.</w:t>
            </w:r>
          </w:p>
        </w:tc>
      </w:tr>
      <w:tr w:rsidRPr="00F8567E" w:rsidR="00F10DA7" w:rsidTr="2D0282FE" w14:paraId="44670562" w14:textId="77777777">
        <w:tc>
          <w:tcPr>
            <w:tcW w:w="9245" w:type="dxa"/>
            <w:gridSpan w:val="3"/>
            <w:shd w:val="clear" w:color="auto" w:fill="C1A775"/>
            <w:tcMar/>
          </w:tcPr>
          <w:p w:rsidRPr="00F8567E" w:rsidR="00F10DA7" w:rsidP="004D38CE" w:rsidRDefault="00F10DA7" w14:paraId="0E6E9C18" w14:textId="77777777">
            <w:pPr>
              <w:keepNext/>
              <w:keepLines/>
              <w:ind w:right="96"/>
              <w:rPr>
                <w:b/>
              </w:rPr>
            </w:pPr>
            <w:r w:rsidRPr="00F8567E">
              <w:rPr>
                <w:b/>
              </w:rPr>
              <w:t>Legal Implications (including equality and diversity assessment)</w:t>
            </w:r>
          </w:p>
        </w:tc>
      </w:tr>
      <w:tr w:rsidRPr="00F8567E" w:rsidR="00F10DA7" w:rsidTr="2D0282FE" w14:paraId="07A122E4" w14:textId="77777777">
        <w:tc>
          <w:tcPr>
            <w:tcW w:w="9245" w:type="dxa"/>
            <w:gridSpan w:val="3"/>
            <w:tcMar/>
          </w:tcPr>
          <w:p w:rsidRPr="009E249D" w:rsidR="00BF009C" w:rsidP="001C4EF8" w:rsidRDefault="00685CBC" w14:paraId="3F465113" w14:textId="6B6B4AD2">
            <w:pPr>
              <w:pStyle w:val="ListParagraph"/>
              <w:numPr>
                <w:ilvl w:val="0"/>
                <w:numId w:val="5"/>
              </w:numPr>
              <w:ind w:right="96"/>
              <w:rPr>
                <w:bCs/>
              </w:rPr>
            </w:pPr>
            <w:r w:rsidRPr="009E249D">
              <w:rPr>
                <w:bCs/>
              </w:rPr>
              <w:t>See Appendices for Impact Assessments undertaken in respect of the proposals</w:t>
            </w:r>
          </w:p>
        </w:tc>
      </w:tr>
      <w:tr w:rsidRPr="00F8567E" w:rsidR="00F10DA7" w:rsidTr="2D0282FE" w14:paraId="44151E76" w14:textId="77777777">
        <w:tc>
          <w:tcPr>
            <w:tcW w:w="9245" w:type="dxa"/>
            <w:gridSpan w:val="3"/>
            <w:shd w:val="clear" w:color="auto" w:fill="C1A775"/>
            <w:tcMar/>
          </w:tcPr>
          <w:p w:rsidRPr="00382295" w:rsidR="00F10DA7" w:rsidP="004D38CE" w:rsidRDefault="00F10DA7" w14:paraId="4BC44843" w14:textId="77777777">
            <w:pPr>
              <w:ind w:right="96"/>
              <w:rPr>
                <w:b/>
              </w:rPr>
            </w:pPr>
            <w:r w:rsidRPr="00382295">
              <w:rPr>
                <w:b/>
              </w:rPr>
              <w:t>Staffing Implications</w:t>
            </w:r>
          </w:p>
        </w:tc>
      </w:tr>
      <w:tr w:rsidRPr="00F8567E" w:rsidR="00F10DA7" w:rsidTr="2D0282FE" w14:paraId="72C0DA0C" w14:textId="77777777">
        <w:tc>
          <w:tcPr>
            <w:tcW w:w="9245" w:type="dxa"/>
            <w:gridSpan w:val="3"/>
            <w:tcMar/>
          </w:tcPr>
          <w:p w:rsidRPr="00382295" w:rsidR="00BF009C" w:rsidP="001C4EF8" w:rsidRDefault="00685CBC" w14:paraId="6BC8004F" w14:textId="3A59F413">
            <w:pPr>
              <w:pStyle w:val="ListParagraph"/>
              <w:numPr>
                <w:ilvl w:val="0"/>
                <w:numId w:val="5"/>
              </w:numPr>
              <w:ind w:right="96"/>
            </w:pPr>
            <w:r>
              <w:t>See Section 5 above and detail within Appendices in respect of workforce impacts associated with the proposals.</w:t>
            </w:r>
          </w:p>
        </w:tc>
      </w:tr>
      <w:tr w:rsidRPr="00F8567E" w:rsidR="00F10DA7" w:rsidTr="2D0282FE" w14:paraId="3ECF1299" w14:textId="77777777">
        <w:tc>
          <w:tcPr>
            <w:tcW w:w="9245" w:type="dxa"/>
            <w:gridSpan w:val="3"/>
            <w:shd w:val="clear" w:color="auto" w:fill="C1A775"/>
            <w:tcMar/>
          </w:tcPr>
          <w:p w:rsidRPr="00F8567E" w:rsidR="00F10DA7" w:rsidP="004D38CE" w:rsidRDefault="00F10DA7" w14:paraId="6B79E83B" w14:textId="77777777">
            <w:pPr>
              <w:ind w:right="96"/>
              <w:rPr>
                <w:b/>
                <w:color w:val="FF0000"/>
              </w:rPr>
            </w:pPr>
            <w:r w:rsidRPr="00F8567E">
              <w:rPr>
                <w:b/>
              </w:rPr>
              <w:t>Long Term Implications (including the impact of the Well-being of Future Generations (Wales) Act 2015)</w:t>
            </w:r>
          </w:p>
        </w:tc>
      </w:tr>
      <w:tr w:rsidRPr="00F8567E" w:rsidR="00F10DA7" w:rsidTr="2D0282FE" w14:paraId="6693A1BF" w14:textId="77777777">
        <w:tc>
          <w:tcPr>
            <w:tcW w:w="9245" w:type="dxa"/>
            <w:gridSpan w:val="3"/>
            <w:tcMar/>
          </w:tcPr>
          <w:p w:rsidR="00F10DA7" w:rsidP="004D38CE" w:rsidRDefault="00F10DA7" w14:paraId="1D1F205C" w14:textId="77777777">
            <w:pPr>
              <w:ind w:right="96"/>
              <w:rPr>
                <w:color w:val="FF0000"/>
              </w:rPr>
            </w:pPr>
          </w:p>
          <w:p w:rsidRPr="00F8567E" w:rsidR="000D1A77" w:rsidP="000D1A77" w:rsidRDefault="000D1A77" w14:paraId="29095877" w14:textId="19D65A46">
            <w:pPr>
              <w:tabs>
                <w:tab w:val="left" w:pos="7815"/>
              </w:tabs>
              <w:ind w:right="96"/>
              <w:rPr>
                <w:color w:val="FF0000"/>
              </w:rPr>
            </w:pPr>
            <w:r>
              <w:rPr>
                <w:color w:val="FF0000"/>
              </w:rPr>
              <w:tab/>
            </w:r>
          </w:p>
        </w:tc>
      </w:tr>
      <w:tr w:rsidRPr="00F8567E" w:rsidR="00F10DA7" w:rsidTr="2D0282FE" w14:paraId="4D01A5C5" w14:textId="77777777">
        <w:tc>
          <w:tcPr>
            <w:tcW w:w="9245" w:type="dxa"/>
            <w:gridSpan w:val="3"/>
            <w:shd w:val="clear" w:color="auto" w:fill="C1A775"/>
            <w:tcMar/>
          </w:tcPr>
          <w:p w:rsidRPr="00C40206" w:rsidR="00F10DA7" w:rsidP="004D38CE" w:rsidRDefault="00F10DA7" w14:paraId="48B11865" w14:textId="77777777">
            <w:pPr>
              <w:ind w:right="96"/>
              <w:rPr>
                <w:b/>
              </w:rPr>
            </w:pPr>
            <w:r w:rsidRPr="00C40206">
              <w:rPr>
                <w:b/>
              </w:rPr>
              <w:t>Report History</w:t>
            </w:r>
          </w:p>
        </w:tc>
      </w:tr>
      <w:tr w:rsidRPr="00F8567E" w:rsidR="00F10DA7" w:rsidTr="2D0282FE" w14:paraId="2995AE0A" w14:textId="77777777">
        <w:tc>
          <w:tcPr>
            <w:tcW w:w="9245" w:type="dxa"/>
            <w:gridSpan w:val="3"/>
            <w:tcMar/>
          </w:tcPr>
          <w:p w:rsidRPr="00382295" w:rsidR="00F10DA7" w:rsidP="00382295" w:rsidRDefault="009E249D" w14:paraId="4E9E4A50" w14:textId="4B1C7B99">
            <w:pPr>
              <w:ind w:right="96"/>
            </w:pPr>
            <w:r w:rsidR="009E249D">
              <w:rPr/>
              <w:t xml:space="preserve">First version of report </w:t>
            </w:r>
            <w:r w:rsidR="000D1A77">
              <w:rPr/>
              <w:t>was discussed at</w:t>
            </w:r>
            <w:r w:rsidR="009E249D">
              <w:rPr/>
              <w:t xml:space="preserve"> Executive Board</w:t>
            </w:r>
            <w:r w:rsidR="000D1A77">
              <w:rPr/>
              <w:t xml:space="preserve"> on 10</w:t>
            </w:r>
            <w:r w:rsidR="000D1A77">
              <w:rPr/>
              <w:t xml:space="preserve"> June 2026</w:t>
            </w:r>
            <w:r w:rsidR="009E249D">
              <w:rPr/>
              <w:t xml:space="preserve">. </w:t>
            </w:r>
          </w:p>
        </w:tc>
      </w:tr>
      <w:tr w:rsidRPr="00F8567E" w:rsidR="00F10DA7" w:rsidTr="2D0282FE" w14:paraId="075C4B1A" w14:textId="77777777">
        <w:tc>
          <w:tcPr>
            <w:tcW w:w="9245" w:type="dxa"/>
            <w:gridSpan w:val="3"/>
            <w:shd w:val="clear" w:color="auto" w:fill="C1A775"/>
            <w:tcMar/>
          </w:tcPr>
          <w:p w:rsidRPr="00382295" w:rsidR="00F10DA7" w:rsidP="004D38CE" w:rsidRDefault="00F10DA7" w14:paraId="6E427A57" w14:textId="77777777">
            <w:pPr>
              <w:ind w:right="96"/>
            </w:pPr>
            <w:r w:rsidRPr="00382295">
              <w:rPr>
                <w:b/>
              </w:rPr>
              <w:t>Appendices</w:t>
            </w:r>
          </w:p>
        </w:tc>
      </w:tr>
      <w:tr w:rsidRPr="00F8567E" w:rsidR="00685CBC" w:rsidTr="2D0282FE" w14:paraId="394729E8" w14:textId="77777777">
        <w:tc>
          <w:tcPr>
            <w:tcW w:w="9245" w:type="dxa"/>
            <w:gridSpan w:val="3"/>
            <w:tcMar/>
          </w:tcPr>
          <w:p w:rsidRPr="007B67A7" w:rsidR="009E249D" w:rsidP="2D0282FE" w:rsidRDefault="009E249D" w14:paraId="13C98AA0" w14:textId="3BC515F8">
            <w:pPr>
              <w:pStyle w:val="ListParagraph"/>
              <w:numPr>
                <w:ilvl w:val="0"/>
                <w:numId w:val="5"/>
              </w:numPr>
              <w:rPr>
                <w:u w:val="none"/>
              </w:rPr>
            </w:pPr>
            <w:r w:rsidR="009E249D">
              <w:rPr>
                <w:u w:val="none"/>
              </w:rPr>
              <w:t>Appendix 1: Continuing Healthcare (CHC) Digital Case Management System – Business Case presented to PFAG 20</w:t>
            </w:r>
            <w:r w:rsidRPr="2D0282FE" w:rsidR="009E249D">
              <w:rPr>
                <w:u w:val="none"/>
                <w:vertAlign w:val="superscript"/>
              </w:rPr>
              <w:t xml:space="preserve"> </w:t>
            </w:r>
            <w:r w:rsidR="009E249D">
              <w:rPr>
                <w:u w:val="none"/>
              </w:rPr>
              <w:t>May;</w:t>
            </w:r>
          </w:p>
          <w:p w:rsidRPr="009E249D" w:rsidR="00685CBC" w:rsidP="001C4EF8" w:rsidRDefault="009E249D" w14:paraId="415A1E3F" w14:textId="297AC2E7">
            <w:pPr>
              <w:pStyle w:val="Subtitle"/>
              <w:numPr>
                <w:ilvl w:val="0"/>
                <w:numId w:val="5"/>
              </w:numPr>
              <w:rPr>
                <w:rFonts w:ascii="Verdana" w:hAnsi="Verdana"/>
                <w:b w:val="0"/>
                <w:bCs w:val="0"/>
                <w:u w:val="none"/>
                <w:lang w:val="en-GB"/>
              </w:rPr>
            </w:pPr>
            <w:r w:rsidRPr="2D0282FE" w:rsidR="009E249D">
              <w:rPr>
                <w:rFonts w:ascii="Verdana" w:hAnsi="Verdana"/>
                <w:b w:val="0"/>
                <w:bCs w:val="0"/>
                <w:u w:val="none"/>
              </w:rPr>
              <w:t xml:space="preserve">Appendix 2: </w:t>
            </w:r>
            <w:r w:rsidRPr="2D0282FE" w:rsidR="009E249D">
              <w:rPr>
                <w:rFonts w:ascii="Verdana" w:hAnsi="Verdana"/>
                <w:b w:val="0"/>
                <w:bCs w:val="0"/>
                <w:noProof/>
                <w:u w:val="none"/>
              </w:rPr>
              <w:t>Interim extension of the Welsh Institute of Metabolic and Obesity Surgery to North Wales residents</w:t>
            </w:r>
            <w:r w:rsidRPr="2D0282FE" w:rsidR="009E249D">
              <w:rPr>
                <w:rFonts w:ascii="Verdana" w:hAnsi="Verdana"/>
                <w:b w:val="0"/>
                <w:bCs w:val="0"/>
                <w:noProof/>
                <w:u w:val="none"/>
              </w:rPr>
              <w:t xml:space="preserve"> </w:t>
            </w:r>
            <w:r w:rsidRPr="2D0282FE" w:rsidR="009E249D">
              <w:rPr>
                <w:rFonts w:ascii="Verdana" w:hAnsi="Verdana"/>
                <w:b w:val="0"/>
                <w:bCs w:val="0"/>
                <w:u w:val="none"/>
              </w:rPr>
              <w:t>– Business Case presented to PFAG 20</w:t>
            </w:r>
            <w:r w:rsidRPr="2D0282FE" w:rsidR="009E249D">
              <w:rPr>
                <w:rFonts w:ascii="Verdana" w:hAnsi="Verdana"/>
                <w:b w:val="0"/>
                <w:bCs w:val="0"/>
                <w:u w:val="none"/>
                <w:vertAlign w:val="superscript"/>
              </w:rPr>
              <w:t xml:space="preserve"> </w:t>
            </w:r>
            <w:r w:rsidRPr="2D0282FE" w:rsidR="009E249D">
              <w:rPr>
                <w:rFonts w:ascii="Verdana" w:hAnsi="Verdana"/>
                <w:b w:val="0"/>
                <w:bCs w:val="0"/>
                <w:u w:val="none"/>
              </w:rPr>
              <w:t>May</w:t>
            </w:r>
          </w:p>
        </w:tc>
      </w:tr>
    </w:tbl>
    <w:p w:rsidRPr="00F8567E" w:rsidR="00034194" w:rsidRDefault="00034194" w14:paraId="6D2904A0" w14:textId="77777777"/>
    <w:sectPr w:rsidRPr="00F8567E" w:rsidR="00034194" w:rsidSect="00FE7070">
      <w:headerReference w:type="default" r:id="rId12"/>
      <w:footerReference w:type="default" r:id="rId13"/>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C27F9" w:rsidP="00C107F2" w:rsidRDefault="00BC27F9" w14:paraId="090E5DD4" w14:textId="77777777">
      <w:pPr>
        <w:spacing w:after="0" w:line="240" w:lineRule="auto"/>
      </w:pPr>
      <w:r>
        <w:separator/>
      </w:r>
    </w:p>
  </w:endnote>
  <w:endnote w:type="continuationSeparator" w:id="0">
    <w:p w:rsidR="00BC27F9" w:rsidP="00C107F2" w:rsidRDefault="00BC27F9" w14:paraId="30D5F01D"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27408497">
    <w:pPr>
      <w:pStyle w:val="Footer"/>
      <w:jc w:val="right"/>
      <w:rPr>
        <w:sz w:val="20"/>
        <w:szCs w:val="20"/>
      </w:rPr>
    </w:pPr>
    <w:r w:rsidRPr="004C7750">
      <w:rPr>
        <w:noProof/>
      </w:rPr>
      <w:drawing>
        <wp:anchor distT="0" distB="0" distL="114300" distR="114300" simplePos="0" relativeHeight="251657216" behindDoc="1" locked="0" layoutInCell="1" allowOverlap="0" wp14:anchorId="2BC556AF" wp14:editId="09DBD58A">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w:t>
        </w:r>
        <w:r w:rsidR="006D1A14">
          <w:rPr>
            <w:sz w:val="20"/>
            <w:szCs w:val="20"/>
          </w:rPr>
          <w:t>13</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0D1A77" w14:paraId="6D2904A9" w14:textId="08924D67">
        <w:pPr>
          <w:pStyle w:val="Footer"/>
          <w:jc w:val="right"/>
          <w:rPr>
            <w:rStyle w:val="CorporateStyle2"/>
          </w:rPr>
        </w:pPr>
        <w:r>
          <w:rPr>
            <w:rStyle w:val="CorporateStyle2"/>
          </w:rPr>
          <w:t>Finance and Performance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23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0D1A77" w14:paraId="6DC782A8" w14:textId="4C039C97">
        <w:pPr>
          <w:pStyle w:val="Footer"/>
          <w:jc w:val="right"/>
          <w:rPr>
            <w:sz w:val="20"/>
            <w:szCs w:val="20"/>
          </w:rPr>
        </w:pPr>
        <w:r>
          <w:rPr>
            <w:rStyle w:val="CorporateStyle2"/>
          </w:rPr>
          <w:t>Tuesday, 23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C27F9" w:rsidP="00C107F2" w:rsidRDefault="00BC27F9" w14:paraId="29A1D4F3" w14:textId="77777777">
      <w:pPr>
        <w:spacing w:after="0" w:line="240" w:lineRule="auto"/>
      </w:pPr>
      <w:r>
        <w:separator/>
      </w:r>
    </w:p>
  </w:footnote>
  <w:footnote w:type="continuationSeparator" w:id="0">
    <w:p w:rsidR="00BC27F9" w:rsidP="00C107F2" w:rsidRDefault="00BC27F9" w14:paraId="1DBD057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180FF1FA">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E28AD"/>
    <w:multiLevelType w:val="hybridMultilevel"/>
    <w:tmpl w:val="3C68AFF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5A94665"/>
    <w:multiLevelType w:val="hybridMultilevel"/>
    <w:tmpl w:val="CDCA738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05F3495"/>
    <w:multiLevelType w:val="multilevel"/>
    <w:tmpl w:val="E6140B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14181E8B"/>
    <w:multiLevelType w:val="multilevel"/>
    <w:tmpl w:val="0916EE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770F40"/>
    <w:multiLevelType w:val="hybridMultilevel"/>
    <w:tmpl w:val="AF98F600"/>
    <w:lvl w:ilvl="0" w:tplc="08090001">
      <w:start w:val="1"/>
      <w:numFmt w:val="bullet"/>
      <w:lvlText w:val=""/>
      <w:lvlJc w:val="left"/>
      <w:pPr>
        <w:ind w:left="1800" w:hanging="360"/>
      </w:pPr>
      <w:rPr>
        <w:rFonts w:hint="default" w:ascii="Symbol" w:hAnsi="Symbol"/>
      </w:rPr>
    </w:lvl>
    <w:lvl w:ilvl="1" w:tplc="08090003" w:tentative="1">
      <w:start w:val="1"/>
      <w:numFmt w:val="bullet"/>
      <w:lvlText w:val="o"/>
      <w:lvlJc w:val="left"/>
      <w:pPr>
        <w:ind w:left="2520" w:hanging="360"/>
      </w:pPr>
      <w:rPr>
        <w:rFonts w:hint="default" w:ascii="Courier New" w:hAnsi="Courier New" w:cs="Courier New"/>
      </w:rPr>
    </w:lvl>
    <w:lvl w:ilvl="2" w:tplc="08090005" w:tentative="1">
      <w:start w:val="1"/>
      <w:numFmt w:val="bullet"/>
      <w:lvlText w:val=""/>
      <w:lvlJc w:val="left"/>
      <w:pPr>
        <w:ind w:left="3240" w:hanging="360"/>
      </w:pPr>
      <w:rPr>
        <w:rFonts w:hint="default" w:ascii="Wingdings" w:hAnsi="Wingdings"/>
      </w:rPr>
    </w:lvl>
    <w:lvl w:ilvl="3" w:tplc="08090001" w:tentative="1">
      <w:start w:val="1"/>
      <w:numFmt w:val="bullet"/>
      <w:lvlText w:val=""/>
      <w:lvlJc w:val="left"/>
      <w:pPr>
        <w:ind w:left="3960" w:hanging="360"/>
      </w:pPr>
      <w:rPr>
        <w:rFonts w:hint="default" w:ascii="Symbol" w:hAnsi="Symbol"/>
      </w:rPr>
    </w:lvl>
    <w:lvl w:ilvl="4" w:tplc="08090003" w:tentative="1">
      <w:start w:val="1"/>
      <w:numFmt w:val="bullet"/>
      <w:lvlText w:val="o"/>
      <w:lvlJc w:val="left"/>
      <w:pPr>
        <w:ind w:left="4680" w:hanging="360"/>
      </w:pPr>
      <w:rPr>
        <w:rFonts w:hint="default" w:ascii="Courier New" w:hAnsi="Courier New" w:cs="Courier New"/>
      </w:rPr>
    </w:lvl>
    <w:lvl w:ilvl="5" w:tplc="08090005" w:tentative="1">
      <w:start w:val="1"/>
      <w:numFmt w:val="bullet"/>
      <w:lvlText w:val=""/>
      <w:lvlJc w:val="left"/>
      <w:pPr>
        <w:ind w:left="5400" w:hanging="360"/>
      </w:pPr>
      <w:rPr>
        <w:rFonts w:hint="default" w:ascii="Wingdings" w:hAnsi="Wingdings"/>
      </w:rPr>
    </w:lvl>
    <w:lvl w:ilvl="6" w:tplc="08090001" w:tentative="1">
      <w:start w:val="1"/>
      <w:numFmt w:val="bullet"/>
      <w:lvlText w:val=""/>
      <w:lvlJc w:val="left"/>
      <w:pPr>
        <w:ind w:left="6120" w:hanging="360"/>
      </w:pPr>
      <w:rPr>
        <w:rFonts w:hint="default" w:ascii="Symbol" w:hAnsi="Symbol"/>
      </w:rPr>
    </w:lvl>
    <w:lvl w:ilvl="7" w:tplc="08090003" w:tentative="1">
      <w:start w:val="1"/>
      <w:numFmt w:val="bullet"/>
      <w:lvlText w:val="o"/>
      <w:lvlJc w:val="left"/>
      <w:pPr>
        <w:ind w:left="6840" w:hanging="360"/>
      </w:pPr>
      <w:rPr>
        <w:rFonts w:hint="default" w:ascii="Courier New" w:hAnsi="Courier New" w:cs="Courier New"/>
      </w:rPr>
    </w:lvl>
    <w:lvl w:ilvl="8" w:tplc="08090005" w:tentative="1">
      <w:start w:val="1"/>
      <w:numFmt w:val="bullet"/>
      <w:lvlText w:val=""/>
      <w:lvlJc w:val="left"/>
      <w:pPr>
        <w:ind w:left="7560" w:hanging="360"/>
      </w:pPr>
      <w:rPr>
        <w:rFonts w:hint="default" w:ascii="Wingdings" w:hAnsi="Wingdings"/>
      </w:rPr>
    </w:lvl>
  </w:abstractNum>
  <w:abstractNum w:abstractNumId="6" w15:restartNumberingAfterBreak="0">
    <w:nsid w:val="1BA41214"/>
    <w:multiLevelType w:val="multilevel"/>
    <w:tmpl w:val="5FB6263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1D6C6B78"/>
    <w:multiLevelType w:val="hybridMultilevel"/>
    <w:tmpl w:val="5A443D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DAC7ABD"/>
    <w:multiLevelType w:val="hybridMultilevel"/>
    <w:tmpl w:val="DB84FF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BAF0AFE"/>
    <w:multiLevelType w:val="hybridMultilevel"/>
    <w:tmpl w:val="C3E6FA1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58155AD"/>
    <w:multiLevelType w:val="hybridMultilevel"/>
    <w:tmpl w:val="1632BA7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ABE413D"/>
    <w:multiLevelType w:val="multilevel"/>
    <w:tmpl w:val="1F94F15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3C25109A"/>
    <w:multiLevelType w:val="multilevel"/>
    <w:tmpl w:val="4852FBC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3D8A2A36"/>
    <w:multiLevelType w:val="hybridMultilevel"/>
    <w:tmpl w:val="0E4CB5E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E591705"/>
    <w:multiLevelType w:val="multilevel"/>
    <w:tmpl w:val="87FC6F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47FB3A24"/>
    <w:multiLevelType w:val="hybridMultilevel"/>
    <w:tmpl w:val="61403C4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6" w15:restartNumberingAfterBreak="0">
    <w:nsid w:val="50312895"/>
    <w:multiLevelType w:val="multilevel"/>
    <w:tmpl w:val="1C6480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55921B4E"/>
    <w:multiLevelType w:val="hybridMultilevel"/>
    <w:tmpl w:val="889EA67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57CA2A68"/>
    <w:multiLevelType w:val="hybridMultilevel"/>
    <w:tmpl w:val="4738C17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61067B65"/>
    <w:multiLevelType w:val="multilevel"/>
    <w:tmpl w:val="631A696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61E85119"/>
    <w:multiLevelType w:val="hybridMultilevel"/>
    <w:tmpl w:val="D08E5A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6A022D19"/>
    <w:multiLevelType w:val="hybridMultilevel"/>
    <w:tmpl w:val="F9248DEC"/>
    <w:lvl w:ilvl="0" w:tplc="08090001">
      <w:start w:val="1"/>
      <w:numFmt w:val="bullet"/>
      <w:lvlText w:val=""/>
      <w:lvlJc w:val="left"/>
      <w:pPr>
        <w:ind w:left="1800" w:hanging="360"/>
      </w:pPr>
      <w:rPr>
        <w:rFonts w:hint="default" w:ascii="Symbol" w:hAnsi="Symbol"/>
      </w:rPr>
    </w:lvl>
    <w:lvl w:ilvl="1" w:tplc="08090003">
      <w:start w:val="1"/>
      <w:numFmt w:val="bullet"/>
      <w:lvlText w:val="o"/>
      <w:lvlJc w:val="left"/>
      <w:pPr>
        <w:ind w:left="2520" w:hanging="360"/>
      </w:pPr>
      <w:rPr>
        <w:rFonts w:hint="default" w:ascii="Courier New" w:hAnsi="Courier New" w:cs="Courier New"/>
      </w:rPr>
    </w:lvl>
    <w:lvl w:ilvl="2" w:tplc="08090005" w:tentative="1">
      <w:start w:val="1"/>
      <w:numFmt w:val="bullet"/>
      <w:lvlText w:val=""/>
      <w:lvlJc w:val="left"/>
      <w:pPr>
        <w:ind w:left="3240" w:hanging="360"/>
      </w:pPr>
      <w:rPr>
        <w:rFonts w:hint="default" w:ascii="Wingdings" w:hAnsi="Wingdings"/>
      </w:rPr>
    </w:lvl>
    <w:lvl w:ilvl="3" w:tplc="08090001" w:tentative="1">
      <w:start w:val="1"/>
      <w:numFmt w:val="bullet"/>
      <w:lvlText w:val=""/>
      <w:lvlJc w:val="left"/>
      <w:pPr>
        <w:ind w:left="3960" w:hanging="360"/>
      </w:pPr>
      <w:rPr>
        <w:rFonts w:hint="default" w:ascii="Symbol" w:hAnsi="Symbol"/>
      </w:rPr>
    </w:lvl>
    <w:lvl w:ilvl="4" w:tplc="08090003" w:tentative="1">
      <w:start w:val="1"/>
      <w:numFmt w:val="bullet"/>
      <w:lvlText w:val="o"/>
      <w:lvlJc w:val="left"/>
      <w:pPr>
        <w:ind w:left="4680" w:hanging="360"/>
      </w:pPr>
      <w:rPr>
        <w:rFonts w:hint="default" w:ascii="Courier New" w:hAnsi="Courier New" w:cs="Courier New"/>
      </w:rPr>
    </w:lvl>
    <w:lvl w:ilvl="5" w:tplc="08090005" w:tentative="1">
      <w:start w:val="1"/>
      <w:numFmt w:val="bullet"/>
      <w:lvlText w:val=""/>
      <w:lvlJc w:val="left"/>
      <w:pPr>
        <w:ind w:left="5400" w:hanging="360"/>
      </w:pPr>
      <w:rPr>
        <w:rFonts w:hint="default" w:ascii="Wingdings" w:hAnsi="Wingdings"/>
      </w:rPr>
    </w:lvl>
    <w:lvl w:ilvl="6" w:tplc="08090001" w:tentative="1">
      <w:start w:val="1"/>
      <w:numFmt w:val="bullet"/>
      <w:lvlText w:val=""/>
      <w:lvlJc w:val="left"/>
      <w:pPr>
        <w:ind w:left="6120" w:hanging="360"/>
      </w:pPr>
      <w:rPr>
        <w:rFonts w:hint="default" w:ascii="Symbol" w:hAnsi="Symbol"/>
      </w:rPr>
    </w:lvl>
    <w:lvl w:ilvl="7" w:tplc="08090003" w:tentative="1">
      <w:start w:val="1"/>
      <w:numFmt w:val="bullet"/>
      <w:lvlText w:val="o"/>
      <w:lvlJc w:val="left"/>
      <w:pPr>
        <w:ind w:left="6840" w:hanging="360"/>
      </w:pPr>
      <w:rPr>
        <w:rFonts w:hint="default" w:ascii="Courier New" w:hAnsi="Courier New" w:cs="Courier New"/>
      </w:rPr>
    </w:lvl>
    <w:lvl w:ilvl="8" w:tplc="08090005" w:tentative="1">
      <w:start w:val="1"/>
      <w:numFmt w:val="bullet"/>
      <w:lvlText w:val=""/>
      <w:lvlJc w:val="left"/>
      <w:pPr>
        <w:ind w:left="7560" w:hanging="360"/>
      </w:pPr>
      <w:rPr>
        <w:rFonts w:hint="default" w:ascii="Wingdings" w:hAnsi="Wingdings"/>
      </w:rPr>
    </w:lvl>
  </w:abstractNum>
  <w:abstractNum w:abstractNumId="22" w15:restartNumberingAfterBreak="0">
    <w:nsid w:val="6FC66044"/>
    <w:multiLevelType w:val="hybridMultilevel"/>
    <w:tmpl w:val="9778738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1354B9E"/>
    <w:multiLevelType w:val="hybridMultilevel"/>
    <w:tmpl w:val="6BC8309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A4F7C64"/>
    <w:multiLevelType w:val="multilevel"/>
    <w:tmpl w:val="D752E2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7AE33AC4"/>
    <w:multiLevelType w:val="hybridMultilevel"/>
    <w:tmpl w:val="1BC0DC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BBC29F8"/>
    <w:multiLevelType w:val="hybridMultilevel"/>
    <w:tmpl w:val="9C9EC73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704521321">
    <w:abstractNumId w:val="4"/>
  </w:num>
  <w:num w:numId="2" w16cid:durableId="1874800944">
    <w:abstractNumId w:val="26"/>
  </w:num>
  <w:num w:numId="3" w16cid:durableId="353189494">
    <w:abstractNumId w:val="22"/>
  </w:num>
  <w:num w:numId="4" w16cid:durableId="762652078">
    <w:abstractNumId w:val="10"/>
  </w:num>
  <w:num w:numId="5" w16cid:durableId="630982621">
    <w:abstractNumId w:val="17"/>
  </w:num>
  <w:num w:numId="6" w16cid:durableId="561789718">
    <w:abstractNumId w:val="1"/>
  </w:num>
  <w:num w:numId="7" w16cid:durableId="155726478">
    <w:abstractNumId w:val="13"/>
  </w:num>
  <w:num w:numId="8" w16cid:durableId="767046310">
    <w:abstractNumId w:val="15"/>
  </w:num>
  <w:num w:numId="9" w16cid:durableId="957371324">
    <w:abstractNumId w:val="8"/>
  </w:num>
  <w:num w:numId="10" w16cid:durableId="1793742867">
    <w:abstractNumId w:val="5"/>
  </w:num>
  <w:num w:numId="11" w16cid:durableId="876048687">
    <w:abstractNumId w:val="21"/>
  </w:num>
  <w:num w:numId="12" w16cid:durableId="1891382230">
    <w:abstractNumId w:val="20"/>
  </w:num>
  <w:num w:numId="13" w16cid:durableId="296182660">
    <w:abstractNumId w:val="7"/>
  </w:num>
  <w:num w:numId="14" w16cid:durableId="728772402">
    <w:abstractNumId w:val="18"/>
  </w:num>
  <w:num w:numId="15" w16cid:durableId="1129323127">
    <w:abstractNumId w:val="25"/>
  </w:num>
  <w:num w:numId="16" w16cid:durableId="1565599021">
    <w:abstractNumId w:val="23"/>
  </w:num>
  <w:num w:numId="17" w16cid:durableId="1271473510">
    <w:abstractNumId w:val="19"/>
  </w:num>
  <w:num w:numId="18" w16cid:durableId="1665694351">
    <w:abstractNumId w:val="24"/>
  </w:num>
  <w:num w:numId="19" w16cid:durableId="62487868">
    <w:abstractNumId w:val="6"/>
  </w:num>
  <w:num w:numId="20" w16cid:durableId="1358969469">
    <w:abstractNumId w:val="11"/>
  </w:num>
  <w:num w:numId="21" w16cid:durableId="1626159581">
    <w:abstractNumId w:val="14"/>
  </w:num>
  <w:num w:numId="22" w16cid:durableId="1790392028">
    <w:abstractNumId w:val="2"/>
  </w:num>
  <w:num w:numId="23" w16cid:durableId="281303762">
    <w:abstractNumId w:val="12"/>
  </w:num>
  <w:num w:numId="24" w16cid:durableId="401568733">
    <w:abstractNumId w:val="3"/>
  </w:num>
  <w:num w:numId="25" w16cid:durableId="727147501">
    <w:abstractNumId w:val="16"/>
  </w:num>
  <w:num w:numId="26" w16cid:durableId="379864616">
    <w:abstractNumId w:val="9"/>
  </w:num>
  <w:num w:numId="27" w16cid:durableId="1629815227">
    <w:abstractNumId w:val="0"/>
  </w:num>
  <w:numIdMacAtCleanup w:val="27"/>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34731"/>
    <w:rsid w:val="00041CF6"/>
    <w:rsid w:val="00052D01"/>
    <w:rsid w:val="00054F8C"/>
    <w:rsid w:val="000617AE"/>
    <w:rsid w:val="00061E86"/>
    <w:rsid w:val="00065531"/>
    <w:rsid w:val="00066961"/>
    <w:rsid w:val="00072D3B"/>
    <w:rsid w:val="00083FC0"/>
    <w:rsid w:val="000865FA"/>
    <w:rsid w:val="000940E7"/>
    <w:rsid w:val="000973DA"/>
    <w:rsid w:val="000A0751"/>
    <w:rsid w:val="000C3280"/>
    <w:rsid w:val="000D1A77"/>
    <w:rsid w:val="000E379E"/>
    <w:rsid w:val="000F24E2"/>
    <w:rsid w:val="000F361B"/>
    <w:rsid w:val="00110100"/>
    <w:rsid w:val="00133EA1"/>
    <w:rsid w:val="0016096B"/>
    <w:rsid w:val="00161966"/>
    <w:rsid w:val="001707C4"/>
    <w:rsid w:val="0018209C"/>
    <w:rsid w:val="00182C00"/>
    <w:rsid w:val="001922F3"/>
    <w:rsid w:val="001A4E1B"/>
    <w:rsid w:val="001B3120"/>
    <w:rsid w:val="001C06A8"/>
    <w:rsid w:val="001C4EF8"/>
    <w:rsid w:val="001C6C4F"/>
    <w:rsid w:val="001E6F3B"/>
    <w:rsid w:val="001F09B5"/>
    <w:rsid w:val="001F2857"/>
    <w:rsid w:val="001F3341"/>
    <w:rsid w:val="001F48BE"/>
    <w:rsid w:val="002010FE"/>
    <w:rsid w:val="00203F67"/>
    <w:rsid w:val="0020539A"/>
    <w:rsid w:val="00233330"/>
    <w:rsid w:val="00233D58"/>
    <w:rsid w:val="00234AC2"/>
    <w:rsid w:val="00240F00"/>
    <w:rsid w:val="00241662"/>
    <w:rsid w:val="002432C6"/>
    <w:rsid w:val="002518B7"/>
    <w:rsid w:val="0025283D"/>
    <w:rsid w:val="00266681"/>
    <w:rsid w:val="00272BD5"/>
    <w:rsid w:val="00275ABB"/>
    <w:rsid w:val="002950FF"/>
    <w:rsid w:val="00296CD9"/>
    <w:rsid w:val="002A706E"/>
    <w:rsid w:val="002B7C9A"/>
    <w:rsid w:val="002C3DD6"/>
    <w:rsid w:val="002D77FE"/>
    <w:rsid w:val="002F02AB"/>
    <w:rsid w:val="0030739E"/>
    <w:rsid w:val="0031077C"/>
    <w:rsid w:val="003261FD"/>
    <w:rsid w:val="00327324"/>
    <w:rsid w:val="0032747D"/>
    <w:rsid w:val="003324CB"/>
    <w:rsid w:val="003464BA"/>
    <w:rsid w:val="00366FDD"/>
    <w:rsid w:val="00375605"/>
    <w:rsid w:val="00380DE0"/>
    <w:rsid w:val="00382295"/>
    <w:rsid w:val="00387A41"/>
    <w:rsid w:val="003A2670"/>
    <w:rsid w:val="003A61FA"/>
    <w:rsid w:val="003B31B1"/>
    <w:rsid w:val="003C0FF8"/>
    <w:rsid w:val="0040753F"/>
    <w:rsid w:val="00407736"/>
    <w:rsid w:val="004140C9"/>
    <w:rsid w:val="00414894"/>
    <w:rsid w:val="004221DC"/>
    <w:rsid w:val="004222DD"/>
    <w:rsid w:val="0042635B"/>
    <w:rsid w:val="00430227"/>
    <w:rsid w:val="00452263"/>
    <w:rsid w:val="00461835"/>
    <w:rsid w:val="00466612"/>
    <w:rsid w:val="00466F20"/>
    <w:rsid w:val="004671D2"/>
    <w:rsid w:val="004754FC"/>
    <w:rsid w:val="004925B9"/>
    <w:rsid w:val="004937D3"/>
    <w:rsid w:val="004949E5"/>
    <w:rsid w:val="004A7BA0"/>
    <w:rsid w:val="004E109D"/>
    <w:rsid w:val="004E1EDA"/>
    <w:rsid w:val="0052297E"/>
    <w:rsid w:val="00524839"/>
    <w:rsid w:val="0053076A"/>
    <w:rsid w:val="005404F4"/>
    <w:rsid w:val="005506AE"/>
    <w:rsid w:val="00556711"/>
    <w:rsid w:val="0055738E"/>
    <w:rsid w:val="00574BCF"/>
    <w:rsid w:val="00576395"/>
    <w:rsid w:val="005835C5"/>
    <w:rsid w:val="00585277"/>
    <w:rsid w:val="0059296A"/>
    <w:rsid w:val="00594E39"/>
    <w:rsid w:val="005D1652"/>
    <w:rsid w:val="005D2C4A"/>
    <w:rsid w:val="005D3DF1"/>
    <w:rsid w:val="005D5AFA"/>
    <w:rsid w:val="005D5E16"/>
    <w:rsid w:val="005E6797"/>
    <w:rsid w:val="005F38A1"/>
    <w:rsid w:val="005F4E71"/>
    <w:rsid w:val="006201D0"/>
    <w:rsid w:val="0064147E"/>
    <w:rsid w:val="00646AAE"/>
    <w:rsid w:val="00647043"/>
    <w:rsid w:val="00653AEC"/>
    <w:rsid w:val="00655190"/>
    <w:rsid w:val="00656183"/>
    <w:rsid w:val="00662218"/>
    <w:rsid w:val="006715A4"/>
    <w:rsid w:val="006729DA"/>
    <w:rsid w:val="00672A4C"/>
    <w:rsid w:val="00685AE0"/>
    <w:rsid w:val="00685CBC"/>
    <w:rsid w:val="00687037"/>
    <w:rsid w:val="006D0E46"/>
    <w:rsid w:val="006D1998"/>
    <w:rsid w:val="006D1A14"/>
    <w:rsid w:val="006E6502"/>
    <w:rsid w:val="006F02B9"/>
    <w:rsid w:val="006F4029"/>
    <w:rsid w:val="006F549F"/>
    <w:rsid w:val="00703D77"/>
    <w:rsid w:val="00707FAD"/>
    <w:rsid w:val="00711095"/>
    <w:rsid w:val="0072604C"/>
    <w:rsid w:val="007277B5"/>
    <w:rsid w:val="00737883"/>
    <w:rsid w:val="00745B12"/>
    <w:rsid w:val="0075502E"/>
    <w:rsid w:val="00762A97"/>
    <w:rsid w:val="00762BBE"/>
    <w:rsid w:val="0076681D"/>
    <w:rsid w:val="00767E3E"/>
    <w:rsid w:val="007B67A7"/>
    <w:rsid w:val="007B683C"/>
    <w:rsid w:val="007D313C"/>
    <w:rsid w:val="007D5917"/>
    <w:rsid w:val="007E5BB1"/>
    <w:rsid w:val="007F125F"/>
    <w:rsid w:val="00804324"/>
    <w:rsid w:val="00815FCD"/>
    <w:rsid w:val="00820546"/>
    <w:rsid w:val="008267FB"/>
    <w:rsid w:val="00850C29"/>
    <w:rsid w:val="00857D93"/>
    <w:rsid w:val="00860674"/>
    <w:rsid w:val="00885CE9"/>
    <w:rsid w:val="00891BA2"/>
    <w:rsid w:val="008A08F7"/>
    <w:rsid w:val="008A1AE5"/>
    <w:rsid w:val="008A7E14"/>
    <w:rsid w:val="008C15D9"/>
    <w:rsid w:val="008C50D5"/>
    <w:rsid w:val="008D0747"/>
    <w:rsid w:val="008E13D1"/>
    <w:rsid w:val="008F442A"/>
    <w:rsid w:val="00910C0A"/>
    <w:rsid w:val="009112DC"/>
    <w:rsid w:val="00915778"/>
    <w:rsid w:val="00925DA1"/>
    <w:rsid w:val="00931E6B"/>
    <w:rsid w:val="009331F3"/>
    <w:rsid w:val="00971BAC"/>
    <w:rsid w:val="00982988"/>
    <w:rsid w:val="00983F5E"/>
    <w:rsid w:val="009911F2"/>
    <w:rsid w:val="00996159"/>
    <w:rsid w:val="009B069A"/>
    <w:rsid w:val="009B1219"/>
    <w:rsid w:val="009B52E7"/>
    <w:rsid w:val="009E14BB"/>
    <w:rsid w:val="009E249D"/>
    <w:rsid w:val="009E53B8"/>
    <w:rsid w:val="009E7AF7"/>
    <w:rsid w:val="00A35122"/>
    <w:rsid w:val="00A671E8"/>
    <w:rsid w:val="00A7288B"/>
    <w:rsid w:val="00A83E54"/>
    <w:rsid w:val="00A84941"/>
    <w:rsid w:val="00A94002"/>
    <w:rsid w:val="00A97D23"/>
    <w:rsid w:val="00AA4753"/>
    <w:rsid w:val="00AB4B93"/>
    <w:rsid w:val="00AC308E"/>
    <w:rsid w:val="00AC4AD4"/>
    <w:rsid w:val="00AD064D"/>
    <w:rsid w:val="00AD40B8"/>
    <w:rsid w:val="00AD486E"/>
    <w:rsid w:val="00AD71BC"/>
    <w:rsid w:val="00AE2D20"/>
    <w:rsid w:val="00AF59FD"/>
    <w:rsid w:val="00AF66FE"/>
    <w:rsid w:val="00B0479E"/>
    <w:rsid w:val="00B0564E"/>
    <w:rsid w:val="00B105BD"/>
    <w:rsid w:val="00B14EAE"/>
    <w:rsid w:val="00B21EDC"/>
    <w:rsid w:val="00B224D7"/>
    <w:rsid w:val="00B22CF9"/>
    <w:rsid w:val="00B25C58"/>
    <w:rsid w:val="00B3430C"/>
    <w:rsid w:val="00B35ECC"/>
    <w:rsid w:val="00B371C5"/>
    <w:rsid w:val="00B45C87"/>
    <w:rsid w:val="00B506F0"/>
    <w:rsid w:val="00B50ABC"/>
    <w:rsid w:val="00B6292E"/>
    <w:rsid w:val="00B70C2F"/>
    <w:rsid w:val="00B70ED7"/>
    <w:rsid w:val="00B904E5"/>
    <w:rsid w:val="00B91D15"/>
    <w:rsid w:val="00BA2507"/>
    <w:rsid w:val="00BA5EB1"/>
    <w:rsid w:val="00BB2C8C"/>
    <w:rsid w:val="00BB764F"/>
    <w:rsid w:val="00BC1144"/>
    <w:rsid w:val="00BC241D"/>
    <w:rsid w:val="00BC27F9"/>
    <w:rsid w:val="00BD69AB"/>
    <w:rsid w:val="00BF009C"/>
    <w:rsid w:val="00C107F2"/>
    <w:rsid w:val="00C2143D"/>
    <w:rsid w:val="00C33A04"/>
    <w:rsid w:val="00C40206"/>
    <w:rsid w:val="00C43F7B"/>
    <w:rsid w:val="00C55C8E"/>
    <w:rsid w:val="00C56152"/>
    <w:rsid w:val="00C61658"/>
    <w:rsid w:val="00C74B0D"/>
    <w:rsid w:val="00C77B23"/>
    <w:rsid w:val="00C933BE"/>
    <w:rsid w:val="00C95B3C"/>
    <w:rsid w:val="00CA0016"/>
    <w:rsid w:val="00CA1009"/>
    <w:rsid w:val="00CA5486"/>
    <w:rsid w:val="00CA6970"/>
    <w:rsid w:val="00CA6D65"/>
    <w:rsid w:val="00CB1C7D"/>
    <w:rsid w:val="00CC048E"/>
    <w:rsid w:val="00CC381D"/>
    <w:rsid w:val="00CD7AA5"/>
    <w:rsid w:val="00D11351"/>
    <w:rsid w:val="00D16C84"/>
    <w:rsid w:val="00D40B91"/>
    <w:rsid w:val="00D45B01"/>
    <w:rsid w:val="00D53020"/>
    <w:rsid w:val="00D6215B"/>
    <w:rsid w:val="00D754EB"/>
    <w:rsid w:val="00D81AF5"/>
    <w:rsid w:val="00D914F2"/>
    <w:rsid w:val="00D97968"/>
    <w:rsid w:val="00DA0F82"/>
    <w:rsid w:val="00DA51E0"/>
    <w:rsid w:val="00DA76AD"/>
    <w:rsid w:val="00DB308E"/>
    <w:rsid w:val="00DB4061"/>
    <w:rsid w:val="00DB76B3"/>
    <w:rsid w:val="00DC6D73"/>
    <w:rsid w:val="00DD41FA"/>
    <w:rsid w:val="00DF3645"/>
    <w:rsid w:val="00E06294"/>
    <w:rsid w:val="00E10124"/>
    <w:rsid w:val="00E13168"/>
    <w:rsid w:val="00E242E5"/>
    <w:rsid w:val="00E31442"/>
    <w:rsid w:val="00E36F34"/>
    <w:rsid w:val="00E3794C"/>
    <w:rsid w:val="00E52C94"/>
    <w:rsid w:val="00E575AE"/>
    <w:rsid w:val="00E64B13"/>
    <w:rsid w:val="00E87B30"/>
    <w:rsid w:val="00EA436A"/>
    <w:rsid w:val="00EA4667"/>
    <w:rsid w:val="00EC231A"/>
    <w:rsid w:val="00EC7151"/>
    <w:rsid w:val="00ED754B"/>
    <w:rsid w:val="00EE2852"/>
    <w:rsid w:val="00EF31AD"/>
    <w:rsid w:val="00F06D6F"/>
    <w:rsid w:val="00F10DA7"/>
    <w:rsid w:val="00F11CD2"/>
    <w:rsid w:val="00F1387A"/>
    <w:rsid w:val="00F143FB"/>
    <w:rsid w:val="00F17355"/>
    <w:rsid w:val="00F17EB4"/>
    <w:rsid w:val="00F204CE"/>
    <w:rsid w:val="00F26A27"/>
    <w:rsid w:val="00F31EBA"/>
    <w:rsid w:val="00F441A4"/>
    <w:rsid w:val="00F5082D"/>
    <w:rsid w:val="00F531BD"/>
    <w:rsid w:val="00F5324A"/>
    <w:rsid w:val="00F55629"/>
    <w:rsid w:val="00F57042"/>
    <w:rsid w:val="00F57C68"/>
    <w:rsid w:val="00F618CD"/>
    <w:rsid w:val="00F646AE"/>
    <w:rsid w:val="00F7169E"/>
    <w:rsid w:val="00F7288F"/>
    <w:rsid w:val="00F82EA6"/>
    <w:rsid w:val="00F8567E"/>
    <w:rsid w:val="00F86656"/>
    <w:rsid w:val="00F91B06"/>
    <w:rsid w:val="00F97C38"/>
    <w:rsid w:val="00FA0CA9"/>
    <w:rsid w:val="00FA2BD5"/>
    <w:rsid w:val="00FA4762"/>
    <w:rsid w:val="00FA5DEC"/>
    <w:rsid w:val="00FC21DB"/>
    <w:rsid w:val="00FC75FE"/>
    <w:rsid w:val="00FD7C1B"/>
    <w:rsid w:val="00FE7070"/>
    <w:rsid w:val="043D111D"/>
    <w:rsid w:val="12413FBE"/>
    <w:rsid w:val="20512E76"/>
    <w:rsid w:val="24D01AD7"/>
    <w:rsid w:val="2A31D359"/>
    <w:rsid w:val="2D0282FE"/>
    <w:rsid w:val="417E2099"/>
    <w:rsid w:val="4F9B93EB"/>
    <w:rsid w:val="541DA066"/>
    <w:rsid w:val="556B38F9"/>
    <w:rsid w:val="60969F3A"/>
    <w:rsid w:val="6163AAFF"/>
    <w:rsid w:val="6FC5F940"/>
    <w:rsid w:val="78F06275"/>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B91D1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ListParagraphChar" w:customStyle="1">
    <w:name w:val="List Paragraph Char"/>
    <w:link w:val="ListParagraph"/>
    <w:uiPriority w:val="34"/>
    <w:qFormat/>
    <w:locked/>
    <w:rsid w:val="004949E5"/>
  </w:style>
  <w:style w:type="paragraph" w:styleId="Subtitle">
    <w:name w:val="Subtitle"/>
    <w:basedOn w:val="Normal"/>
    <w:link w:val="SubtitleChar"/>
    <w:uiPriority w:val="99"/>
    <w:qFormat/>
    <w:rsid w:val="00AC308E"/>
    <w:pPr>
      <w:spacing w:after="0" w:line="240" w:lineRule="auto"/>
    </w:pPr>
    <w:rPr>
      <w:rFonts w:ascii="Arial" w:hAnsi="Arial" w:eastAsia="Times New Roman" w:cs="Times New Roman"/>
      <w:b/>
      <w:bCs/>
      <w:u w:val="single"/>
      <w:lang w:val="en-US"/>
    </w:rPr>
  </w:style>
  <w:style w:type="character" w:styleId="SubtitleChar" w:customStyle="1">
    <w:name w:val="Subtitle Char"/>
    <w:basedOn w:val="DefaultParagraphFont"/>
    <w:link w:val="Subtitle"/>
    <w:uiPriority w:val="99"/>
    <w:rsid w:val="00AC308E"/>
    <w:rPr>
      <w:rFonts w:ascii="Arial" w:hAnsi="Arial" w:eastAsia="Times New Roman" w:cs="Times New Roman"/>
      <w:b/>
      <w:bCs/>
      <w:u w:val="single"/>
      <w:lang w:val="en-US"/>
    </w:rPr>
  </w:style>
  <w:style w:type="character" w:styleId="IntenseEmphasis">
    <w:name w:val="Intense Emphasis"/>
    <w:basedOn w:val="DefaultParagraphFont"/>
    <w:uiPriority w:val="21"/>
    <w:qFormat/>
    <w:rsid w:val="00AC308E"/>
    <w:rPr>
      <w:rFonts w:ascii="Arial" w:hAnsi="Arial"/>
      <w:i/>
      <w:iCs/>
      <w:color w:val="FF0000"/>
      <w:sz w:val="20"/>
    </w:rPr>
  </w:style>
  <w:style w:type="paragraph" w:styleId="FootnoteText">
    <w:name w:val="footnote text"/>
    <w:basedOn w:val="Normal"/>
    <w:link w:val="FootnoteTextChar"/>
    <w:uiPriority w:val="99"/>
    <w:unhideWhenUsed/>
    <w:rsid w:val="00E36F34"/>
    <w:pPr>
      <w:spacing w:after="0" w:line="240" w:lineRule="auto"/>
    </w:pPr>
    <w:rPr>
      <w:rFonts w:ascii="Arial" w:hAnsi="Arial" w:eastAsia="Times New Roman" w:cs="Times New Roman"/>
      <w:lang w:eastAsia="en-GB"/>
    </w:rPr>
  </w:style>
  <w:style w:type="character" w:styleId="FootnoteTextChar" w:customStyle="1">
    <w:name w:val="Footnote Text Char"/>
    <w:basedOn w:val="DefaultParagraphFont"/>
    <w:link w:val="FootnoteText"/>
    <w:uiPriority w:val="99"/>
    <w:rsid w:val="00E36F34"/>
    <w:rPr>
      <w:rFonts w:ascii="Arial" w:hAnsi="Arial" w:eastAsia="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glossaryDocument" Target="glossary/document.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66681378"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922F3"/>
    <w:rsid w:val="001B0EEF"/>
    <w:rsid w:val="001B3EFE"/>
    <w:rsid w:val="001C6C4F"/>
    <w:rsid w:val="00240F00"/>
    <w:rsid w:val="002D7989"/>
    <w:rsid w:val="003261FD"/>
    <w:rsid w:val="00327324"/>
    <w:rsid w:val="003644BF"/>
    <w:rsid w:val="00387A41"/>
    <w:rsid w:val="003A61FA"/>
    <w:rsid w:val="003C0CC9"/>
    <w:rsid w:val="0040753F"/>
    <w:rsid w:val="004140C9"/>
    <w:rsid w:val="00467E8C"/>
    <w:rsid w:val="00500DD2"/>
    <w:rsid w:val="00524839"/>
    <w:rsid w:val="0056158E"/>
    <w:rsid w:val="00591655"/>
    <w:rsid w:val="00672A4C"/>
    <w:rsid w:val="006D0E46"/>
    <w:rsid w:val="006F4029"/>
    <w:rsid w:val="006F4D1A"/>
    <w:rsid w:val="006F549F"/>
    <w:rsid w:val="0076681D"/>
    <w:rsid w:val="007D313C"/>
    <w:rsid w:val="008A08F7"/>
    <w:rsid w:val="008A7E14"/>
    <w:rsid w:val="00932D6E"/>
    <w:rsid w:val="009B069A"/>
    <w:rsid w:val="009E14BB"/>
    <w:rsid w:val="00AA72E5"/>
    <w:rsid w:val="00AC42FD"/>
    <w:rsid w:val="00AD486E"/>
    <w:rsid w:val="00B06ACB"/>
    <w:rsid w:val="00B904E5"/>
    <w:rsid w:val="00BD69AB"/>
    <w:rsid w:val="00C3159D"/>
    <w:rsid w:val="00C3249F"/>
    <w:rsid w:val="00CA0016"/>
    <w:rsid w:val="00CB2F21"/>
    <w:rsid w:val="00CC048E"/>
    <w:rsid w:val="00D81AF5"/>
    <w:rsid w:val="00D914F2"/>
    <w:rsid w:val="00E10124"/>
    <w:rsid w:val="00E62F67"/>
    <w:rsid w:val="00E64B13"/>
    <w:rsid w:val="00ED754B"/>
    <w:rsid w:val="00F97C38"/>
    <w:rsid w:val="00FA2BD5"/>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Georgia Lewis  (Swansea Bay UHB - Corporate Governance )</lastModifiedBy>
  <revision>6</revision>
  <dcterms:created xsi:type="dcterms:W3CDTF">2026-06-12T09:44:00.0000000Z</dcterms:created>
  <dcterms:modified xsi:type="dcterms:W3CDTF">2026-06-16T13:46:26.8445026Z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