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0"/>
        <w:gridCol w:w="3249"/>
        <w:gridCol w:w="5201"/>
      </w:tblGrid>
      <w:tr w:rsidR="00CF3BE4" w:rsidRPr="00F231E1" w14:paraId="36563BBC" w14:textId="77777777" w:rsidTr="00831BD2">
        <w:trPr>
          <w:cantSplit/>
          <w:tblHeade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07977BB"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No.</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EF30ABE"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Planning Assumption</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CEFCB48"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Requirement for plans</w:t>
            </w:r>
          </w:p>
        </w:tc>
      </w:tr>
      <w:tr w:rsidR="00CF3BE4" w:rsidRPr="00F231E1" w14:paraId="74D6E486"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53E6614"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DECB61" w14:textId="77777777" w:rsidR="00CF3BE4" w:rsidRPr="00F231E1" w:rsidRDefault="00CF3BE4" w:rsidP="00831BD2">
            <w:pPr>
              <w:spacing w:line="240" w:lineRule="auto"/>
              <w:rPr>
                <w:rFonts w:ascii="Verdana" w:hAnsi="Verdana"/>
                <w:sz w:val="24"/>
              </w:rPr>
            </w:pPr>
            <w:r w:rsidRPr="00F231E1">
              <w:rPr>
                <w:rFonts w:ascii="Verdana" w:hAnsi="Verdana"/>
                <w:b/>
                <w:bCs/>
                <w:sz w:val="24"/>
              </w:rPr>
              <w:t>Flat cash and a reducing real-terms resource envelope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F2D3855" w14:textId="77777777" w:rsidR="00CF3BE4" w:rsidRPr="00F231E1" w:rsidRDefault="00CF3BE4" w:rsidP="00831BD2">
            <w:pPr>
              <w:spacing w:line="240" w:lineRule="auto"/>
              <w:rPr>
                <w:rFonts w:ascii="Verdana" w:hAnsi="Verdana"/>
                <w:sz w:val="24"/>
              </w:rPr>
            </w:pPr>
            <w:r w:rsidRPr="00F231E1">
              <w:rPr>
                <w:rFonts w:ascii="Verdana" w:hAnsi="Verdana"/>
                <w:sz w:val="24"/>
              </w:rPr>
              <w:t xml:space="preserve">Plans will be developed </w:t>
            </w:r>
            <w:proofErr w:type="gramStart"/>
            <w:r w:rsidRPr="00F231E1">
              <w:rPr>
                <w:rFonts w:ascii="Verdana" w:hAnsi="Verdana"/>
                <w:sz w:val="24"/>
              </w:rPr>
              <w:t>on the basis of</w:t>
            </w:r>
            <w:proofErr w:type="gramEnd"/>
            <w:r w:rsidRPr="00F231E1">
              <w:rPr>
                <w:rFonts w:ascii="Verdana" w:hAnsi="Verdana"/>
                <w:sz w:val="24"/>
              </w:rPr>
              <w:t xml:space="preserve"> a flat cash settlement, with no assumption that inflation, pay awards, demand growth or other cost pressures will be fully funded. All areas must therefore plan within a reducing real-terms resource envelope.</w:t>
            </w:r>
          </w:p>
        </w:tc>
      </w:tr>
      <w:tr w:rsidR="00CF3BE4" w:rsidRPr="00F231E1" w14:paraId="47F68463"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309EC1A"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EB3925C" w14:textId="77777777" w:rsidR="00CF3BE4" w:rsidRPr="00F231E1" w:rsidRDefault="00CF3BE4" w:rsidP="00831BD2">
            <w:pPr>
              <w:spacing w:line="240" w:lineRule="auto"/>
              <w:rPr>
                <w:rFonts w:ascii="Verdana" w:hAnsi="Verdana"/>
                <w:sz w:val="24"/>
              </w:rPr>
            </w:pPr>
            <w:r w:rsidRPr="00F231E1">
              <w:rPr>
                <w:rFonts w:ascii="Verdana" w:hAnsi="Verdana"/>
                <w:b/>
                <w:bCs/>
                <w:sz w:val="24"/>
              </w:rPr>
              <w:t>A substantial recurrent reduction in the cost base will be required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A02C970" w14:textId="77777777" w:rsidR="00CF3BE4" w:rsidRPr="00F231E1" w:rsidRDefault="00CF3BE4" w:rsidP="00831BD2">
            <w:pPr>
              <w:rPr>
                <w:rFonts w:ascii="Verdana" w:hAnsi="Verdana"/>
                <w:sz w:val="24"/>
              </w:rPr>
            </w:pPr>
            <w:r w:rsidRPr="00F231E1">
              <w:rPr>
                <w:rFonts w:ascii="Verdana" w:hAnsi="Verdana"/>
                <w:sz w:val="24"/>
              </w:rPr>
              <w:t>The Health Board will plan for a recurrent cost reduction requirement in the region of 6% to 8%, subject to confirmation through the financial planning process. This must be achieved through cash-releasing actions that reduce recurrent expenditure, supported by productivity improvement, service redesign and the removal of unwarranted variation, rather than reliance on non-recurrent measures.</w:t>
            </w:r>
          </w:p>
        </w:tc>
      </w:tr>
      <w:tr w:rsidR="00CF3BE4" w:rsidRPr="00F231E1" w14:paraId="55CFD4DA"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41945E"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9E5C227" w14:textId="77777777" w:rsidR="00CF3BE4" w:rsidRPr="00F231E1" w:rsidRDefault="00CF3BE4" w:rsidP="00831BD2">
            <w:pPr>
              <w:spacing w:line="240" w:lineRule="auto"/>
              <w:rPr>
                <w:rFonts w:ascii="Verdana" w:hAnsi="Verdana"/>
                <w:sz w:val="24"/>
              </w:rPr>
            </w:pPr>
            <w:r w:rsidRPr="00F231E1">
              <w:rPr>
                <w:rFonts w:ascii="Verdana" w:hAnsi="Verdana"/>
                <w:b/>
                <w:bCs/>
                <w:sz w:val="24"/>
              </w:rPr>
              <w:t>No unfunded growth in services or workforce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560A24" w14:textId="77777777" w:rsidR="00CF3BE4" w:rsidRPr="00F231E1" w:rsidRDefault="00CF3BE4" w:rsidP="00831BD2">
            <w:pPr>
              <w:rPr>
                <w:rFonts w:ascii="Verdana" w:hAnsi="Verdana"/>
                <w:sz w:val="24"/>
              </w:rPr>
            </w:pPr>
            <w:r w:rsidRPr="00F231E1">
              <w:rPr>
                <w:rFonts w:ascii="Verdana" w:hAnsi="Verdana"/>
                <w:sz w:val="24"/>
              </w:rPr>
              <w:t xml:space="preserve">Existing recurrent budgets, workforce WTE and capacity will be treated as the starting ceiling for planning purposes. Additional posts, activity or service commitments may only be included where they have been agreed by the Board or are supported by a specific funding </w:t>
            </w:r>
            <w:proofErr w:type="gramStart"/>
            <w:r w:rsidRPr="00F231E1">
              <w:rPr>
                <w:rFonts w:ascii="Verdana" w:hAnsi="Verdana"/>
                <w:sz w:val="24"/>
              </w:rPr>
              <w:t>stream</w:t>
            </w:r>
            <w:proofErr w:type="gramEnd"/>
            <w:r w:rsidRPr="00F231E1">
              <w:rPr>
                <w:rFonts w:ascii="Verdana" w:hAnsi="Verdana"/>
                <w:sz w:val="24"/>
              </w:rPr>
              <w:t xml:space="preserve"> and the corresponding resources are confirmed.</w:t>
            </w:r>
          </w:p>
        </w:tc>
      </w:tr>
      <w:tr w:rsidR="00CF3BE4" w:rsidRPr="00F231E1" w14:paraId="42420925"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1259DDE"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260BFD" w14:textId="77777777" w:rsidR="00CF3BE4" w:rsidRPr="00F231E1" w:rsidRDefault="00CF3BE4" w:rsidP="00831BD2">
            <w:pPr>
              <w:spacing w:line="240" w:lineRule="auto"/>
              <w:rPr>
                <w:rFonts w:ascii="Verdana" w:hAnsi="Verdana"/>
                <w:sz w:val="24"/>
              </w:rPr>
            </w:pPr>
            <w:r w:rsidRPr="00F231E1">
              <w:rPr>
                <w:rFonts w:ascii="Verdana" w:hAnsi="Verdana"/>
                <w:b/>
                <w:bCs/>
                <w:sz w:val="24"/>
              </w:rPr>
              <w:t>Workforce plans must be affordable and support a smaller, differently deployed workforce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A6C78C" w14:textId="77777777" w:rsidR="00CF3BE4" w:rsidRPr="00F231E1" w:rsidRDefault="00CF3BE4" w:rsidP="00831BD2">
            <w:pPr>
              <w:rPr>
                <w:rFonts w:ascii="Verdana" w:hAnsi="Verdana"/>
                <w:sz w:val="24"/>
              </w:rPr>
            </w:pPr>
            <w:r w:rsidRPr="00F231E1">
              <w:rPr>
                <w:rFonts w:ascii="Verdana" w:hAnsi="Verdana"/>
                <w:sz w:val="24"/>
              </w:rPr>
              <w:t>Workforce planning will assume tighter establishment control and reduced reliance on variable pay and temporary staffing. Plans must demonstrate how workforce capacity could be reduced by 7% to 8%, subject to confirmation of the agreed workforce planning requirement, and reshaped through improved attendance, job planning, rostering, role and skill-mix redesign, flexible deployment and digital enablement, while maintaining safe staffing and supporting staff wellbeing.</w:t>
            </w:r>
          </w:p>
        </w:tc>
      </w:tr>
      <w:tr w:rsidR="00CF3BE4" w:rsidRPr="00F231E1" w14:paraId="22481708"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A65AE9F"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lastRenderedPageBreak/>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9E91654" w14:textId="77777777" w:rsidR="00CF3BE4" w:rsidRPr="00F231E1" w:rsidRDefault="00CF3BE4" w:rsidP="00831BD2">
            <w:pPr>
              <w:spacing w:line="240" w:lineRule="auto"/>
              <w:rPr>
                <w:rFonts w:ascii="Verdana" w:hAnsi="Verdana"/>
                <w:sz w:val="24"/>
              </w:rPr>
            </w:pPr>
            <w:r w:rsidRPr="00F231E1">
              <w:rPr>
                <w:rFonts w:ascii="Verdana" w:hAnsi="Verdana"/>
                <w:b/>
                <w:bCs/>
                <w:sz w:val="24"/>
              </w:rPr>
              <w:t>Demand will continue to increase and cannot be met through additional capacity alone</w:t>
            </w:r>
          </w:p>
        </w:tc>
        <w:tc>
          <w:tcPr>
            <w:tcW w:w="0" w:type="auto"/>
            <w:tcBorders>
              <w:top w:val="single" w:sz="6" w:space="0" w:color="E6E6E6"/>
              <w:left w:val="single" w:sz="6" w:space="0" w:color="E6E6E6"/>
              <w:bottom w:val="single" w:sz="6" w:space="0" w:color="E6E6E6"/>
              <w:right w:val="single" w:sz="6" w:space="0" w:color="E6E6E6"/>
            </w:tcBorders>
            <w:hideMark/>
          </w:tcPr>
          <w:p w14:paraId="6E0A6510" w14:textId="77777777" w:rsidR="00CF3BE4" w:rsidRPr="00F231E1" w:rsidRDefault="00CF3BE4" w:rsidP="00831BD2">
            <w:pPr>
              <w:spacing w:after="40"/>
              <w:rPr>
                <w:rFonts w:ascii="Verdana" w:hAnsi="Verdana"/>
                <w:sz w:val="24"/>
              </w:rPr>
            </w:pPr>
            <w:r w:rsidRPr="00F231E1">
              <w:rPr>
                <w:rFonts w:ascii="Verdana" w:hAnsi="Verdana"/>
                <w:sz w:val="24"/>
              </w:rPr>
              <w:t>Plans must quantify anticipated demand and identify how avoidable demand will be reduced or moderated through prevention, early intervention, pathway standardisation, improved flow and productivity. Where demand cannot be absorbed within available resources, plans must clearly identify and quantify the implications, risks and choices.</w:t>
            </w:r>
          </w:p>
          <w:p w14:paraId="1FD3FAC5" w14:textId="77777777" w:rsidR="00CF3BE4" w:rsidRPr="00F231E1" w:rsidRDefault="00CF3BE4" w:rsidP="00831BD2">
            <w:pPr>
              <w:spacing w:before="40"/>
              <w:rPr>
                <w:rFonts w:ascii="Verdana" w:hAnsi="Verdana"/>
                <w:sz w:val="24"/>
              </w:rPr>
            </w:pPr>
            <w:r w:rsidRPr="00F231E1">
              <w:rPr>
                <w:rFonts w:ascii="Verdana" w:hAnsi="Verdana"/>
                <w:sz w:val="24"/>
              </w:rPr>
              <w:t>Planned activity should at least match forecast demand and, where required, exceed demand to reduce backlog. Overall waiting lists should not increase. Plans must include sustainable improvement trajectories for long waits, including 52-week waits, 104-week waits, cancer pathways and other nationally monitored access standards. Any planned deterioration in waiting times, backlog or access standards must be explicitly identified, quantified and risk assessed.</w:t>
            </w:r>
          </w:p>
        </w:tc>
      </w:tr>
      <w:tr w:rsidR="00CF3BE4" w:rsidRPr="00F231E1" w14:paraId="70F79120"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2A861FA"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C38604" w14:textId="77777777" w:rsidR="00CF3BE4" w:rsidRPr="00F231E1" w:rsidRDefault="00CF3BE4" w:rsidP="00831BD2">
            <w:pPr>
              <w:spacing w:line="240" w:lineRule="auto"/>
              <w:rPr>
                <w:rFonts w:ascii="Verdana" w:hAnsi="Verdana"/>
                <w:sz w:val="24"/>
              </w:rPr>
            </w:pPr>
            <w:r w:rsidRPr="00F231E1">
              <w:rPr>
                <w:rFonts w:ascii="Verdana" w:hAnsi="Verdana"/>
                <w:b/>
                <w:bCs/>
                <w:sz w:val="24"/>
              </w:rPr>
              <w:t>Productivity improvement will be the primary mechanism for delivery</w:t>
            </w:r>
          </w:p>
        </w:tc>
        <w:tc>
          <w:tcPr>
            <w:tcW w:w="0" w:type="auto"/>
            <w:tcBorders>
              <w:top w:val="single" w:sz="6" w:space="0" w:color="E6E6E6"/>
              <w:left w:val="single" w:sz="6" w:space="0" w:color="E6E6E6"/>
              <w:bottom w:val="single" w:sz="6" w:space="0" w:color="E6E6E6"/>
              <w:right w:val="single" w:sz="6" w:space="0" w:color="E6E6E6"/>
            </w:tcBorders>
            <w:hideMark/>
          </w:tcPr>
          <w:p w14:paraId="77F92B41" w14:textId="77777777" w:rsidR="00CF3BE4" w:rsidRPr="00F231E1" w:rsidRDefault="00CF3BE4" w:rsidP="00831BD2">
            <w:pPr>
              <w:spacing w:after="40"/>
              <w:rPr>
                <w:rFonts w:ascii="Verdana" w:hAnsi="Verdana"/>
                <w:sz w:val="24"/>
              </w:rPr>
            </w:pPr>
            <w:r w:rsidRPr="00F231E1">
              <w:rPr>
                <w:rFonts w:ascii="Verdana" w:hAnsi="Verdana"/>
                <w:sz w:val="24"/>
              </w:rPr>
              <w:t>A significant proportion of financial recovery, performance improvement and service sustainability will be delivered through productivity gains rather than additional workforce or capacity. Plans must include measurable, evidence-based productivity improvements, with clear baselines, trajectories and benefits realisation arrangements. Priority areas include:</w:t>
            </w:r>
          </w:p>
          <w:p w14:paraId="2CFD5AB8" w14:textId="77777777" w:rsidR="00CF3BE4" w:rsidRPr="00F231E1" w:rsidRDefault="00CF3BE4" w:rsidP="00831BD2">
            <w:pPr>
              <w:spacing w:after="0"/>
              <w:rPr>
                <w:rFonts w:ascii="Verdana" w:hAnsi="Verdana"/>
                <w:sz w:val="24"/>
              </w:rPr>
            </w:pPr>
            <w:r w:rsidRPr="00F231E1">
              <w:rPr>
                <w:rFonts w:ascii="Verdana" w:hAnsi="Verdana"/>
                <w:sz w:val="24"/>
              </w:rPr>
              <w:t>• theatre utilisation and reduction of lost operating opportunities;</w:t>
            </w:r>
          </w:p>
          <w:p w14:paraId="0E8E134C" w14:textId="77777777" w:rsidR="00CF3BE4" w:rsidRPr="00F231E1" w:rsidRDefault="00CF3BE4" w:rsidP="00831BD2">
            <w:pPr>
              <w:spacing w:after="0"/>
              <w:rPr>
                <w:rFonts w:ascii="Verdana" w:hAnsi="Verdana"/>
                <w:sz w:val="24"/>
              </w:rPr>
            </w:pPr>
            <w:r w:rsidRPr="00F231E1">
              <w:rPr>
                <w:rFonts w:ascii="Verdana" w:hAnsi="Verdana"/>
                <w:sz w:val="24"/>
              </w:rPr>
              <w:t>• outpatient capacity and unnecessary follow-up activity;</w:t>
            </w:r>
          </w:p>
          <w:p w14:paraId="7B8704E6" w14:textId="77777777" w:rsidR="00CF3BE4" w:rsidRPr="00F231E1" w:rsidRDefault="00CF3BE4" w:rsidP="00831BD2">
            <w:pPr>
              <w:spacing w:after="0"/>
              <w:rPr>
                <w:rFonts w:ascii="Verdana" w:hAnsi="Verdana"/>
                <w:sz w:val="24"/>
              </w:rPr>
            </w:pPr>
            <w:r w:rsidRPr="00F231E1">
              <w:rPr>
                <w:rFonts w:ascii="Verdana" w:hAnsi="Verdana"/>
                <w:sz w:val="24"/>
              </w:rPr>
              <w:t>• diagnostic utilisation, scheduling and pathway redesign;</w:t>
            </w:r>
          </w:p>
          <w:p w14:paraId="05D3F7E6" w14:textId="77777777" w:rsidR="00CF3BE4" w:rsidRPr="00F231E1" w:rsidRDefault="00CF3BE4" w:rsidP="00831BD2">
            <w:pPr>
              <w:spacing w:after="0"/>
              <w:rPr>
                <w:rFonts w:ascii="Verdana" w:hAnsi="Verdana"/>
                <w:sz w:val="24"/>
              </w:rPr>
            </w:pPr>
            <w:r w:rsidRPr="00F231E1">
              <w:rPr>
                <w:rFonts w:ascii="Verdana" w:hAnsi="Verdana"/>
                <w:sz w:val="24"/>
              </w:rPr>
              <w:t>• unscheduled care productivity and patient flow; and</w:t>
            </w:r>
          </w:p>
          <w:p w14:paraId="2FD9EE46" w14:textId="77777777" w:rsidR="00CF3BE4" w:rsidRPr="00F231E1" w:rsidRDefault="00CF3BE4" w:rsidP="00831BD2">
            <w:pPr>
              <w:spacing w:after="0"/>
              <w:rPr>
                <w:rFonts w:ascii="Verdana" w:hAnsi="Verdana"/>
                <w:sz w:val="24"/>
              </w:rPr>
            </w:pPr>
            <w:r w:rsidRPr="00F231E1">
              <w:rPr>
                <w:rFonts w:ascii="Verdana" w:hAnsi="Verdana"/>
                <w:sz w:val="24"/>
              </w:rPr>
              <w:t>• workforce productivity through job planning, rostering, deployment and reduced variable pay.</w:t>
            </w:r>
          </w:p>
          <w:p w14:paraId="5696C45A" w14:textId="77777777" w:rsidR="00CF3BE4" w:rsidRPr="00F231E1" w:rsidRDefault="00CF3BE4" w:rsidP="00831BD2">
            <w:pPr>
              <w:spacing w:before="40"/>
              <w:rPr>
                <w:rFonts w:ascii="Verdana" w:hAnsi="Verdana"/>
                <w:sz w:val="24"/>
              </w:rPr>
            </w:pPr>
            <w:r w:rsidRPr="00F231E1">
              <w:rPr>
                <w:rFonts w:ascii="Verdana" w:hAnsi="Verdana"/>
                <w:sz w:val="24"/>
              </w:rPr>
              <w:t>Assumptions must be quantified wherever possible and linked to operational and financial benefits.</w:t>
            </w:r>
          </w:p>
        </w:tc>
      </w:tr>
      <w:tr w:rsidR="00CF3BE4" w:rsidRPr="00F231E1" w14:paraId="04A063CD"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87700F"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AE2DDF8" w14:textId="77777777" w:rsidR="00CF3BE4" w:rsidRPr="00F231E1" w:rsidRDefault="00CF3BE4" w:rsidP="00831BD2">
            <w:pPr>
              <w:spacing w:line="240" w:lineRule="auto"/>
              <w:rPr>
                <w:rFonts w:ascii="Verdana" w:hAnsi="Verdana"/>
                <w:sz w:val="24"/>
              </w:rPr>
            </w:pPr>
            <w:r w:rsidRPr="00F231E1">
              <w:rPr>
                <w:rFonts w:ascii="Verdana" w:hAnsi="Verdana"/>
                <w:b/>
                <w:bCs/>
                <w:sz w:val="24"/>
              </w:rPr>
              <w:t>Transformation will drive service and financial sustainability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6A49DD" w14:textId="77777777" w:rsidR="00CF3BE4" w:rsidRPr="00F231E1" w:rsidRDefault="00CF3BE4" w:rsidP="00831BD2">
            <w:pPr>
              <w:rPr>
                <w:rFonts w:ascii="Verdana" w:hAnsi="Verdana"/>
                <w:sz w:val="24"/>
              </w:rPr>
            </w:pPr>
            <w:r w:rsidRPr="00F231E1">
              <w:rPr>
                <w:rFonts w:ascii="Verdana" w:hAnsi="Verdana"/>
                <w:sz w:val="24"/>
              </w:rPr>
              <w:t>The future models of care established through Transforming for the Future will provide the direction for service redesign. The default will be care closer to home, stronger community provision, fewer unnecessary hospital contacts and admissions, more appropriate use of acute capacity, and regional or networked delivery where this improves quality, resilience or value. Transformation proposals must identify measurable recurrent benefits and explain how resources will be redeployed, reduced or released.</w:t>
            </w:r>
          </w:p>
        </w:tc>
      </w:tr>
      <w:tr w:rsidR="00CF3BE4" w:rsidRPr="00F231E1" w14:paraId="6D55FB1A"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8217203"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8</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61F9BF4" w14:textId="77777777" w:rsidR="00CF3BE4" w:rsidRPr="00F231E1" w:rsidRDefault="00CF3BE4" w:rsidP="00831BD2">
            <w:pPr>
              <w:spacing w:line="240" w:lineRule="auto"/>
              <w:rPr>
                <w:rFonts w:ascii="Verdana" w:hAnsi="Verdana"/>
                <w:sz w:val="24"/>
              </w:rPr>
            </w:pPr>
            <w:r w:rsidRPr="00F231E1">
              <w:rPr>
                <w:rFonts w:ascii="Verdana" w:hAnsi="Verdana"/>
                <w:b/>
                <w:bCs/>
                <w:sz w:val="24"/>
              </w:rPr>
              <w:t>Quality, safety and equity will define the limits of change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5AEC8B1" w14:textId="77777777" w:rsidR="00CF3BE4" w:rsidRPr="00F231E1" w:rsidRDefault="00CF3BE4" w:rsidP="00831BD2">
            <w:pPr>
              <w:spacing w:line="240" w:lineRule="auto"/>
              <w:rPr>
                <w:rFonts w:ascii="Verdana" w:hAnsi="Verdana"/>
                <w:sz w:val="24"/>
              </w:rPr>
            </w:pPr>
            <w:r w:rsidRPr="00F231E1">
              <w:rPr>
                <w:rFonts w:ascii="Verdana" w:hAnsi="Verdana"/>
                <w:sz w:val="24"/>
              </w:rPr>
              <w:t>Financial recovery and workforce reduction must not result in unacceptable harm, deterioration in quality or widening health inequalities. All material service changes must be supported by clear clinical evidence, appropriate impact assessment, risk mitigation and defined quality, workforce and patient outcome measures.</w:t>
            </w:r>
          </w:p>
        </w:tc>
      </w:tr>
      <w:tr w:rsidR="00CF3BE4" w:rsidRPr="00F231E1" w14:paraId="76050DE1"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68EF541"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9</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5638C2B" w14:textId="77777777" w:rsidR="00CF3BE4" w:rsidRPr="00F231E1" w:rsidRDefault="00CF3BE4" w:rsidP="00831BD2">
            <w:pPr>
              <w:spacing w:line="240" w:lineRule="auto"/>
              <w:rPr>
                <w:rFonts w:ascii="Verdana" w:hAnsi="Verdana"/>
                <w:sz w:val="24"/>
              </w:rPr>
            </w:pPr>
            <w:r w:rsidRPr="00F231E1">
              <w:rPr>
                <w:rFonts w:ascii="Verdana" w:hAnsi="Verdana"/>
                <w:b/>
                <w:bCs/>
                <w:sz w:val="24"/>
              </w:rPr>
              <w:t>Capital, estates and digital investment will be tightly prioritised</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7050105" w14:textId="77777777" w:rsidR="00CF3BE4" w:rsidRPr="00F231E1" w:rsidRDefault="00CF3BE4" w:rsidP="00831BD2">
            <w:pPr>
              <w:spacing w:line="240" w:lineRule="auto"/>
              <w:rPr>
                <w:rFonts w:ascii="Verdana" w:hAnsi="Verdana"/>
                <w:sz w:val="24"/>
              </w:rPr>
            </w:pPr>
            <w:r w:rsidRPr="00F231E1">
              <w:rPr>
                <w:rFonts w:ascii="Verdana" w:hAnsi="Verdana"/>
                <w:sz w:val="24"/>
              </w:rPr>
              <w:t>Capital will remain constrained and will be directed first to safety, statutory compliance, operational resilience and changes that enable agreed future models of care. Estates plans will assume consolidation, improved utilisation and disposal of surplus assets, with retention of disposal receipts pursued where permitted. Digital investment must support pathway redesign, productivity, data quality or the replacement of unsafe and unsupported systems, rather than simply digitising existing processes.</w:t>
            </w:r>
          </w:p>
        </w:tc>
      </w:tr>
      <w:tr w:rsidR="00CF3BE4" w:rsidRPr="00F231E1" w14:paraId="1F42665E" w14:textId="77777777" w:rsidTr="00831BD2">
        <w:trPr>
          <w:cantSplit/>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F2749D" w14:textId="77777777" w:rsidR="00CF3BE4" w:rsidRPr="00F231E1" w:rsidRDefault="00CF3BE4" w:rsidP="00831BD2">
            <w:pPr>
              <w:spacing w:line="240" w:lineRule="auto"/>
              <w:rPr>
                <w:rFonts w:ascii="Verdana" w:hAnsi="Verdana"/>
                <w:b/>
                <w:bCs/>
                <w:sz w:val="24"/>
              </w:rPr>
            </w:pPr>
            <w:r w:rsidRPr="00F231E1">
              <w:rPr>
                <w:rFonts w:ascii="Verdana" w:hAnsi="Verdana"/>
                <w:b/>
                <w:bCs/>
                <w:sz w:val="24"/>
              </w:rPr>
              <w:t>10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7078E4" w14:textId="77777777" w:rsidR="00CF3BE4" w:rsidRPr="00F231E1" w:rsidRDefault="00CF3BE4" w:rsidP="00831BD2">
            <w:pPr>
              <w:spacing w:line="240" w:lineRule="auto"/>
              <w:rPr>
                <w:rFonts w:ascii="Verdana" w:hAnsi="Verdana"/>
                <w:sz w:val="24"/>
              </w:rPr>
            </w:pPr>
            <w:r w:rsidRPr="00F231E1">
              <w:rPr>
                <w:rFonts w:ascii="Verdana" w:hAnsi="Verdana"/>
                <w:b/>
                <w:bCs/>
                <w:sz w:val="24"/>
              </w:rPr>
              <w:t>Plans must make explicit choices and demonstrate deliverability</w:t>
            </w:r>
          </w:p>
        </w:tc>
        <w:tc>
          <w:tcPr>
            <w:tcW w:w="0" w:type="auto"/>
            <w:tcBorders>
              <w:top w:val="single" w:sz="6" w:space="0" w:color="E6E6E6"/>
              <w:left w:val="single" w:sz="6" w:space="0" w:color="E6E6E6"/>
              <w:bottom w:val="single" w:sz="6" w:space="0" w:color="E6E6E6"/>
              <w:right w:val="single" w:sz="6" w:space="0" w:color="E6E6E6"/>
            </w:tcBorders>
            <w:hideMark/>
          </w:tcPr>
          <w:p w14:paraId="2FDA6BBE" w14:textId="77777777" w:rsidR="00CF3BE4" w:rsidRPr="00F231E1" w:rsidRDefault="00CF3BE4" w:rsidP="00831BD2">
            <w:pPr>
              <w:spacing w:after="40"/>
              <w:rPr>
                <w:rFonts w:ascii="Verdana" w:hAnsi="Verdana"/>
                <w:sz w:val="24"/>
              </w:rPr>
            </w:pPr>
            <w:r w:rsidRPr="00F231E1">
              <w:rPr>
                <w:rFonts w:ascii="Verdana" w:hAnsi="Verdana"/>
                <w:sz w:val="24"/>
              </w:rPr>
              <w:t xml:space="preserve">Plans must identify what will stop, reduce, consolidate, transfer or be deferred, as well as what will continue or change. </w:t>
            </w:r>
            <w:proofErr w:type="spellStart"/>
            <w:r w:rsidRPr="00F231E1">
              <w:rPr>
                <w:rFonts w:ascii="Verdana" w:hAnsi="Verdana"/>
                <w:sz w:val="24"/>
              </w:rPr>
              <w:t>Unprioritised</w:t>
            </w:r>
            <w:proofErr w:type="spellEnd"/>
            <w:r w:rsidRPr="00F231E1">
              <w:rPr>
                <w:rFonts w:ascii="Verdana" w:hAnsi="Verdana"/>
                <w:sz w:val="24"/>
              </w:rPr>
              <w:t xml:space="preserve"> lists of commitments will not constitute deliverable plans. Financial, workforce and service benefits must be phased realistically and distinguish between:</w:t>
            </w:r>
          </w:p>
          <w:p w14:paraId="6964123E" w14:textId="77777777" w:rsidR="00CF3BE4" w:rsidRPr="00F231E1" w:rsidRDefault="00CF3BE4" w:rsidP="00831BD2">
            <w:pPr>
              <w:spacing w:after="0"/>
              <w:rPr>
                <w:rFonts w:ascii="Verdana" w:hAnsi="Verdana"/>
                <w:sz w:val="24"/>
              </w:rPr>
            </w:pPr>
            <w:r w:rsidRPr="00F231E1">
              <w:rPr>
                <w:rFonts w:ascii="Verdana" w:hAnsi="Verdana"/>
                <w:sz w:val="24"/>
              </w:rPr>
              <w:t>• full-year and in-year effects;</w:t>
            </w:r>
          </w:p>
          <w:p w14:paraId="3F1CCA89" w14:textId="77777777" w:rsidR="00CF3BE4" w:rsidRPr="00F231E1" w:rsidRDefault="00CF3BE4" w:rsidP="00831BD2">
            <w:pPr>
              <w:spacing w:after="0"/>
              <w:rPr>
                <w:rFonts w:ascii="Verdana" w:hAnsi="Verdana"/>
                <w:sz w:val="24"/>
              </w:rPr>
            </w:pPr>
            <w:r w:rsidRPr="00F231E1">
              <w:rPr>
                <w:rFonts w:ascii="Verdana" w:hAnsi="Verdana"/>
                <w:sz w:val="24"/>
              </w:rPr>
              <w:t>• cash-releasing and non-cash-releasing benefits;</w:t>
            </w:r>
          </w:p>
          <w:p w14:paraId="4E92C6D4" w14:textId="77777777" w:rsidR="00CF3BE4" w:rsidRPr="00F231E1" w:rsidRDefault="00CF3BE4" w:rsidP="00831BD2">
            <w:pPr>
              <w:spacing w:after="0"/>
              <w:rPr>
                <w:rFonts w:ascii="Verdana" w:hAnsi="Verdana"/>
                <w:sz w:val="24"/>
              </w:rPr>
            </w:pPr>
            <w:r w:rsidRPr="00F231E1">
              <w:rPr>
                <w:rFonts w:ascii="Verdana" w:hAnsi="Verdana"/>
                <w:sz w:val="24"/>
              </w:rPr>
              <w:t>• cost avoidance and expenditure reduction;</w:t>
            </w:r>
          </w:p>
          <w:p w14:paraId="6FE2A3C8" w14:textId="77777777" w:rsidR="00CF3BE4" w:rsidRPr="00F231E1" w:rsidRDefault="00CF3BE4" w:rsidP="00831BD2">
            <w:pPr>
              <w:spacing w:after="0"/>
              <w:rPr>
                <w:rFonts w:ascii="Verdana" w:hAnsi="Verdana"/>
                <w:sz w:val="24"/>
              </w:rPr>
            </w:pPr>
            <w:r w:rsidRPr="00F231E1">
              <w:rPr>
                <w:rFonts w:ascii="Verdana" w:hAnsi="Verdana"/>
                <w:sz w:val="24"/>
              </w:rPr>
              <w:t>• assumptions and confirmed actions; and</w:t>
            </w:r>
          </w:p>
          <w:p w14:paraId="64B217A8" w14:textId="77777777" w:rsidR="00CF3BE4" w:rsidRPr="00F231E1" w:rsidRDefault="00CF3BE4" w:rsidP="00831BD2">
            <w:pPr>
              <w:spacing w:after="0"/>
              <w:rPr>
                <w:rFonts w:ascii="Verdana" w:hAnsi="Verdana"/>
                <w:sz w:val="24"/>
              </w:rPr>
            </w:pPr>
            <w:r w:rsidRPr="00F231E1">
              <w:rPr>
                <w:rFonts w:ascii="Verdana" w:hAnsi="Verdana"/>
                <w:sz w:val="24"/>
              </w:rPr>
              <w:t>• locally controlled and externally dependent delivery.</w:t>
            </w:r>
          </w:p>
        </w:tc>
      </w:tr>
    </w:tbl>
    <w:p w14:paraId="515DF1EC" w14:textId="77777777" w:rsidR="00565756" w:rsidRDefault="00565756"/>
    <w:sectPr w:rsidR="005657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BE4"/>
    <w:rsid w:val="00251B3F"/>
    <w:rsid w:val="004438EC"/>
    <w:rsid w:val="00565756"/>
    <w:rsid w:val="00CF3B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9DD64"/>
  <w15:chartTrackingRefBased/>
  <w15:docId w15:val="{A34CAB4F-F22E-4F78-A186-6FF341ECE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3BE4"/>
    <w:pPr>
      <w:spacing w:line="259" w:lineRule="auto"/>
    </w:pPr>
    <w:rPr>
      <w:rFonts w:ascii="Arial" w:hAnsi="Arial" w:cs="Arial"/>
      <w:kern w:val="0"/>
      <w:sz w:val="20"/>
      <w14:ligatures w14:val="none"/>
    </w:rPr>
  </w:style>
  <w:style w:type="paragraph" w:styleId="Heading1">
    <w:name w:val="heading 1"/>
    <w:basedOn w:val="Normal"/>
    <w:next w:val="Normal"/>
    <w:link w:val="Heading1Char"/>
    <w:uiPriority w:val="9"/>
    <w:qFormat/>
    <w:rsid w:val="00CF3BE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F3BE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F3BE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F3BE4"/>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14:ligatures w14:val="standardContextual"/>
    </w:rPr>
  </w:style>
  <w:style w:type="paragraph" w:styleId="Heading5">
    <w:name w:val="heading 5"/>
    <w:basedOn w:val="Normal"/>
    <w:next w:val="Normal"/>
    <w:link w:val="Heading5Char"/>
    <w:uiPriority w:val="9"/>
    <w:semiHidden/>
    <w:unhideWhenUsed/>
    <w:qFormat/>
    <w:rsid w:val="00CF3BE4"/>
    <w:pPr>
      <w:keepNext/>
      <w:keepLines/>
      <w:spacing w:before="80" w:after="40" w:line="278" w:lineRule="auto"/>
      <w:outlineLvl w:val="4"/>
    </w:pPr>
    <w:rPr>
      <w:rFonts w:asciiTheme="minorHAnsi" w:eastAsiaTheme="majorEastAsia" w:hAnsiTheme="minorHAnsi" w:cstheme="majorBidi"/>
      <w:color w:val="0F4761" w:themeColor="accent1" w:themeShade="BF"/>
      <w:kern w:val="2"/>
      <w:sz w:val="24"/>
      <w14:ligatures w14:val="standardContextual"/>
    </w:rPr>
  </w:style>
  <w:style w:type="paragraph" w:styleId="Heading6">
    <w:name w:val="heading 6"/>
    <w:basedOn w:val="Normal"/>
    <w:next w:val="Normal"/>
    <w:link w:val="Heading6Char"/>
    <w:uiPriority w:val="9"/>
    <w:semiHidden/>
    <w:unhideWhenUsed/>
    <w:qFormat/>
    <w:rsid w:val="00CF3BE4"/>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14:ligatures w14:val="standardContextual"/>
    </w:rPr>
  </w:style>
  <w:style w:type="paragraph" w:styleId="Heading7">
    <w:name w:val="heading 7"/>
    <w:basedOn w:val="Normal"/>
    <w:next w:val="Normal"/>
    <w:link w:val="Heading7Char"/>
    <w:uiPriority w:val="9"/>
    <w:semiHidden/>
    <w:unhideWhenUsed/>
    <w:qFormat/>
    <w:rsid w:val="00CF3BE4"/>
    <w:pPr>
      <w:keepNext/>
      <w:keepLines/>
      <w:spacing w:before="40" w:after="0" w:line="278" w:lineRule="auto"/>
      <w:outlineLvl w:val="6"/>
    </w:pPr>
    <w:rPr>
      <w:rFonts w:asciiTheme="minorHAnsi" w:eastAsiaTheme="majorEastAsia" w:hAnsiTheme="minorHAnsi" w:cstheme="majorBidi"/>
      <w:color w:val="595959" w:themeColor="text1" w:themeTint="A6"/>
      <w:kern w:val="2"/>
      <w:sz w:val="24"/>
      <w14:ligatures w14:val="standardContextual"/>
    </w:rPr>
  </w:style>
  <w:style w:type="paragraph" w:styleId="Heading8">
    <w:name w:val="heading 8"/>
    <w:basedOn w:val="Normal"/>
    <w:next w:val="Normal"/>
    <w:link w:val="Heading8Char"/>
    <w:uiPriority w:val="9"/>
    <w:semiHidden/>
    <w:unhideWhenUsed/>
    <w:qFormat/>
    <w:rsid w:val="00CF3BE4"/>
    <w:pPr>
      <w:keepNext/>
      <w:keepLines/>
      <w:spacing w:after="0" w:line="278" w:lineRule="auto"/>
      <w:outlineLvl w:val="7"/>
    </w:pPr>
    <w:rPr>
      <w:rFonts w:asciiTheme="minorHAnsi" w:eastAsiaTheme="majorEastAsia" w:hAnsiTheme="minorHAnsi" w:cstheme="majorBidi"/>
      <w:i/>
      <w:iCs/>
      <w:color w:val="272727" w:themeColor="text1" w:themeTint="D8"/>
      <w:kern w:val="2"/>
      <w:sz w:val="24"/>
      <w14:ligatures w14:val="standardContextual"/>
    </w:rPr>
  </w:style>
  <w:style w:type="paragraph" w:styleId="Heading9">
    <w:name w:val="heading 9"/>
    <w:basedOn w:val="Normal"/>
    <w:next w:val="Normal"/>
    <w:link w:val="Heading9Char"/>
    <w:uiPriority w:val="9"/>
    <w:semiHidden/>
    <w:unhideWhenUsed/>
    <w:qFormat/>
    <w:rsid w:val="00CF3BE4"/>
    <w:pPr>
      <w:keepNext/>
      <w:keepLines/>
      <w:spacing w:after="0" w:line="278" w:lineRule="auto"/>
      <w:outlineLvl w:val="8"/>
    </w:pPr>
    <w:rPr>
      <w:rFonts w:asciiTheme="minorHAnsi" w:eastAsiaTheme="majorEastAsia" w:hAnsiTheme="minorHAnsi" w:cstheme="majorBidi"/>
      <w:color w:val="272727" w:themeColor="text1" w:themeTint="D8"/>
      <w:kern w:val="2"/>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B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3B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3B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B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B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B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B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B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BE4"/>
    <w:rPr>
      <w:rFonts w:eastAsiaTheme="majorEastAsia" w:cstheme="majorBidi"/>
      <w:color w:val="272727" w:themeColor="text1" w:themeTint="D8"/>
    </w:rPr>
  </w:style>
  <w:style w:type="paragraph" w:styleId="Title">
    <w:name w:val="Title"/>
    <w:basedOn w:val="Normal"/>
    <w:next w:val="Normal"/>
    <w:link w:val="TitleChar"/>
    <w:uiPriority w:val="10"/>
    <w:qFormat/>
    <w:rsid w:val="00CF3BE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F3B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BE4"/>
    <w:pPr>
      <w:numPr>
        <w:ilvl w:val="1"/>
      </w:numPr>
      <w:spacing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F3B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BE4"/>
    <w:pPr>
      <w:spacing w:before="160" w:line="278" w:lineRule="auto"/>
      <w:jc w:val="center"/>
    </w:pPr>
    <w:rPr>
      <w:rFonts w:asciiTheme="minorHAnsi" w:hAnsiTheme="minorHAnsi" w:cstheme="minorBidi"/>
      <w:i/>
      <w:iCs/>
      <w:color w:val="404040" w:themeColor="text1" w:themeTint="BF"/>
      <w:kern w:val="2"/>
      <w:sz w:val="24"/>
      <w14:ligatures w14:val="standardContextual"/>
    </w:rPr>
  </w:style>
  <w:style w:type="character" w:customStyle="1" w:styleId="QuoteChar">
    <w:name w:val="Quote Char"/>
    <w:basedOn w:val="DefaultParagraphFont"/>
    <w:link w:val="Quote"/>
    <w:uiPriority w:val="29"/>
    <w:rsid w:val="00CF3BE4"/>
    <w:rPr>
      <w:i/>
      <w:iCs/>
      <w:color w:val="404040" w:themeColor="text1" w:themeTint="BF"/>
    </w:rPr>
  </w:style>
  <w:style w:type="paragraph" w:styleId="ListParagraph">
    <w:name w:val="List Paragraph"/>
    <w:basedOn w:val="Normal"/>
    <w:uiPriority w:val="34"/>
    <w:qFormat/>
    <w:rsid w:val="00CF3BE4"/>
    <w:pPr>
      <w:spacing w:line="278" w:lineRule="auto"/>
      <w:ind w:left="720"/>
      <w:contextualSpacing/>
    </w:pPr>
    <w:rPr>
      <w:rFonts w:asciiTheme="minorHAnsi" w:hAnsiTheme="minorHAnsi" w:cstheme="minorBidi"/>
      <w:kern w:val="2"/>
      <w:sz w:val="24"/>
      <w14:ligatures w14:val="standardContextual"/>
    </w:rPr>
  </w:style>
  <w:style w:type="character" w:styleId="IntenseEmphasis">
    <w:name w:val="Intense Emphasis"/>
    <w:basedOn w:val="DefaultParagraphFont"/>
    <w:uiPriority w:val="21"/>
    <w:qFormat/>
    <w:rsid w:val="00CF3BE4"/>
    <w:rPr>
      <w:i/>
      <w:iCs/>
      <w:color w:val="0F4761" w:themeColor="accent1" w:themeShade="BF"/>
    </w:rPr>
  </w:style>
  <w:style w:type="paragraph" w:styleId="IntenseQuote">
    <w:name w:val="Intense Quote"/>
    <w:basedOn w:val="Normal"/>
    <w:next w:val="Normal"/>
    <w:link w:val="IntenseQuoteChar"/>
    <w:uiPriority w:val="30"/>
    <w:qFormat/>
    <w:rsid w:val="00CF3BE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sz w:val="24"/>
      <w14:ligatures w14:val="standardContextual"/>
    </w:rPr>
  </w:style>
  <w:style w:type="character" w:customStyle="1" w:styleId="IntenseQuoteChar">
    <w:name w:val="Intense Quote Char"/>
    <w:basedOn w:val="DefaultParagraphFont"/>
    <w:link w:val="IntenseQuote"/>
    <w:uiPriority w:val="30"/>
    <w:rsid w:val="00CF3BE4"/>
    <w:rPr>
      <w:i/>
      <w:iCs/>
      <w:color w:val="0F4761" w:themeColor="accent1" w:themeShade="BF"/>
    </w:rPr>
  </w:style>
  <w:style w:type="character" w:styleId="IntenseReference">
    <w:name w:val="Intense Reference"/>
    <w:basedOn w:val="DefaultParagraphFont"/>
    <w:uiPriority w:val="32"/>
    <w:qFormat/>
    <w:rsid w:val="00CF3BE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316DB0A3-82B3-445D-A987-87A6C946BB22}"/>
</file>

<file path=customXml/itemProps2.xml><?xml version="1.0" encoding="utf-8"?>
<ds:datastoreItem xmlns:ds="http://schemas.openxmlformats.org/officeDocument/2006/customXml" ds:itemID="{DF6FE5F5-07D5-499F-964B-C4EA4E2792C3}"/>
</file>

<file path=customXml/itemProps3.xml><?xml version="1.0" encoding="utf-8"?>
<ds:datastoreItem xmlns:ds="http://schemas.openxmlformats.org/officeDocument/2006/customXml" ds:itemID="{B821FD3A-EA65-4B23-B555-48CE90529997}"/>
</file>

<file path=docProps/app.xml><?xml version="1.0" encoding="utf-8"?>
<Properties xmlns="http://schemas.openxmlformats.org/officeDocument/2006/extended-properties" xmlns:vt="http://schemas.openxmlformats.org/officeDocument/2006/docPropsVTypes">
  <Template>Normal</Template>
  <TotalTime>1</TotalTime>
  <Pages>4</Pages>
  <Words>839</Words>
  <Characters>4788</Characters>
  <Application>Microsoft Office Word</Application>
  <DocSecurity>0</DocSecurity>
  <Lines>39</Lines>
  <Paragraphs>11</Paragraphs>
  <ScaleCrop>false</ScaleCrop>
  <Company>SBU</Company>
  <LinksUpToDate>false</LinksUpToDate>
  <CharactersWithSpaces>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Tovey (Swansea Bay UHB - Planning)</dc:creator>
  <cp:keywords/>
  <dc:description/>
  <cp:lastModifiedBy>Ruth Tovey (Swansea Bay UHB - Planning)</cp:lastModifiedBy>
  <cp:revision>1</cp:revision>
  <dcterms:created xsi:type="dcterms:W3CDTF">2026-10-02T07:07:00Z</dcterms:created>
  <dcterms:modified xsi:type="dcterms:W3CDTF">2026-10-02T07:08:00Z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