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6CDDA0" w14:textId="1615098B" w:rsidR="00C90152" w:rsidRDefault="00C90152">
      <w:r w:rsidRPr="00C90152">
        <w:drawing>
          <wp:inline distT="0" distB="0" distL="0" distR="0" wp14:anchorId="401BDDD5" wp14:editId="6D7C1F01">
            <wp:extent cx="5731510" cy="1108075"/>
            <wp:effectExtent l="0" t="0" r="2540" b="0"/>
            <wp:docPr id="1671133603" name="Picture 1" descr="A person and person standing in front of a wall with poster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1133603" name="Picture 1" descr="A person and person standing in front of a wall with posters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10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F23078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i/>
          <w:iCs/>
          <w:color w:val="323130"/>
          <w:kern w:val="0"/>
          <w:sz w:val="27"/>
          <w:szCs w:val="27"/>
          <w:lang w:eastAsia="en-GB"/>
          <w14:ligatures w14:val="none"/>
        </w:rPr>
        <w:t>Pictured: Upper Valleys LCC business development and implementation manager Martyn Goss and cluster development support manager Helen Gray.</w:t>
      </w:r>
    </w:p>
    <w:p w14:paraId="2B3A316E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0D2B29CB" w14:textId="77777777" w:rsidR="00C90152" w:rsidRDefault="00C90152"/>
    <w:p w14:paraId="576D0D01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A primary care team has been supporting its community to live an even healthier lifestyle by hosting its first health and wellbeing events.</w:t>
      </w:r>
    </w:p>
    <w:p w14:paraId="0D98C5B8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38E5DBF7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The Upper Valleys Local Cluster Collaborative (LCC) organised the events where people could learn more about services and support available to them.</w:t>
      </w:r>
    </w:p>
    <w:p w14:paraId="65346E71" w14:textId="4C254610" w:rsidR="00C90152" w:rsidRPr="00C90152" w:rsidRDefault="00C90152" w:rsidP="00C90152">
      <w:pPr>
        <w:spacing w:after="0" w:line="240" w:lineRule="auto"/>
        <w:rPr>
          <w:rFonts w:ascii="Segoe UI" w:eastAsia="Times New Roman" w:hAnsi="Segoe UI" w:cs="Segoe UI"/>
          <w:color w:val="323130"/>
          <w:kern w:val="0"/>
          <w:sz w:val="26"/>
          <w:szCs w:val="26"/>
          <w:lang w:eastAsia="en-GB"/>
          <w14:ligatures w14:val="none"/>
        </w:rPr>
      </w:pPr>
    </w:p>
    <w:p w14:paraId="277DCB7B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The LCC, which covers the Swansea, </w:t>
      </w:r>
      <w:proofErr w:type="spellStart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Dulais</w:t>
      </w:r>
      <w:proofErr w:type="spellEnd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 and Neath valleys, held its first event at the </w:t>
      </w:r>
      <w:proofErr w:type="spellStart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Pontardawe</w:t>
      </w:r>
      <w:proofErr w:type="spellEnd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 Wellbeing Hub, with a second event following a week later at </w:t>
      </w:r>
      <w:proofErr w:type="spellStart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Glynneath</w:t>
      </w:r>
      <w:proofErr w:type="spellEnd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 Leisure Centre.</w:t>
      </w:r>
    </w:p>
    <w:p w14:paraId="1FF3ECC7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6BCF3F85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Members of the public were able to chat to a range of community groups and organisations and even try out yoga and kickboxing sessions.</w:t>
      </w:r>
    </w:p>
    <w:p w14:paraId="08C4B81F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5446069C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It is hoped more events will be held in the coming months.</w:t>
      </w:r>
    </w:p>
    <w:p w14:paraId="1D786D02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2FFAB381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Niki Watts, Upper Valleys LCC lead, said: “We decided to host wellbeing events to raise the profile of the Upper Valleys Cluster, promote health literacy and educate the public about self-care.</w:t>
      </w:r>
    </w:p>
    <w:p w14:paraId="3FC5242B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09096A54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“The purpose was to raise awareness of the wide range of health and wellbeing related services and bodies available in the Upper Valleys area.</w:t>
      </w:r>
    </w:p>
    <w:p w14:paraId="4940D0C9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569698AB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“It was also an opportunity for those services to link up and be aware of what they can support and signpost people to as well.”</w:t>
      </w:r>
    </w:p>
    <w:p w14:paraId="6A6BB64E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413DB48A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There were </w:t>
      </w:r>
      <w:proofErr w:type="gramStart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a number of</w:t>
      </w:r>
      <w:proofErr w:type="gramEnd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 stalls at both events, including staff from organisations such as Swansea City AFC Foundation </w:t>
      </w:r>
      <w:r w:rsidRPr="00C90152">
        <w:rPr>
          <w:rFonts w:ascii="Segoe UI" w:eastAsia="Times New Roman" w:hAnsi="Segoe UI" w:cs="Segoe UI"/>
          <w:i/>
          <w:iCs/>
          <w:color w:val="323130"/>
          <w:kern w:val="0"/>
          <w:sz w:val="27"/>
          <w:szCs w:val="27"/>
          <w:lang w:eastAsia="en-GB"/>
          <w14:ligatures w14:val="none"/>
        </w:rPr>
        <w:t>(pictured)</w:t>
      </w: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, In Work Support Service and Neath Port Talbot Community Voluntary Service.</w:t>
      </w:r>
    </w:p>
    <w:p w14:paraId="6FEE7FA0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lastRenderedPageBreak/>
        <w:t>“It was also an opportunity for those services to link up and be aware of what they can support and signpost people to as well.”</w:t>
      </w:r>
    </w:p>
    <w:p w14:paraId="2BA32220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2C60E8FD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There were </w:t>
      </w:r>
      <w:proofErr w:type="gramStart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a number of</w:t>
      </w:r>
      <w:proofErr w:type="gramEnd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 stalls at both events, including staff from organisations such as Swansea City AFC Foundation </w:t>
      </w:r>
      <w:r w:rsidRPr="00C90152">
        <w:rPr>
          <w:rFonts w:ascii="Segoe UI" w:eastAsia="Times New Roman" w:hAnsi="Segoe UI" w:cs="Segoe UI"/>
          <w:i/>
          <w:iCs/>
          <w:color w:val="323130"/>
          <w:kern w:val="0"/>
          <w:sz w:val="27"/>
          <w:szCs w:val="27"/>
          <w:lang w:eastAsia="en-GB"/>
          <w14:ligatures w14:val="none"/>
        </w:rPr>
        <w:t>(pictured)</w:t>
      </w: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, In Work Support Service and Neath Port Talbot Community Voluntary Service.</w:t>
      </w:r>
    </w:p>
    <w:p w14:paraId="1CD6F0B4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7CDCE51B" w14:textId="37F46B0A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Staff from the health board’s diabetes prevention programme, end of life care and immunisation services also attended to answer questions and offer advice.</w:t>
      </w:r>
    </w:p>
    <w:p w14:paraId="414E3418" w14:textId="36BB3866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drawing>
          <wp:anchor distT="0" distB="0" distL="114300" distR="114300" simplePos="0" relativeHeight="251658240" behindDoc="1" locked="0" layoutInCell="1" allowOverlap="1" wp14:anchorId="7E8CE701" wp14:editId="75347C4A">
            <wp:simplePos x="0" y="0"/>
            <wp:positionH relativeFrom="column">
              <wp:posOffset>2438400</wp:posOffset>
            </wp:positionH>
            <wp:positionV relativeFrom="paragraph">
              <wp:posOffset>5715</wp:posOffset>
            </wp:positionV>
            <wp:extent cx="3343275" cy="2825750"/>
            <wp:effectExtent l="0" t="0" r="9525" b="0"/>
            <wp:wrapTight wrapText="bothSides">
              <wp:wrapPolygon edited="0">
                <wp:start x="0" y="0"/>
                <wp:lineTo x="0" y="21406"/>
                <wp:lineTo x="21538" y="21406"/>
                <wp:lineTo x="21538" y="0"/>
                <wp:lineTo x="0" y="0"/>
              </wp:wrapPolygon>
            </wp:wrapTight>
            <wp:docPr id="765383035" name="Picture 1" descr="A group of people standing next to a tabl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5383035" name="Picture 1" descr="A group of people standing next to a table&#10;&#10;AI-generated content may be incorrect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43275" cy="2825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70315D26" w14:textId="3169C46E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Rachel Long, diabetes prevention dietician, said: “The diabetes prevention programme supports the clusters to help support patients at risk of developing diabetes.</w:t>
      </w:r>
    </w:p>
    <w:p w14:paraId="30CF723E" w14:textId="7777777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215E7CAE" w14:textId="49331E98" w:rsidR="00C90152" w:rsidRPr="00C90152" w:rsidRDefault="00C90152" w:rsidP="00C90152">
      <w:pPr>
        <w:spacing w:after="0" w:line="240" w:lineRule="auto"/>
        <w:rPr>
          <w:rFonts w:ascii="Segoe UI" w:eastAsia="Times New Roman" w:hAnsi="Segoe UI" w:cs="Segoe UI"/>
          <w:color w:val="323130"/>
          <w:kern w:val="0"/>
          <w:sz w:val="26"/>
          <w:szCs w:val="26"/>
          <w:lang w:eastAsia="en-GB"/>
          <w14:ligatures w14:val="none"/>
        </w:rPr>
      </w:pPr>
    </w:p>
    <w:p w14:paraId="40E1F5FA" w14:textId="2728399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“Our dietetic support workers provide information around healthy eating and lifestyle.</w:t>
      </w:r>
    </w:p>
    <w:p w14:paraId="37A65EB3" w14:textId="6EC60E26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048BBB91" w14:textId="2E4248BE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“We attended the events to promote the service, as well as healthy eating and lifestyle messages, and to offer mini health checks around height and weight.</w:t>
      </w:r>
    </w:p>
    <w:p w14:paraId="7FA76889" w14:textId="065C681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54625F2E" w14:textId="03D04D18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“We also signposted people to the Know Your Risk online tool where people can see their risk of diabetes.”</w:t>
      </w:r>
    </w:p>
    <w:p w14:paraId="5CEA5B06" w14:textId="0E0527E5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25B2E3ED" w14:textId="7C4FBF83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Annette Thomas and Louise Jenkins, deputy immunisation coordinators, were also on hand to answer questions around vaccinations.</w:t>
      </w:r>
    </w:p>
    <w:p w14:paraId="5ADEC068" w14:textId="3691F2C8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2E88304C" w14:textId="2749D93D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They said: “We attended to give people an opportunity to ask the questions specific to them around immunisation.</w:t>
      </w:r>
    </w:p>
    <w:p w14:paraId="39B19745" w14:textId="7FEAC464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6D050CBA" w14:textId="176F0659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lastRenderedPageBreak/>
        <w:t>“We can give people the information they need to make the decisions they want to make and to give them the opportunity to discuss any worries.</w:t>
      </w:r>
    </w:p>
    <w:p w14:paraId="75C63387" w14:textId="05C48587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4FB3BAE7" w14:textId="5F168C0A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“We can signpost people to the right information and provide reassurance on any misinformation.”</w:t>
      </w:r>
    </w:p>
    <w:p w14:paraId="3D16094F" w14:textId="4439FED9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116FE9ED" w14:textId="0783535F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By making people aware of the organisations and services available to them in the community, it is hoped they can access support directly when needed.</w:t>
      </w:r>
    </w:p>
    <w:p w14:paraId="0D6DF4DB" w14:textId="1D99C923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4E571B2C" w14:textId="1B9CA445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Niki added: “Historically patients have relied heavily on GP practices for advice and support which isn’t always the best route for them.</w:t>
      </w:r>
    </w:p>
    <w:p w14:paraId="7EBA47DD" w14:textId="57B5C63D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4B63E42B" w14:textId="49793ECD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“There are so many support services out there that people can access and which may be better suited to accommodating their needs whilst being easier and quicker to access too.</w:t>
      </w:r>
    </w:p>
    <w:p w14:paraId="52351B43" w14:textId="6A29A90F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5A63CAC8" w14:textId="5145FF4A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“Accessing more appropriate services will also help to ease the burden on GP practices. Very often it isn’t clinical intervention that is required.</w:t>
      </w:r>
    </w:p>
    <w:p w14:paraId="416734A5" w14:textId="17C62C38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 </w:t>
      </w:r>
    </w:p>
    <w:p w14:paraId="2F5B7D8D" w14:textId="7954E363" w:rsidR="00C90152" w:rsidRPr="00C90152" w:rsidRDefault="00C90152" w:rsidP="00C90152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</w:pPr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“An example of this would be yoga sessions which can help people both physically and </w:t>
      </w:r>
      <w:proofErr w:type="gramStart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>mentally, and</w:t>
      </w:r>
      <w:proofErr w:type="gramEnd"/>
      <w:r w:rsidRPr="00C90152">
        <w:rPr>
          <w:rFonts w:ascii="Segoe UI" w:eastAsia="Times New Roman" w:hAnsi="Segoe UI" w:cs="Segoe UI"/>
          <w:color w:val="323130"/>
          <w:kern w:val="0"/>
          <w:sz w:val="27"/>
          <w:szCs w:val="27"/>
          <w:lang w:eastAsia="en-GB"/>
          <w14:ligatures w14:val="none"/>
        </w:rPr>
        <w:t xml:space="preserve"> especially support with frailty in patients and falls prevention.”</w:t>
      </w:r>
    </w:p>
    <w:p w14:paraId="2C1189EA" w14:textId="143956C1" w:rsidR="00C90152" w:rsidRDefault="00C90152"/>
    <w:sectPr w:rsidR="00C901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152"/>
    <w:rsid w:val="008B5D27"/>
    <w:rsid w:val="00C90152"/>
    <w:rsid w:val="00E66C06"/>
    <w:rsid w:val="00F85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83E9C6"/>
  <w15:chartTrackingRefBased/>
  <w15:docId w15:val="{03F2C33E-DA78-4279-B19B-72D410C47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01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901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9015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901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9015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901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901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901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901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015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9015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9015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9015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9015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901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901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901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901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901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901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901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901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901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901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901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9015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9015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9015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9015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98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84264">
          <w:marLeft w:val="2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42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4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578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9608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0982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2580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5093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5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722518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04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251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079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798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8357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6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1789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4C551874-D974-489D-BAA6-793A339D52B0}"/>
</file>

<file path=customXml/itemProps2.xml><?xml version="1.0" encoding="utf-8"?>
<ds:datastoreItem xmlns:ds="http://schemas.openxmlformats.org/officeDocument/2006/customXml" ds:itemID="{222E7A07-1343-47CC-A217-B5308D7ECDD2}"/>
</file>

<file path=customXml/itemProps3.xml><?xml version="1.0" encoding="utf-8"?>
<ds:datastoreItem xmlns:ds="http://schemas.openxmlformats.org/officeDocument/2006/customXml" ds:itemID="{E31E7110-4ADE-44ED-8040-9B27654A7C7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566</Words>
  <Characters>3231</Characters>
  <Application>Microsoft Office Word</Application>
  <DocSecurity>0</DocSecurity>
  <Lines>26</Lines>
  <Paragraphs>7</Paragraphs>
  <ScaleCrop>false</ScaleCrop>
  <Company>SBU</Company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Zanna Rees (Swansea Bay UHB - Public Health SBUHB )</dc:creator>
  <cp:keywords/>
  <dc:description/>
  <cp:lastModifiedBy>Zanna Rees (Swansea Bay UHB - Public Health SBUHB )</cp:lastModifiedBy>
  <cp:revision>1</cp:revision>
  <dcterms:created xsi:type="dcterms:W3CDTF">2025-08-15T11:15:00Z</dcterms:created>
  <dcterms:modified xsi:type="dcterms:W3CDTF">2025-08-15T11:22:00Z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