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4957"/>
        <w:gridCol w:w="3685"/>
        <w:gridCol w:w="2943"/>
        <w:gridCol w:w="956"/>
        <w:gridCol w:w="956"/>
        <w:gridCol w:w="956"/>
        <w:gridCol w:w="956"/>
      </w:tblGrid>
      <w:tr w:rsidR="004F19D8" w:rsidRPr="00E742B6" w:rsidTr="008E14DC">
        <w:tc>
          <w:tcPr>
            <w:tcW w:w="4957" w:type="dxa"/>
            <w:shd w:val="clear" w:color="auto" w:fill="1F4E79" w:themeFill="accent1" w:themeFillShade="80"/>
          </w:tcPr>
          <w:p w:rsidR="004F19D8" w:rsidRPr="00E742B6" w:rsidRDefault="004F19D8" w:rsidP="004F19D8">
            <w:pPr>
              <w:rPr>
                <w:rFonts w:ascii="Arial" w:hAnsi="Arial" w:cs="Arial"/>
                <w:b/>
                <w:sz w:val="24"/>
                <w:szCs w:val="24"/>
              </w:rPr>
            </w:pPr>
            <w:r w:rsidRPr="001E1B14">
              <w:rPr>
                <w:rFonts w:ascii="Arial" w:hAnsi="Arial" w:cs="Arial"/>
                <w:b/>
                <w:color w:val="FFFFFF" w:themeColor="background1"/>
                <w:sz w:val="24"/>
                <w:szCs w:val="24"/>
              </w:rPr>
              <w:t>SERVICE DELIVERY GROUP:</w:t>
            </w:r>
          </w:p>
        </w:tc>
        <w:tc>
          <w:tcPr>
            <w:tcW w:w="3685" w:type="dxa"/>
          </w:tcPr>
          <w:p w:rsidR="004F19D8" w:rsidRPr="00E742B6" w:rsidRDefault="008E14DC" w:rsidP="004F19D8">
            <w:pPr>
              <w:rPr>
                <w:rFonts w:ascii="Arial" w:hAnsi="Arial" w:cs="Arial"/>
                <w:b/>
                <w:sz w:val="24"/>
                <w:szCs w:val="24"/>
              </w:rPr>
            </w:pPr>
            <w:r>
              <w:rPr>
                <w:rFonts w:ascii="Arial" w:hAnsi="Arial" w:cs="Arial"/>
                <w:b/>
                <w:sz w:val="24"/>
                <w:szCs w:val="24"/>
              </w:rPr>
              <w:t>Corporate Nursing</w:t>
            </w:r>
          </w:p>
        </w:tc>
        <w:tc>
          <w:tcPr>
            <w:tcW w:w="2943" w:type="dxa"/>
            <w:shd w:val="clear" w:color="auto" w:fill="1F4E79" w:themeFill="accent1" w:themeFillShade="80"/>
          </w:tcPr>
          <w:p w:rsidR="004F19D8" w:rsidRPr="001E1B14" w:rsidRDefault="004F19D8" w:rsidP="004F19D8">
            <w:pPr>
              <w:rPr>
                <w:rFonts w:ascii="Arial" w:hAnsi="Arial" w:cs="Arial"/>
                <w:b/>
                <w:color w:val="FFFFFF" w:themeColor="background1"/>
                <w:sz w:val="24"/>
                <w:szCs w:val="24"/>
              </w:rPr>
            </w:pPr>
            <w:r w:rsidRPr="001E1B14">
              <w:rPr>
                <w:rFonts w:ascii="Arial" w:hAnsi="Arial" w:cs="Arial"/>
                <w:b/>
                <w:color w:val="FFFFFF" w:themeColor="background1"/>
                <w:sz w:val="24"/>
                <w:szCs w:val="24"/>
              </w:rPr>
              <w:t>REPORTING PERIOD</w:t>
            </w:r>
            <w:r w:rsidRPr="00E742B6">
              <w:rPr>
                <w:rFonts w:ascii="Arial" w:hAnsi="Arial" w:cs="Arial"/>
                <w:b/>
                <w:sz w:val="24"/>
                <w:szCs w:val="24"/>
              </w:rPr>
              <w:t>:</w:t>
            </w:r>
          </w:p>
        </w:tc>
        <w:tc>
          <w:tcPr>
            <w:tcW w:w="956" w:type="dxa"/>
            <w:shd w:val="clear" w:color="auto" w:fill="FFFFFF" w:themeFill="background1"/>
            <w:vAlign w:val="center"/>
          </w:tcPr>
          <w:p w:rsidR="004F19D8" w:rsidRPr="00E742B6" w:rsidRDefault="004F19D8" w:rsidP="004F19D8">
            <w:pPr>
              <w:jc w:val="center"/>
              <w:rPr>
                <w:rFonts w:ascii="Arial" w:hAnsi="Arial" w:cs="Arial"/>
                <w:b/>
                <w:sz w:val="24"/>
                <w:szCs w:val="24"/>
              </w:rPr>
            </w:pPr>
            <w:r w:rsidRPr="00E742B6">
              <w:rPr>
                <w:rFonts w:ascii="Arial" w:hAnsi="Arial" w:cs="Arial"/>
                <w:b/>
                <w:sz w:val="24"/>
                <w:szCs w:val="24"/>
              </w:rPr>
              <w:t>Q1</w:t>
            </w:r>
          </w:p>
        </w:tc>
        <w:tc>
          <w:tcPr>
            <w:tcW w:w="956" w:type="dxa"/>
            <w:shd w:val="clear" w:color="auto" w:fill="00B050"/>
            <w:vAlign w:val="center"/>
          </w:tcPr>
          <w:p w:rsidR="004F19D8" w:rsidRPr="00E742B6" w:rsidRDefault="004F19D8" w:rsidP="004F19D8">
            <w:pPr>
              <w:jc w:val="center"/>
              <w:rPr>
                <w:rFonts w:ascii="Arial" w:hAnsi="Arial" w:cs="Arial"/>
                <w:b/>
                <w:color w:val="D9D9D9" w:themeColor="background1" w:themeShade="D9"/>
                <w:sz w:val="24"/>
                <w:szCs w:val="24"/>
              </w:rPr>
            </w:pPr>
            <w:r w:rsidRPr="008E14DC">
              <w:rPr>
                <w:rFonts w:ascii="Arial" w:hAnsi="Arial" w:cs="Arial"/>
                <w:b/>
                <w:sz w:val="24"/>
                <w:szCs w:val="24"/>
              </w:rPr>
              <w:t>Q2</w:t>
            </w:r>
          </w:p>
        </w:tc>
        <w:tc>
          <w:tcPr>
            <w:tcW w:w="956" w:type="dxa"/>
            <w:vAlign w:val="center"/>
          </w:tcPr>
          <w:p w:rsidR="004F19D8" w:rsidRPr="00E742B6" w:rsidRDefault="004F19D8" w:rsidP="004F19D8">
            <w:pPr>
              <w:jc w:val="center"/>
              <w:rPr>
                <w:rFonts w:ascii="Arial" w:hAnsi="Arial" w:cs="Arial"/>
                <w:b/>
                <w:color w:val="D9D9D9" w:themeColor="background1" w:themeShade="D9"/>
                <w:sz w:val="24"/>
                <w:szCs w:val="24"/>
              </w:rPr>
            </w:pPr>
            <w:r w:rsidRPr="00E742B6">
              <w:rPr>
                <w:rFonts w:ascii="Arial" w:hAnsi="Arial" w:cs="Arial"/>
                <w:b/>
                <w:color w:val="D9D9D9" w:themeColor="background1" w:themeShade="D9"/>
                <w:sz w:val="24"/>
                <w:szCs w:val="24"/>
              </w:rPr>
              <w:t>Q3</w:t>
            </w:r>
          </w:p>
        </w:tc>
        <w:tc>
          <w:tcPr>
            <w:tcW w:w="956" w:type="dxa"/>
            <w:vAlign w:val="center"/>
          </w:tcPr>
          <w:p w:rsidR="004F19D8" w:rsidRPr="00E742B6" w:rsidRDefault="004F19D8" w:rsidP="004F19D8">
            <w:pPr>
              <w:jc w:val="center"/>
              <w:rPr>
                <w:rFonts w:ascii="Arial" w:hAnsi="Arial" w:cs="Arial"/>
                <w:b/>
                <w:color w:val="D9D9D9" w:themeColor="background1" w:themeShade="D9"/>
                <w:sz w:val="24"/>
                <w:szCs w:val="24"/>
              </w:rPr>
            </w:pPr>
            <w:r w:rsidRPr="00E742B6">
              <w:rPr>
                <w:rFonts w:ascii="Arial" w:hAnsi="Arial" w:cs="Arial"/>
                <w:b/>
                <w:color w:val="D9D9D9" w:themeColor="background1" w:themeShade="D9"/>
                <w:sz w:val="24"/>
                <w:szCs w:val="24"/>
              </w:rPr>
              <w:t>Q4</w:t>
            </w:r>
          </w:p>
        </w:tc>
      </w:tr>
      <w:tr w:rsidR="006F6D53" w:rsidRPr="00E742B6" w:rsidTr="006F6D53">
        <w:tc>
          <w:tcPr>
            <w:tcW w:w="15409" w:type="dxa"/>
            <w:gridSpan w:val="7"/>
            <w:tcBorders>
              <w:left w:val="nil"/>
              <w:right w:val="nil"/>
            </w:tcBorders>
          </w:tcPr>
          <w:p w:rsidR="006F6D53" w:rsidRPr="00E742B6" w:rsidRDefault="006F6D53" w:rsidP="004F19D8">
            <w:pPr>
              <w:rPr>
                <w:rFonts w:ascii="Arial" w:hAnsi="Arial" w:cs="Arial"/>
                <w:b/>
                <w:sz w:val="24"/>
                <w:szCs w:val="24"/>
              </w:rPr>
            </w:pPr>
          </w:p>
        </w:tc>
      </w:tr>
      <w:tr w:rsidR="004F19D8" w:rsidRPr="00E742B6" w:rsidTr="001E1B14">
        <w:tc>
          <w:tcPr>
            <w:tcW w:w="4957" w:type="dxa"/>
            <w:shd w:val="clear" w:color="auto" w:fill="1F4E79" w:themeFill="accent1" w:themeFillShade="80"/>
          </w:tcPr>
          <w:p w:rsidR="004F19D8" w:rsidRPr="001E1B14" w:rsidRDefault="004F19D8" w:rsidP="004F19D8">
            <w:pPr>
              <w:rPr>
                <w:rFonts w:ascii="Arial" w:hAnsi="Arial" w:cs="Arial"/>
                <w:b/>
                <w:color w:val="FFFFFF" w:themeColor="background1"/>
                <w:sz w:val="24"/>
                <w:szCs w:val="24"/>
              </w:rPr>
            </w:pPr>
            <w:r w:rsidRPr="001E1B14">
              <w:rPr>
                <w:rFonts w:ascii="Arial" w:hAnsi="Arial" w:cs="Arial"/>
                <w:b/>
                <w:color w:val="FFFFFF" w:themeColor="background1"/>
                <w:sz w:val="24"/>
                <w:szCs w:val="24"/>
              </w:rPr>
              <w:t>SENIOR RESPONSIBLE OFFICER:</w:t>
            </w:r>
          </w:p>
        </w:tc>
        <w:tc>
          <w:tcPr>
            <w:tcW w:w="3685" w:type="dxa"/>
          </w:tcPr>
          <w:p w:rsidR="004F19D8" w:rsidRPr="00E742B6" w:rsidRDefault="008E14DC" w:rsidP="004F19D8">
            <w:pPr>
              <w:rPr>
                <w:rFonts w:ascii="Arial" w:hAnsi="Arial" w:cs="Arial"/>
                <w:b/>
                <w:sz w:val="24"/>
                <w:szCs w:val="24"/>
              </w:rPr>
            </w:pPr>
            <w:r>
              <w:rPr>
                <w:rFonts w:ascii="Arial" w:hAnsi="Arial" w:cs="Arial"/>
                <w:b/>
                <w:sz w:val="24"/>
                <w:szCs w:val="24"/>
              </w:rPr>
              <w:t>Angharad Higgins</w:t>
            </w:r>
          </w:p>
        </w:tc>
        <w:tc>
          <w:tcPr>
            <w:tcW w:w="2943" w:type="dxa"/>
            <w:shd w:val="clear" w:color="auto" w:fill="1F4E79" w:themeFill="accent1" w:themeFillShade="80"/>
          </w:tcPr>
          <w:p w:rsidR="004F19D8" w:rsidRPr="001E1B14" w:rsidRDefault="004F19D8" w:rsidP="004F19D8">
            <w:pPr>
              <w:rPr>
                <w:rFonts w:ascii="Arial" w:hAnsi="Arial" w:cs="Arial"/>
                <w:b/>
                <w:color w:val="FFFFFF" w:themeColor="background1"/>
                <w:sz w:val="24"/>
                <w:szCs w:val="24"/>
              </w:rPr>
            </w:pPr>
            <w:r w:rsidRPr="001E1B14">
              <w:rPr>
                <w:rFonts w:ascii="Arial" w:hAnsi="Arial" w:cs="Arial"/>
                <w:b/>
                <w:color w:val="FFFFFF" w:themeColor="background1"/>
                <w:sz w:val="24"/>
                <w:szCs w:val="24"/>
              </w:rPr>
              <w:t>APPROVED BY:</w:t>
            </w:r>
          </w:p>
        </w:tc>
        <w:tc>
          <w:tcPr>
            <w:tcW w:w="3824" w:type="dxa"/>
            <w:gridSpan w:val="4"/>
          </w:tcPr>
          <w:p w:rsidR="004F19D8" w:rsidRPr="00E742B6" w:rsidRDefault="004F19D8" w:rsidP="004F19D8">
            <w:pPr>
              <w:rPr>
                <w:rFonts w:ascii="Arial" w:hAnsi="Arial" w:cs="Arial"/>
                <w:b/>
                <w:sz w:val="24"/>
                <w:szCs w:val="24"/>
              </w:rPr>
            </w:pPr>
          </w:p>
        </w:tc>
      </w:tr>
      <w:tr w:rsidR="004F19D8" w:rsidRPr="00E742B6" w:rsidTr="001E1B14">
        <w:tc>
          <w:tcPr>
            <w:tcW w:w="4957" w:type="dxa"/>
            <w:shd w:val="clear" w:color="auto" w:fill="1F4E79" w:themeFill="accent1" w:themeFillShade="80"/>
          </w:tcPr>
          <w:p w:rsidR="004F19D8" w:rsidRPr="001E1B14" w:rsidRDefault="006F6D53" w:rsidP="004F19D8">
            <w:pPr>
              <w:rPr>
                <w:rFonts w:ascii="Arial" w:hAnsi="Arial" w:cs="Arial"/>
                <w:b/>
                <w:color w:val="FFFFFF" w:themeColor="background1"/>
                <w:sz w:val="24"/>
                <w:szCs w:val="24"/>
              </w:rPr>
            </w:pPr>
            <w:r w:rsidRPr="001E1B14">
              <w:rPr>
                <w:rFonts w:ascii="Arial" w:hAnsi="Arial" w:cs="Arial"/>
                <w:b/>
                <w:color w:val="FFFFFF" w:themeColor="background1"/>
                <w:sz w:val="24"/>
                <w:szCs w:val="24"/>
              </w:rPr>
              <w:t>REPORT AUTHOR:</w:t>
            </w:r>
          </w:p>
        </w:tc>
        <w:tc>
          <w:tcPr>
            <w:tcW w:w="3685" w:type="dxa"/>
          </w:tcPr>
          <w:p w:rsidR="004F19D8" w:rsidRPr="00E742B6" w:rsidRDefault="008E14DC" w:rsidP="004F19D8">
            <w:pPr>
              <w:rPr>
                <w:rFonts w:ascii="Arial" w:hAnsi="Arial" w:cs="Arial"/>
                <w:b/>
                <w:sz w:val="24"/>
                <w:szCs w:val="24"/>
              </w:rPr>
            </w:pPr>
            <w:r>
              <w:rPr>
                <w:rFonts w:ascii="Arial" w:hAnsi="Arial" w:cs="Arial"/>
                <w:b/>
                <w:sz w:val="24"/>
                <w:szCs w:val="24"/>
              </w:rPr>
              <w:t>Sheena Morgan</w:t>
            </w:r>
          </w:p>
        </w:tc>
        <w:tc>
          <w:tcPr>
            <w:tcW w:w="2943" w:type="dxa"/>
            <w:shd w:val="clear" w:color="auto" w:fill="1F4E79" w:themeFill="accent1" w:themeFillShade="80"/>
          </w:tcPr>
          <w:p w:rsidR="004F19D8" w:rsidRPr="001E1B14" w:rsidRDefault="004F19D8" w:rsidP="004F19D8">
            <w:pPr>
              <w:rPr>
                <w:rFonts w:ascii="Arial" w:hAnsi="Arial" w:cs="Arial"/>
                <w:b/>
                <w:color w:val="FFFFFF" w:themeColor="background1"/>
                <w:sz w:val="24"/>
                <w:szCs w:val="24"/>
              </w:rPr>
            </w:pPr>
            <w:r w:rsidRPr="001E1B14">
              <w:rPr>
                <w:rFonts w:ascii="Arial" w:hAnsi="Arial" w:cs="Arial"/>
                <w:b/>
                <w:color w:val="FFFFFF" w:themeColor="background1"/>
                <w:sz w:val="24"/>
                <w:szCs w:val="24"/>
              </w:rPr>
              <w:t>DATE</w:t>
            </w:r>
            <w:r w:rsidR="00AC198E">
              <w:rPr>
                <w:rFonts w:ascii="Arial" w:hAnsi="Arial" w:cs="Arial"/>
                <w:b/>
                <w:color w:val="FFFFFF" w:themeColor="background1"/>
                <w:sz w:val="24"/>
                <w:szCs w:val="24"/>
              </w:rPr>
              <w:t>:</w:t>
            </w:r>
          </w:p>
        </w:tc>
        <w:tc>
          <w:tcPr>
            <w:tcW w:w="3824" w:type="dxa"/>
            <w:gridSpan w:val="4"/>
          </w:tcPr>
          <w:p w:rsidR="004F19D8" w:rsidRPr="00E742B6" w:rsidRDefault="00AC198E" w:rsidP="004F19D8">
            <w:pPr>
              <w:rPr>
                <w:rFonts w:ascii="Arial" w:hAnsi="Arial" w:cs="Arial"/>
                <w:b/>
                <w:sz w:val="24"/>
                <w:szCs w:val="24"/>
              </w:rPr>
            </w:pPr>
            <w:r>
              <w:rPr>
                <w:rFonts w:ascii="Arial" w:hAnsi="Arial" w:cs="Arial"/>
                <w:b/>
                <w:sz w:val="24"/>
                <w:szCs w:val="24"/>
              </w:rPr>
              <w:t>October 2023</w:t>
            </w:r>
          </w:p>
        </w:tc>
      </w:tr>
    </w:tbl>
    <w:p w:rsidR="004F19D8" w:rsidRPr="00E742B6" w:rsidRDefault="004F19D8" w:rsidP="004F19D8">
      <w:pPr>
        <w:spacing w:after="0"/>
        <w:rPr>
          <w:rFonts w:ascii="Arial" w:hAnsi="Arial" w:cs="Arial"/>
          <w:b/>
          <w:sz w:val="24"/>
          <w:szCs w:val="24"/>
        </w:rPr>
      </w:pPr>
    </w:p>
    <w:p w:rsidR="00E742B6" w:rsidRPr="00E742B6" w:rsidRDefault="00E742B6" w:rsidP="004F19D8">
      <w:pPr>
        <w:spacing w:after="0"/>
        <w:rPr>
          <w:rFonts w:ascii="Arial" w:hAnsi="Arial" w:cs="Arial"/>
          <w:b/>
          <w:sz w:val="24"/>
          <w:szCs w:val="24"/>
        </w:rPr>
      </w:pPr>
    </w:p>
    <w:p w:rsidR="00E742B6" w:rsidRPr="00E742B6" w:rsidRDefault="00E742B6" w:rsidP="00E742B6">
      <w:pPr>
        <w:pStyle w:val="ListParagraph"/>
        <w:rPr>
          <w:i/>
          <w:szCs w:val="24"/>
        </w:rPr>
      </w:pPr>
    </w:p>
    <w:tbl>
      <w:tblPr>
        <w:tblStyle w:val="TableGrid"/>
        <w:tblW w:w="0" w:type="auto"/>
        <w:tblLook w:val="04A0" w:firstRow="1" w:lastRow="0" w:firstColumn="1" w:lastColumn="0" w:noHBand="0" w:noVBand="1"/>
      </w:tblPr>
      <w:tblGrid>
        <w:gridCol w:w="15409"/>
      </w:tblGrid>
      <w:tr w:rsidR="00E742B6" w:rsidRPr="00E742B6" w:rsidTr="001E1B14">
        <w:tc>
          <w:tcPr>
            <w:tcW w:w="15409" w:type="dxa"/>
            <w:shd w:val="clear" w:color="auto" w:fill="1F4E79" w:themeFill="accent1" w:themeFillShade="80"/>
          </w:tcPr>
          <w:p w:rsidR="00E742B6" w:rsidRPr="00E742B6" w:rsidRDefault="00E742B6" w:rsidP="006F6D53">
            <w:pPr>
              <w:rPr>
                <w:rFonts w:ascii="Arial" w:hAnsi="Arial" w:cs="Arial"/>
                <w:b/>
                <w:sz w:val="24"/>
                <w:szCs w:val="24"/>
              </w:rPr>
            </w:pPr>
            <w:r w:rsidRPr="001E1B14">
              <w:rPr>
                <w:rFonts w:ascii="Arial" w:hAnsi="Arial" w:cs="Arial"/>
                <w:b/>
                <w:color w:val="FFFFFF" w:themeColor="background1"/>
                <w:sz w:val="24"/>
                <w:szCs w:val="24"/>
              </w:rPr>
              <w:t>DELIVERY ANALYSIS</w:t>
            </w:r>
          </w:p>
        </w:tc>
      </w:tr>
      <w:tr w:rsidR="00E742B6" w:rsidRPr="00E742B6" w:rsidTr="00E742B6">
        <w:tc>
          <w:tcPr>
            <w:tcW w:w="15409" w:type="dxa"/>
            <w:shd w:val="clear" w:color="auto" w:fill="auto"/>
          </w:tcPr>
          <w:p w:rsidR="00F15F20" w:rsidRPr="00F66E27" w:rsidRDefault="00F15F20" w:rsidP="008E14DC">
            <w:pPr>
              <w:rPr>
                <w:rFonts w:cstheme="minorHAnsi"/>
                <w:iCs/>
                <w:color w:val="FF0000"/>
                <w:sz w:val="18"/>
              </w:rPr>
            </w:pPr>
          </w:p>
          <w:p w:rsidR="00E742B6" w:rsidRPr="00F005A8" w:rsidRDefault="00E742B6" w:rsidP="006F6D53">
            <w:pPr>
              <w:rPr>
                <w:rFonts w:ascii="Arial" w:hAnsi="Arial" w:cs="Arial"/>
                <w:bCs/>
                <w:sz w:val="24"/>
                <w:szCs w:val="24"/>
              </w:rPr>
            </w:pPr>
          </w:p>
          <w:p w:rsidR="00E742B6" w:rsidRPr="00F005A8" w:rsidRDefault="00E17FDF" w:rsidP="006F6D53">
            <w:pPr>
              <w:rPr>
                <w:rFonts w:ascii="Arial" w:hAnsi="Arial" w:cs="Arial"/>
                <w:bCs/>
                <w:sz w:val="24"/>
                <w:szCs w:val="24"/>
              </w:rPr>
            </w:pPr>
            <w:r w:rsidRPr="00F005A8">
              <w:rPr>
                <w:rFonts w:ascii="Arial" w:hAnsi="Arial" w:cs="Arial"/>
                <w:bCs/>
                <w:sz w:val="24"/>
                <w:szCs w:val="24"/>
              </w:rPr>
              <w:t xml:space="preserve">Link to live document shared with action assignees. </w:t>
            </w:r>
            <w:hyperlink r:id="rId8" w:history="1">
              <w:r w:rsidR="002D729E">
                <w:rPr>
                  <w:rStyle w:val="Hyperlink"/>
                </w:rPr>
                <w:t>Quality Strategy Implementation Plan April 23 (003).xlsx</w:t>
              </w:r>
            </w:hyperlink>
          </w:p>
          <w:p w:rsidR="00F005A8" w:rsidRDefault="00F005A8" w:rsidP="006F6D53">
            <w:pPr>
              <w:rPr>
                <w:rFonts w:ascii="Arial" w:hAnsi="Arial" w:cs="Arial"/>
                <w:bCs/>
                <w:sz w:val="24"/>
                <w:szCs w:val="24"/>
              </w:rPr>
            </w:pPr>
          </w:p>
          <w:p w:rsidR="002D729E" w:rsidRPr="003863F8" w:rsidRDefault="002D729E" w:rsidP="007A275A">
            <w:pPr>
              <w:pStyle w:val="ListParagraph"/>
              <w:numPr>
                <w:ilvl w:val="0"/>
                <w:numId w:val="1"/>
              </w:numPr>
              <w:rPr>
                <w:bCs/>
                <w:szCs w:val="24"/>
              </w:rPr>
            </w:pPr>
            <w:r w:rsidRPr="003863F8">
              <w:rPr>
                <w:bCs/>
                <w:szCs w:val="24"/>
              </w:rPr>
              <w:t>Assignees to update their actions.</w:t>
            </w:r>
          </w:p>
          <w:p w:rsidR="002D729E" w:rsidRPr="003863F8" w:rsidRDefault="002D729E" w:rsidP="007A275A">
            <w:pPr>
              <w:pStyle w:val="ListParagraph"/>
              <w:numPr>
                <w:ilvl w:val="0"/>
                <w:numId w:val="1"/>
              </w:numPr>
              <w:rPr>
                <w:bCs/>
                <w:szCs w:val="24"/>
              </w:rPr>
            </w:pPr>
            <w:r w:rsidRPr="003863F8">
              <w:rPr>
                <w:bCs/>
                <w:szCs w:val="24"/>
              </w:rPr>
              <w:t>Meetings held to discuss any queries/issues.</w:t>
            </w:r>
          </w:p>
          <w:p w:rsidR="00E17FDF" w:rsidRPr="003863F8" w:rsidRDefault="00E17FDF" w:rsidP="007A275A">
            <w:pPr>
              <w:pStyle w:val="ListParagraph"/>
              <w:numPr>
                <w:ilvl w:val="0"/>
                <w:numId w:val="1"/>
              </w:numPr>
              <w:rPr>
                <w:bCs/>
                <w:szCs w:val="24"/>
              </w:rPr>
            </w:pPr>
            <w:r w:rsidRPr="003863F8">
              <w:rPr>
                <w:bCs/>
                <w:szCs w:val="24"/>
              </w:rPr>
              <w:t>Quarterly reviews and updates scheduled.</w:t>
            </w:r>
          </w:p>
          <w:p w:rsidR="00E742B6" w:rsidRPr="00E742B6" w:rsidRDefault="00E742B6" w:rsidP="006F6D53">
            <w:pPr>
              <w:rPr>
                <w:rFonts w:ascii="Arial" w:hAnsi="Arial" w:cs="Arial"/>
                <w:b/>
                <w:sz w:val="24"/>
                <w:szCs w:val="24"/>
              </w:rPr>
            </w:pPr>
          </w:p>
        </w:tc>
      </w:tr>
      <w:tr w:rsidR="00B32E29" w:rsidRPr="00E742B6" w:rsidTr="001E1B14">
        <w:tc>
          <w:tcPr>
            <w:tcW w:w="15409" w:type="dxa"/>
            <w:shd w:val="clear" w:color="auto" w:fill="1F4E79" w:themeFill="accent1" w:themeFillShade="80"/>
          </w:tcPr>
          <w:p w:rsidR="00B32E29" w:rsidRPr="00E742B6" w:rsidRDefault="00B32E29" w:rsidP="006F6D53">
            <w:pPr>
              <w:rPr>
                <w:rFonts w:ascii="Arial" w:hAnsi="Arial" w:cs="Arial"/>
                <w:sz w:val="24"/>
                <w:szCs w:val="24"/>
              </w:rPr>
            </w:pPr>
            <w:r w:rsidRPr="001E1B14">
              <w:rPr>
                <w:rFonts w:ascii="Arial" w:hAnsi="Arial" w:cs="Arial"/>
                <w:b/>
                <w:color w:val="FFFFFF" w:themeColor="background1"/>
                <w:sz w:val="24"/>
                <w:szCs w:val="24"/>
              </w:rPr>
              <w:t>ACHIEVEMENTS IN QUARTER</w:t>
            </w:r>
            <w:r w:rsidR="006F6D53" w:rsidRPr="001E1B14">
              <w:rPr>
                <w:rFonts w:ascii="Arial" w:hAnsi="Arial" w:cs="Arial"/>
                <w:b/>
                <w:color w:val="FFFFFF" w:themeColor="background1"/>
                <w:sz w:val="24"/>
                <w:szCs w:val="24"/>
              </w:rPr>
              <w:t xml:space="preserve"> </w:t>
            </w:r>
          </w:p>
        </w:tc>
      </w:tr>
      <w:tr w:rsidR="00B32E29" w:rsidRPr="00E742B6" w:rsidTr="00B32E29">
        <w:tc>
          <w:tcPr>
            <w:tcW w:w="15409" w:type="dxa"/>
          </w:tcPr>
          <w:p w:rsidR="00A26711" w:rsidRPr="00E17FDF" w:rsidRDefault="00A26711">
            <w:pPr>
              <w:rPr>
                <w:sz w:val="24"/>
                <w:szCs w:val="24"/>
              </w:rPr>
            </w:pPr>
          </w:p>
          <w:tbl>
            <w:tblPr>
              <w:tblStyle w:val="TableGrid"/>
              <w:tblW w:w="14901" w:type="dxa"/>
              <w:tblLook w:val="04A0" w:firstRow="1" w:lastRow="0" w:firstColumn="1" w:lastColumn="0" w:noHBand="0" w:noVBand="1"/>
            </w:tblPr>
            <w:tblGrid>
              <w:gridCol w:w="5045"/>
              <w:gridCol w:w="1457"/>
              <w:gridCol w:w="1512"/>
              <w:gridCol w:w="1284"/>
              <w:gridCol w:w="1295"/>
              <w:gridCol w:w="4308"/>
            </w:tblGrid>
            <w:tr w:rsidR="003D18C8" w:rsidRPr="00E17FDF" w:rsidTr="00E17FDF">
              <w:tc>
                <w:tcPr>
                  <w:tcW w:w="5045" w:type="dxa"/>
                  <w:shd w:val="clear" w:color="auto" w:fill="2E74B5" w:themeFill="accent1" w:themeFillShade="BF"/>
                </w:tcPr>
                <w:p w:rsidR="003D18C8" w:rsidRPr="00E17FDF" w:rsidRDefault="003D18C8">
                  <w:pPr>
                    <w:rPr>
                      <w:rFonts w:ascii="Arial" w:hAnsi="Arial" w:cs="Arial"/>
                      <w:b/>
                      <w:sz w:val="24"/>
                      <w:szCs w:val="24"/>
                    </w:rPr>
                  </w:pPr>
                  <w:r w:rsidRPr="00E17FDF">
                    <w:rPr>
                      <w:rFonts w:ascii="Arial" w:hAnsi="Arial" w:cs="Arial"/>
                      <w:b/>
                      <w:sz w:val="24"/>
                      <w:szCs w:val="24"/>
                    </w:rPr>
                    <w:t>Quality Ambition</w:t>
                  </w:r>
                </w:p>
                <w:p w:rsidR="003D18C8" w:rsidRPr="00E17FDF" w:rsidRDefault="003D18C8">
                  <w:pPr>
                    <w:rPr>
                      <w:rFonts w:ascii="Arial" w:hAnsi="Arial" w:cs="Arial"/>
                      <w:b/>
                      <w:sz w:val="24"/>
                      <w:szCs w:val="24"/>
                    </w:rPr>
                  </w:pPr>
                </w:p>
              </w:tc>
              <w:tc>
                <w:tcPr>
                  <w:tcW w:w="1457" w:type="dxa"/>
                  <w:shd w:val="clear" w:color="auto" w:fill="00B050"/>
                </w:tcPr>
                <w:p w:rsidR="003D18C8" w:rsidRPr="00E17FDF" w:rsidRDefault="003D18C8" w:rsidP="00E17FDF">
                  <w:pPr>
                    <w:jc w:val="center"/>
                    <w:rPr>
                      <w:rFonts w:ascii="Arial" w:hAnsi="Arial" w:cs="Arial"/>
                      <w:b/>
                      <w:sz w:val="24"/>
                      <w:szCs w:val="24"/>
                    </w:rPr>
                  </w:pPr>
                  <w:r w:rsidRPr="00E17FDF">
                    <w:rPr>
                      <w:rFonts w:ascii="Arial" w:hAnsi="Arial" w:cs="Arial"/>
                      <w:b/>
                      <w:sz w:val="24"/>
                      <w:szCs w:val="24"/>
                    </w:rPr>
                    <w:t>Actions Completed</w:t>
                  </w:r>
                </w:p>
              </w:tc>
              <w:tc>
                <w:tcPr>
                  <w:tcW w:w="1512" w:type="dxa"/>
                  <w:shd w:val="clear" w:color="auto" w:fill="FFC000"/>
                </w:tcPr>
                <w:p w:rsidR="003D18C8" w:rsidRPr="00E17FDF" w:rsidRDefault="003D18C8" w:rsidP="00E17FDF">
                  <w:pPr>
                    <w:jc w:val="center"/>
                    <w:rPr>
                      <w:rFonts w:ascii="Arial" w:hAnsi="Arial" w:cs="Arial"/>
                      <w:b/>
                      <w:sz w:val="24"/>
                      <w:szCs w:val="24"/>
                    </w:rPr>
                  </w:pPr>
                  <w:r w:rsidRPr="00E17FDF">
                    <w:rPr>
                      <w:rFonts w:ascii="Arial" w:hAnsi="Arial" w:cs="Arial"/>
                      <w:b/>
                      <w:sz w:val="24"/>
                      <w:szCs w:val="24"/>
                    </w:rPr>
                    <w:t>Actions Not Started</w:t>
                  </w:r>
                </w:p>
              </w:tc>
              <w:tc>
                <w:tcPr>
                  <w:tcW w:w="1284" w:type="dxa"/>
                  <w:shd w:val="clear" w:color="auto" w:fill="FFFF00"/>
                </w:tcPr>
                <w:p w:rsidR="003D18C8" w:rsidRPr="00E17FDF" w:rsidRDefault="003D18C8" w:rsidP="00E17FDF">
                  <w:pPr>
                    <w:jc w:val="center"/>
                    <w:rPr>
                      <w:rFonts w:ascii="Arial" w:hAnsi="Arial" w:cs="Arial"/>
                      <w:b/>
                      <w:sz w:val="24"/>
                      <w:szCs w:val="24"/>
                    </w:rPr>
                  </w:pPr>
                  <w:r w:rsidRPr="00E17FDF">
                    <w:rPr>
                      <w:rFonts w:ascii="Arial" w:hAnsi="Arial" w:cs="Arial"/>
                      <w:b/>
                      <w:sz w:val="24"/>
                      <w:szCs w:val="24"/>
                    </w:rPr>
                    <w:t>Actions On-Track</w:t>
                  </w:r>
                </w:p>
              </w:tc>
              <w:tc>
                <w:tcPr>
                  <w:tcW w:w="1295" w:type="dxa"/>
                  <w:shd w:val="clear" w:color="auto" w:fill="FF0000"/>
                </w:tcPr>
                <w:p w:rsidR="003D18C8" w:rsidRPr="00E17FDF" w:rsidRDefault="003D18C8" w:rsidP="00E17FDF">
                  <w:pPr>
                    <w:jc w:val="center"/>
                    <w:rPr>
                      <w:rFonts w:ascii="Arial" w:hAnsi="Arial" w:cs="Arial"/>
                      <w:b/>
                      <w:sz w:val="24"/>
                      <w:szCs w:val="24"/>
                    </w:rPr>
                  </w:pPr>
                  <w:r w:rsidRPr="00E17FDF">
                    <w:rPr>
                      <w:rFonts w:ascii="Arial" w:hAnsi="Arial" w:cs="Arial"/>
                      <w:b/>
                      <w:sz w:val="24"/>
                      <w:szCs w:val="24"/>
                    </w:rPr>
                    <w:t>Actions Off-Track</w:t>
                  </w:r>
                </w:p>
              </w:tc>
              <w:tc>
                <w:tcPr>
                  <w:tcW w:w="4308" w:type="dxa"/>
                  <w:shd w:val="clear" w:color="auto" w:fill="2E74B5" w:themeFill="accent1" w:themeFillShade="BF"/>
                </w:tcPr>
                <w:p w:rsidR="003D18C8" w:rsidRPr="00E17FDF" w:rsidRDefault="003D18C8">
                  <w:pPr>
                    <w:rPr>
                      <w:rFonts w:ascii="Arial" w:hAnsi="Arial" w:cs="Arial"/>
                      <w:b/>
                      <w:sz w:val="24"/>
                      <w:szCs w:val="24"/>
                    </w:rPr>
                  </w:pPr>
                  <w:r w:rsidRPr="00E17FDF">
                    <w:rPr>
                      <w:rFonts w:ascii="Arial" w:hAnsi="Arial" w:cs="Arial"/>
                      <w:b/>
                      <w:sz w:val="24"/>
                      <w:szCs w:val="24"/>
                    </w:rPr>
                    <w:t>Comments</w:t>
                  </w:r>
                </w:p>
              </w:tc>
            </w:tr>
            <w:tr w:rsidR="00E17FDF" w:rsidRPr="00E17FDF" w:rsidTr="007A275A">
              <w:tc>
                <w:tcPr>
                  <w:tcW w:w="5045" w:type="dxa"/>
                  <w:shd w:val="clear" w:color="auto" w:fill="FFFF00"/>
                </w:tcPr>
                <w:p w:rsidR="00E17FDF" w:rsidRPr="00E17FDF" w:rsidRDefault="00E17FDF" w:rsidP="00E17FDF">
                  <w:pPr>
                    <w:rPr>
                      <w:rFonts w:ascii="Arial" w:hAnsi="Arial" w:cs="Arial"/>
                      <w:b/>
                      <w:sz w:val="24"/>
                      <w:szCs w:val="24"/>
                    </w:rPr>
                  </w:pPr>
                  <w:r w:rsidRPr="00E17FDF">
                    <w:rPr>
                      <w:rFonts w:ascii="Arial" w:hAnsi="Arial" w:cs="Arial"/>
                      <w:b/>
                      <w:sz w:val="24"/>
                      <w:szCs w:val="24"/>
                    </w:rPr>
                    <w:t>Safe &amp; Reliable Care</w:t>
                  </w:r>
                </w:p>
                <w:p w:rsidR="00E17FDF" w:rsidRPr="00E17FDF" w:rsidRDefault="00E17FDF" w:rsidP="00E17FDF">
                  <w:pPr>
                    <w:rPr>
                      <w:rFonts w:ascii="Arial" w:hAnsi="Arial" w:cs="Arial"/>
                      <w:b/>
                      <w:sz w:val="24"/>
                      <w:szCs w:val="24"/>
                    </w:rPr>
                  </w:pPr>
                </w:p>
              </w:tc>
              <w:tc>
                <w:tcPr>
                  <w:tcW w:w="1457" w:type="dxa"/>
                  <w:shd w:val="clear" w:color="auto" w:fill="FFFF00"/>
                  <w:vAlign w:val="center"/>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0</w:t>
                  </w:r>
                </w:p>
              </w:tc>
              <w:tc>
                <w:tcPr>
                  <w:tcW w:w="1512" w:type="dxa"/>
                  <w:shd w:val="clear" w:color="auto" w:fill="FFFF00"/>
                  <w:vAlign w:val="center"/>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4</w:t>
                  </w:r>
                </w:p>
              </w:tc>
              <w:tc>
                <w:tcPr>
                  <w:tcW w:w="1284" w:type="dxa"/>
                  <w:shd w:val="clear" w:color="auto" w:fill="FFFF00"/>
                  <w:vAlign w:val="center"/>
                </w:tcPr>
                <w:p w:rsidR="00E17FDF" w:rsidRPr="00E17FDF" w:rsidRDefault="007A275A" w:rsidP="00E17FDF">
                  <w:pPr>
                    <w:jc w:val="center"/>
                    <w:rPr>
                      <w:rFonts w:ascii="Arial" w:hAnsi="Arial" w:cs="Arial"/>
                      <w:b/>
                      <w:sz w:val="24"/>
                      <w:szCs w:val="24"/>
                    </w:rPr>
                  </w:pPr>
                  <w:r>
                    <w:rPr>
                      <w:rFonts w:ascii="Arial" w:hAnsi="Arial" w:cs="Arial"/>
                      <w:b/>
                      <w:sz w:val="24"/>
                      <w:szCs w:val="24"/>
                    </w:rPr>
                    <w:t>21</w:t>
                  </w:r>
                </w:p>
              </w:tc>
              <w:tc>
                <w:tcPr>
                  <w:tcW w:w="1295" w:type="dxa"/>
                  <w:shd w:val="clear" w:color="auto" w:fill="FFFF00"/>
                  <w:vAlign w:val="center"/>
                </w:tcPr>
                <w:p w:rsidR="00E17FDF" w:rsidRPr="00E17FDF" w:rsidRDefault="007A275A" w:rsidP="00E17FDF">
                  <w:pPr>
                    <w:jc w:val="center"/>
                    <w:rPr>
                      <w:rFonts w:ascii="Arial" w:hAnsi="Arial" w:cs="Arial"/>
                      <w:b/>
                      <w:sz w:val="24"/>
                      <w:szCs w:val="24"/>
                    </w:rPr>
                  </w:pPr>
                  <w:r>
                    <w:rPr>
                      <w:rFonts w:ascii="Arial" w:hAnsi="Arial" w:cs="Arial"/>
                      <w:b/>
                      <w:sz w:val="24"/>
                      <w:szCs w:val="24"/>
                    </w:rPr>
                    <w:t>1</w:t>
                  </w:r>
                </w:p>
              </w:tc>
              <w:tc>
                <w:tcPr>
                  <w:tcW w:w="4308" w:type="dxa"/>
                  <w:shd w:val="clear" w:color="auto" w:fill="FFFF00"/>
                </w:tcPr>
                <w:p w:rsidR="00E17FDF" w:rsidRPr="006F2B82" w:rsidRDefault="00E17FDF" w:rsidP="00E17FDF">
                  <w:pPr>
                    <w:rPr>
                      <w:rFonts w:ascii="Arial" w:hAnsi="Arial" w:cs="Arial"/>
                      <w:b/>
                      <w:sz w:val="24"/>
                      <w:szCs w:val="24"/>
                    </w:rPr>
                  </w:pPr>
                  <w:r w:rsidRPr="006F2B82">
                    <w:rPr>
                      <w:rFonts w:ascii="Arial" w:eastAsia="Times New Roman" w:hAnsi="Arial" w:cs="Arial"/>
                      <w:color w:val="000000"/>
                      <w:sz w:val="24"/>
                      <w:szCs w:val="24"/>
                      <w:lang w:eastAsia="en-GB"/>
                    </w:rPr>
                    <w:t>All '</w:t>
                  </w:r>
                  <w:r w:rsidR="002C17A8" w:rsidRPr="006F2B82">
                    <w:rPr>
                      <w:rFonts w:ascii="Arial" w:eastAsia="Times New Roman" w:hAnsi="Arial" w:cs="Arial"/>
                      <w:color w:val="000000"/>
                      <w:sz w:val="24"/>
                      <w:szCs w:val="24"/>
                      <w:lang w:eastAsia="en-GB"/>
                    </w:rPr>
                    <w:t>not started</w:t>
                  </w:r>
                  <w:r w:rsidRPr="006F2B82">
                    <w:rPr>
                      <w:rFonts w:ascii="Arial" w:eastAsia="Times New Roman" w:hAnsi="Arial" w:cs="Arial"/>
                      <w:color w:val="000000"/>
                      <w:sz w:val="24"/>
                      <w:szCs w:val="24"/>
                      <w:lang w:eastAsia="en-GB"/>
                    </w:rPr>
                    <w:t>' for 2023 have been chased</w:t>
                  </w:r>
                </w:p>
              </w:tc>
            </w:tr>
            <w:tr w:rsidR="00E17FDF" w:rsidRPr="00E17FDF" w:rsidTr="00E17FDF">
              <w:tc>
                <w:tcPr>
                  <w:tcW w:w="5045" w:type="dxa"/>
                </w:tcPr>
                <w:p w:rsidR="00E17FDF" w:rsidRPr="00E17FDF" w:rsidRDefault="00E17FDF" w:rsidP="00E17FDF">
                  <w:pPr>
                    <w:rPr>
                      <w:rFonts w:ascii="Arial" w:hAnsi="Arial" w:cs="Arial"/>
                      <w:b/>
                      <w:sz w:val="24"/>
                      <w:szCs w:val="24"/>
                    </w:rPr>
                  </w:pPr>
                  <w:r w:rsidRPr="00E17FDF">
                    <w:rPr>
                      <w:rFonts w:ascii="Arial" w:hAnsi="Arial" w:cs="Arial"/>
                      <w:b/>
                      <w:sz w:val="24"/>
                      <w:szCs w:val="24"/>
                    </w:rPr>
                    <w:t>An Organisation Our Patients &amp; Communities Can Be Proud Of</w:t>
                  </w:r>
                </w:p>
                <w:p w:rsidR="00E17FDF" w:rsidRPr="00E17FDF" w:rsidRDefault="00E17FDF" w:rsidP="00E17FDF">
                  <w:pPr>
                    <w:rPr>
                      <w:rFonts w:ascii="Arial" w:hAnsi="Arial" w:cs="Arial"/>
                      <w:b/>
                      <w:sz w:val="24"/>
                      <w:szCs w:val="24"/>
                    </w:rPr>
                  </w:pPr>
                </w:p>
              </w:tc>
              <w:tc>
                <w:tcPr>
                  <w:tcW w:w="1457"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2</w:t>
                  </w:r>
                </w:p>
              </w:tc>
              <w:tc>
                <w:tcPr>
                  <w:tcW w:w="1512"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10</w:t>
                  </w:r>
                </w:p>
              </w:tc>
              <w:tc>
                <w:tcPr>
                  <w:tcW w:w="1284"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14</w:t>
                  </w:r>
                </w:p>
              </w:tc>
              <w:tc>
                <w:tcPr>
                  <w:tcW w:w="1295"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0</w:t>
                  </w:r>
                </w:p>
              </w:tc>
              <w:tc>
                <w:tcPr>
                  <w:tcW w:w="4308" w:type="dxa"/>
                </w:tcPr>
                <w:p w:rsidR="00E17FDF" w:rsidRPr="006F2B82" w:rsidRDefault="00E17FDF" w:rsidP="00E17FDF">
                  <w:pPr>
                    <w:rPr>
                      <w:rFonts w:ascii="Arial" w:hAnsi="Arial" w:cs="Arial"/>
                      <w:b/>
                      <w:sz w:val="24"/>
                      <w:szCs w:val="24"/>
                    </w:rPr>
                  </w:pPr>
                  <w:r w:rsidRPr="006F2B82">
                    <w:rPr>
                      <w:rFonts w:ascii="Arial" w:eastAsia="Times New Roman" w:hAnsi="Arial" w:cs="Arial"/>
                      <w:color w:val="000000"/>
                      <w:sz w:val="24"/>
                      <w:szCs w:val="24"/>
                      <w:lang w:eastAsia="en-GB"/>
                    </w:rPr>
                    <w:t>All '</w:t>
                  </w:r>
                  <w:r w:rsidR="002C17A8" w:rsidRPr="006F2B82">
                    <w:rPr>
                      <w:rFonts w:ascii="Arial" w:eastAsia="Times New Roman" w:hAnsi="Arial" w:cs="Arial"/>
                      <w:color w:val="000000"/>
                      <w:sz w:val="24"/>
                      <w:szCs w:val="24"/>
                      <w:lang w:eastAsia="en-GB"/>
                    </w:rPr>
                    <w:t>not started</w:t>
                  </w:r>
                  <w:r w:rsidRPr="006F2B82">
                    <w:rPr>
                      <w:rFonts w:ascii="Arial" w:eastAsia="Times New Roman" w:hAnsi="Arial" w:cs="Arial"/>
                      <w:color w:val="000000"/>
                      <w:sz w:val="24"/>
                      <w:szCs w:val="24"/>
                      <w:lang w:eastAsia="en-GB"/>
                    </w:rPr>
                    <w:t>' for 2023 have been chased</w:t>
                  </w:r>
                </w:p>
              </w:tc>
            </w:tr>
            <w:tr w:rsidR="00E17FDF" w:rsidRPr="00E17FDF" w:rsidTr="00E17FDF">
              <w:tc>
                <w:tcPr>
                  <w:tcW w:w="5045" w:type="dxa"/>
                </w:tcPr>
                <w:p w:rsidR="00E17FDF" w:rsidRPr="00E17FDF" w:rsidRDefault="00E17FDF" w:rsidP="00E17FDF">
                  <w:pPr>
                    <w:rPr>
                      <w:rFonts w:ascii="Arial" w:hAnsi="Arial" w:cs="Arial"/>
                      <w:b/>
                      <w:sz w:val="24"/>
                      <w:szCs w:val="24"/>
                    </w:rPr>
                  </w:pPr>
                </w:p>
                <w:p w:rsidR="00E17FDF" w:rsidRPr="00E17FDF" w:rsidRDefault="00E17FDF" w:rsidP="00E17FDF">
                  <w:pPr>
                    <w:rPr>
                      <w:rFonts w:ascii="Arial" w:hAnsi="Arial" w:cs="Arial"/>
                      <w:b/>
                      <w:sz w:val="24"/>
                      <w:szCs w:val="24"/>
                    </w:rPr>
                  </w:pPr>
                  <w:r w:rsidRPr="00E17FDF">
                    <w:rPr>
                      <w:rFonts w:ascii="Arial" w:hAnsi="Arial" w:cs="Arial"/>
                      <w:b/>
                      <w:sz w:val="24"/>
                      <w:szCs w:val="24"/>
                    </w:rPr>
                    <w:t>Empowered Staff</w:t>
                  </w:r>
                </w:p>
              </w:tc>
              <w:tc>
                <w:tcPr>
                  <w:tcW w:w="1457"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3</w:t>
                  </w:r>
                </w:p>
              </w:tc>
              <w:tc>
                <w:tcPr>
                  <w:tcW w:w="1512"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4</w:t>
                  </w:r>
                </w:p>
              </w:tc>
              <w:tc>
                <w:tcPr>
                  <w:tcW w:w="1284"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5</w:t>
                  </w:r>
                </w:p>
              </w:tc>
              <w:tc>
                <w:tcPr>
                  <w:tcW w:w="1295"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0</w:t>
                  </w:r>
                </w:p>
              </w:tc>
              <w:tc>
                <w:tcPr>
                  <w:tcW w:w="4308" w:type="dxa"/>
                </w:tcPr>
                <w:p w:rsidR="00E17FDF" w:rsidRPr="006F2B82" w:rsidRDefault="00E17FDF" w:rsidP="00E17FDF">
                  <w:pPr>
                    <w:rPr>
                      <w:rFonts w:ascii="Arial" w:hAnsi="Arial" w:cs="Arial"/>
                      <w:b/>
                      <w:sz w:val="24"/>
                      <w:szCs w:val="24"/>
                    </w:rPr>
                  </w:pPr>
                  <w:r w:rsidRPr="006F2B82">
                    <w:rPr>
                      <w:rFonts w:ascii="Arial" w:eastAsia="Times New Roman" w:hAnsi="Arial" w:cs="Arial"/>
                      <w:color w:val="000000"/>
                      <w:sz w:val="24"/>
                      <w:szCs w:val="24"/>
                      <w:lang w:eastAsia="en-GB"/>
                    </w:rPr>
                    <w:t>All '</w:t>
                  </w:r>
                  <w:r w:rsidR="002C17A8" w:rsidRPr="006F2B82">
                    <w:rPr>
                      <w:rFonts w:ascii="Arial" w:eastAsia="Times New Roman" w:hAnsi="Arial" w:cs="Arial"/>
                      <w:color w:val="000000"/>
                      <w:sz w:val="24"/>
                      <w:szCs w:val="24"/>
                      <w:lang w:eastAsia="en-GB"/>
                    </w:rPr>
                    <w:t>not started</w:t>
                  </w:r>
                  <w:r w:rsidRPr="006F2B82">
                    <w:rPr>
                      <w:rFonts w:ascii="Arial" w:eastAsia="Times New Roman" w:hAnsi="Arial" w:cs="Arial"/>
                      <w:color w:val="000000"/>
                      <w:sz w:val="24"/>
                      <w:szCs w:val="24"/>
                      <w:lang w:eastAsia="en-GB"/>
                    </w:rPr>
                    <w:t>' for 2023 have been chased</w:t>
                  </w:r>
                </w:p>
              </w:tc>
            </w:tr>
            <w:tr w:rsidR="00E17FDF" w:rsidRPr="00E17FDF" w:rsidTr="00E17FDF">
              <w:tc>
                <w:tcPr>
                  <w:tcW w:w="5045" w:type="dxa"/>
                </w:tcPr>
                <w:p w:rsidR="00E17FDF" w:rsidRPr="00E17FDF" w:rsidRDefault="00E17FDF" w:rsidP="00E17FDF">
                  <w:pPr>
                    <w:rPr>
                      <w:rFonts w:ascii="Arial" w:hAnsi="Arial" w:cs="Arial"/>
                      <w:b/>
                      <w:sz w:val="24"/>
                      <w:szCs w:val="24"/>
                    </w:rPr>
                  </w:pPr>
                </w:p>
                <w:p w:rsidR="00E17FDF" w:rsidRPr="00E17FDF" w:rsidRDefault="00E17FDF" w:rsidP="00E17FDF">
                  <w:pPr>
                    <w:rPr>
                      <w:rFonts w:ascii="Arial" w:hAnsi="Arial" w:cs="Arial"/>
                      <w:b/>
                      <w:sz w:val="24"/>
                      <w:szCs w:val="24"/>
                    </w:rPr>
                  </w:pPr>
                  <w:r w:rsidRPr="00E17FDF">
                    <w:rPr>
                      <w:rFonts w:ascii="Arial" w:hAnsi="Arial" w:cs="Arial"/>
                      <w:b/>
                      <w:sz w:val="24"/>
                      <w:szCs w:val="24"/>
                    </w:rPr>
                    <w:t>High Quality Services Now &amp; in the Future</w:t>
                  </w:r>
                </w:p>
              </w:tc>
              <w:tc>
                <w:tcPr>
                  <w:tcW w:w="1457"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0</w:t>
                  </w:r>
                </w:p>
              </w:tc>
              <w:tc>
                <w:tcPr>
                  <w:tcW w:w="1512"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3</w:t>
                  </w:r>
                </w:p>
              </w:tc>
              <w:tc>
                <w:tcPr>
                  <w:tcW w:w="1284"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5</w:t>
                  </w:r>
                </w:p>
              </w:tc>
              <w:tc>
                <w:tcPr>
                  <w:tcW w:w="1295" w:type="dxa"/>
                </w:tcPr>
                <w:p w:rsidR="00E17FDF" w:rsidRPr="00E17FDF" w:rsidRDefault="00E17FDF" w:rsidP="00E17FDF">
                  <w:pPr>
                    <w:jc w:val="center"/>
                    <w:rPr>
                      <w:rFonts w:ascii="Arial" w:hAnsi="Arial" w:cs="Arial"/>
                      <w:b/>
                      <w:sz w:val="24"/>
                      <w:szCs w:val="24"/>
                    </w:rPr>
                  </w:pPr>
                  <w:r w:rsidRPr="00E17FDF">
                    <w:rPr>
                      <w:rFonts w:ascii="Arial" w:hAnsi="Arial" w:cs="Arial"/>
                      <w:b/>
                      <w:sz w:val="24"/>
                      <w:szCs w:val="24"/>
                    </w:rPr>
                    <w:t>0</w:t>
                  </w:r>
                </w:p>
              </w:tc>
              <w:tc>
                <w:tcPr>
                  <w:tcW w:w="4308" w:type="dxa"/>
                </w:tcPr>
                <w:p w:rsidR="00E17FDF" w:rsidRPr="006F2B82" w:rsidRDefault="00E17FDF" w:rsidP="00E17FDF">
                  <w:pPr>
                    <w:rPr>
                      <w:rFonts w:ascii="Arial" w:hAnsi="Arial" w:cs="Arial"/>
                      <w:b/>
                      <w:sz w:val="24"/>
                      <w:szCs w:val="24"/>
                    </w:rPr>
                  </w:pPr>
                  <w:r w:rsidRPr="006F2B82">
                    <w:rPr>
                      <w:rFonts w:ascii="Arial" w:eastAsia="Times New Roman" w:hAnsi="Arial" w:cs="Arial"/>
                      <w:color w:val="000000"/>
                      <w:sz w:val="24"/>
                      <w:szCs w:val="24"/>
                      <w:lang w:eastAsia="en-GB"/>
                    </w:rPr>
                    <w:t>All '</w:t>
                  </w:r>
                  <w:r w:rsidR="002C17A8" w:rsidRPr="006F2B82">
                    <w:rPr>
                      <w:rFonts w:ascii="Arial" w:eastAsia="Times New Roman" w:hAnsi="Arial" w:cs="Arial"/>
                      <w:color w:val="000000"/>
                      <w:sz w:val="24"/>
                      <w:szCs w:val="24"/>
                      <w:lang w:eastAsia="en-GB"/>
                    </w:rPr>
                    <w:t>not started</w:t>
                  </w:r>
                  <w:r w:rsidRPr="006F2B82">
                    <w:rPr>
                      <w:rFonts w:ascii="Arial" w:eastAsia="Times New Roman" w:hAnsi="Arial" w:cs="Arial"/>
                      <w:color w:val="000000"/>
                      <w:sz w:val="24"/>
                      <w:szCs w:val="24"/>
                      <w:lang w:eastAsia="en-GB"/>
                    </w:rPr>
                    <w:t>' for 2023 have been chased</w:t>
                  </w:r>
                </w:p>
              </w:tc>
            </w:tr>
          </w:tbl>
          <w:p w:rsidR="001E1B14" w:rsidRDefault="001E1B14">
            <w:pPr>
              <w:rPr>
                <w:rFonts w:ascii="Arial" w:hAnsi="Arial" w:cs="Arial"/>
                <w:b/>
                <w:sz w:val="24"/>
                <w:szCs w:val="24"/>
              </w:rPr>
            </w:pPr>
          </w:p>
          <w:p w:rsidR="00B32E29" w:rsidRDefault="007A275A">
            <w:pPr>
              <w:rPr>
                <w:rFonts w:ascii="Arial" w:hAnsi="Arial" w:cs="Arial"/>
                <w:b/>
                <w:sz w:val="24"/>
                <w:szCs w:val="24"/>
              </w:rPr>
            </w:pPr>
            <w:r>
              <w:rPr>
                <w:rFonts w:ascii="Arial" w:hAnsi="Arial" w:cs="Arial"/>
                <w:b/>
                <w:sz w:val="24"/>
                <w:szCs w:val="24"/>
              </w:rPr>
              <w:t>Actions Commenced and On Track:</w:t>
            </w:r>
          </w:p>
          <w:p w:rsidR="007A275A" w:rsidRDefault="007A275A">
            <w:pPr>
              <w:rPr>
                <w:rFonts w:ascii="Arial" w:hAnsi="Arial" w:cs="Arial"/>
                <w:b/>
                <w:sz w:val="24"/>
                <w:szCs w:val="24"/>
              </w:rPr>
            </w:pPr>
          </w:p>
          <w:p w:rsidR="007A275A" w:rsidRDefault="007A275A">
            <w:pPr>
              <w:rPr>
                <w:rFonts w:ascii="Arial" w:hAnsi="Arial" w:cs="Arial"/>
                <w:b/>
                <w:sz w:val="24"/>
                <w:szCs w:val="24"/>
              </w:rPr>
            </w:pPr>
          </w:p>
          <w:p w:rsidR="007A275A" w:rsidRPr="00E742B6" w:rsidRDefault="007A275A">
            <w:pPr>
              <w:rPr>
                <w:rFonts w:ascii="Arial" w:hAnsi="Arial" w:cs="Arial"/>
                <w:b/>
                <w:sz w:val="24"/>
                <w:szCs w:val="24"/>
              </w:rPr>
            </w:pPr>
          </w:p>
          <w:p w:rsidR="00B32E29" w:rsidRPr="00E742B6" w:rsidRDefault="00B32E29">
            <w:pPr>
              <w:rPr>
                <w:rFonts w:ascii="Arial" w:hAnsi="Arial" w:cs="Arial"/>
                <w:b/>
                <w:sz w:val="24"/>
                <w:szCs w:val="24"/>
              </w:rPr>
            </w:pPr>
          </w:p>
        </w:tc>
      </w:tr>
    </w:tbl>
    <w:tbl>
      <w:tblPr>
        <w:tblW w:w="13197" w:type="dxa"/>
        <w:tblLook w:val="04A0" w:firstRow="1" w:lastRow="0" w:firstColumn="1" w:lastColumn="0" w:noHBand="0" w:noVBand="1"/>
      </w:tblPr>
      <w:tblGrid>
        <w:gridCol w:w="960"/>
        <w:gridCol w:w="1528"/>
        <w:gridCol w:w="1332"/>
        <w:gridCol w:w="1541"/>
        <w:gridCol w:w="1311"/>
        <w:gridCol w:w="1650"/>
        <w:gridCol w:w="1112"/>
        <w:gridCol w:w="1203"/>
        <w:gridCol w:w="1203"/>
        <w:gridCol w:w="819"/>
        <w:gridCol w:w="1443"/>
        <w:gridCol w:w="1312"/>
      </w:tblGrid>
      <w:tr w:rsidR="007A275A" w:rsidRPr="007A275A" w:rsidTr="007A275A">
        <w:trPr>
          <w:trHeight w:val="280"/>
        </w:trPr>
        <w:tc>
          <w:tcPr>
            <w:tcW w:w="833" w:type="dxa"/>
            <w:tcBorders>
              <w:top w:val="single" w:sz="4" w:space="0" w:color="000000"/>
              <w:left w:val="single" w:sz="4" w:space="0" w:color="000000"/>
              <w:bottom w:val="single" w:sz="4" w:space="0" w:color="auto"/>
              <w:right w:val="single" w:sz="4" w:space="0" w:color="auto"/>
            </w:tcBorders>
            <w:shd w:val="clear" w:color="000000" w:fill="FFFFFF"/>
            <w:noWrap/>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ID</w:t>
            </w:r>
          </w:p>
        </w:tc>
        <w:tc>
          <w:tcPr>
            <w:tcW w:w="1302" w:type="dxa"/>
            <w:tcBorders>
              <w:top w:val="single" w:sz="4" w:space="0" w:color="000000"/>
              <w:left w:val="single" w:sz="4" w:space="0" w:color="auto"/>
              <w:bottom w:val="single" w:sz="4" w:space="0" w:color="auto"/>
              <w:right w:val="single" w:sz="4" w:space="0" w:color="auto"/>
            </w:tcBorders>
            <w:shd w:val="clear" w:color="000000" w:fill="FFFFFF"/>
            <w:noWrap/>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Goal</w:t>
            </w:r>
          </w:p>
        </w:tc>
        <w:tc>
          <w:tcPr>
            <w:tcW w:w="1139" w:type="dxa"/>
            <w:tcBorders>
              <w:top w:val="single" w:sz="4" w:space="0" w:color="000000"/>
              <w:left w:val="single" w:sz="4" w:space="0" w:color="auto"/>
              <w:bottom w:val="single" w:sz="4" w:space="0" w:color="auto"/>
              <w:right w:val="single" w:sz="4" w:space="0" w:color="auto"/>
            </w:tcBorders>
            <w:shd w:val="clear" w:color="000000" w:fill="FFFFFF"/>
            <w:noWrap/>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Method</w:t>
            </w:r>
          </w:p>
        </w:tc>
        <w:tc>
          <w:tcPr>
            <w:tcW w:w="1312" w:type="dxa"/>
            <w:tcBorders>
              <w:top w:val="single" w:sz="4" w:space="0" w:color="000000"/>
              <w:left w:val="single" w:sz="4" w:space="0" w:color="auto"/>
              <w:bottom w:val="single" w:sz="4" w:space="0" w:color="auto"/>
              <w:right w:val="single" w:sz="4" w:space="0" w:color="auto"/>
            </w:tcBorders>
            <w:shd w:val="clear" w:color="000000" w:fill="FFFFFF"/>
            <w:noWrap/>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Action</w:t>
            </w:r>
          </w:p>
        </w:tc>
        <w:tc>
          <w:tcPr>
            <w:tcW w:w="1122" w:type="dxa"/>
            <w:tcBorders>
              <w:top w:val="single" w:sz="4" w:space="0" w:color="000000"/>
              <w:left w:val="single" w:sz="4" w:space="0" w:color="auto"/>
              <w:bottom w:val="single" w:sz="4" w:space="0" w:color="auto"/>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I</w:t>
            </w:r>
          </w:p>
        </w:tc>
        <w:tc>
          <w:tcPr>
            <w:tcW w:w="1402" w:type="dxa"/>
            <w:tcBorders>
              <w:top w:val="single" w:sz="4" w:space="0" w:color="000000"/>
              <w:left w:val="single" w:sz="4" w:space="0" w:color="auto"/>
              <w:bottom w:val="single" w:sz="4" w:space="0" w:color="auto"/>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 xml:space="preserve">Name </w:t>
            </w:r>
          </w:p>
        </w:tc>
        <w:tc>
          <w:tcPr>
            <w:tcW w:w="957" w:type="dxa"/>
            <w:tcBorders>
              <w:top w:val="single" w:sz="4" w:space="0" w:color="000000"/>
              <w:left w:val="single" w:sz="4" w:space="0" w:color="auto"/>
              <w:bottom w:val="single" w:sz="4" w:space="0" w:color="auto"/>
              <w:right w:val="single" w:sz="4" w:space="0" w:color="auto"/>
            </w:tcBorders>
            <w:shd w:val="clear" w:color="000000" w:fill="FFFFFF"/>
            <w:noWrap/>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Start date</w:t>
            </w:r>
          </w:p>
        </w:tc>
        <w:tc>
          <w:tcPr>
            <w:tcW w:w="1032" w:type="dxa"/>
            <w:tcBorders>
              <w:top w:val="single" w:sz="4" w:space="0" w:color="000000"/>
              <w:left w:val="single" w:sz="4" w:space="0" w:color="auto"/>
              <w:bottom w:val="single" w:sz="4" w:space="0" w:color="auto"/>
              <w:right w:val="single" w:sz="4" w:space="0" w:color="auto"/>
            </w:tcBorders>
            <w:shd w:val="clear" w:color="000000" w:fill="FFFFFF"/>
            <w:noWrap/>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Due date</w:t>
            </w:r>
          </w:p>
        </w:tc>
        <w:tc>
          <w:tcPr>
            <w:tcW w:w="1032" w:type="dxa"/>
            <w:tcBorders>
              <w:top w:val="single" w:sz="4" w:space="0" w:color="000000"/>
              <w:left w:val="single" w:sz="4" w:space="0" w:color="auto"/>
              <w:bottom w:val="single" w:sz="4" w:space="0" w:color="auto"/>
              <w:right w:val="single" w:sz="4" w:space="0" w:color="auto"/>
            </w:tcBorders>
            <w:shd w:val="clear" w:color="000000" w:fill="FFFFFF"/>
            <w:noWrap/>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Last updated</w:t>
            </w:r>
          </w:p>
        </w:tc>
        <w:tc>
          <w:tcPr>
            <w:tcW w:w="714" w:type="dxa"/>
            <w:tcBorders>
              <w:top w:val="single" w:sz="4" w:space="0" w:color="000000"/>
              <w:left w:val="single" w:sz="4" w:space="0" w:color="auto"/>
              <w:bottom w:val="single" w:sz="4" w:space="0" w:color="auto"/>
              <w:right w:val="single" w:sz="4" w:space="0" w:color="auto"/>
            </w:tcBorders>
            <w:shd w:val="clear" w:color="000000" w:fill="FFFFFF"/>
            <w:noWrap/>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Status</w:t>
            </w:r>
          </w:p>
        </w:tc>
        <w:tc>
          <w:tcPr>
            <w:tcW w:w="1230" w:type="dxa"/>
            <w:tcBorders>
              <w:top w:val="single" w:sz="4" w:space="0" w:color="000000"/>
              <w:left w:val="single" w:sz="4" w:space="0" w:color="auto"/>
              <w:bottom w:val="single" w:sz="4" w:space="0" w:color="auto"/>
              <w:right w:val="nil"/>
            </w:tcBorders>
            <w:shd w:val="clear" w:color="000000" w:fill="FFFFFF"/>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Desired outcome</w:t>
            </w:r>
          </w:p>
        </w:tc>
        <w:tc>
          <w:tcPr>
            <w:tcW w:w="1122" w:type="dxa"/>
            <w:tcBorders>
              <w:top w:val="single" w:sz="4" w:space="0" w:color="000000"/>
              <w:left w:val="single" w:sz="4" w:space="0" w:color="auto"/>
              <w:bottom w:val="single" w:sz="4" w:space="0" w:color="auto"/>
              <w:right w:val="nil"/>
            </w:tcBorders>
            <w:shd w:val="clear" w:color="000000" w:fill="FFFFFF"/>
            <w:vAlign w:val="bottom"/>
            <w:hideMark/>
          </w:tcPr>
          <w:p w:rsidR="007A275A" w:rsidRPr="007A275A" w:rsidRDefault="007A275A" w:rsidP="007A275A">
            <w:pPr>
              <w:spacing w:after="0" w:line="240" w:lineRule="auto"/>
              <w:jc w:val="center"/>
              <w:rPr>
                <w:rFonts w:ascii="Arial" w:eastAsia="Times New Roman" w:hAnsi="Arial" w:cs="Arial"/>
                <w:b/>
                <w:bCs/>
                <w:lang w:eastAsia="en-GB"/>
              </w:rPr>
            </w:pPr>
            <w:r w:rsidRPr="007A275A">
              <w:rPr>
                <w:rFonts w:ascii="Arial" w:eastAsia="Times New Roman" w:hAnsi="Arial" w:cs="Arial"/>
                <w:b/>
                <w:bCs/>
                <w:lang w:eastAsia="en-GB"/>
              </w:rPr>
              <w:t>Enablers</w:t>
            </w:r>
          </w:p>
        </w:tc>
      </w:tr>
      <w:tr w:rsidR="007A275A" w:rsidRPr="007A275A" w:rsidTr="007A275A">
        <w:trPr>
          <w:trHeight w:val="840"/>
        </w:trPr>
        <w:tc>
          <w:tcPr>
            <w:tcW w:w="833" w:type="dxa"/>
            <w:tcBorders>
              <w:top w:val="single" w:sz="4" w:space="0" w:color="auto"/>
              <w:left w:val="single" w:sz="4" w:space="0" w:color="000000"/>
              <w:bottom w:val="single" w:sz="4" w:space="0" w:color="auto"/>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b/>
                <w:bCs/>
                <w:color w:val="000000"/>
                <w:lang w:eastAsia="en-GB"/>
              </w:rPr>
            </w:pPr>
            <w:r w:rsidRPr="007A275A">
              <w:rPr>
                <w:rFonts w:ascii="Arial" w:eastAsia="Times New Roman" w:hAnsi="Arial" w:cs="Arial"/>
                <w:b/>
                <w:bCs/>
                <w:color w:val="000000"/>
                <w:lang w:eastAsia="en-GB"/>
              </w:rPr>
              <w:t>Learning from patient safety incidents</w:t>
            </w:r>
          </w:p>
        </w:tc>
        <w:tc>
          <w:tcPr>
            <w:tcW w:w="1139" w:type="dxa"/>
            <w:tcBorders>
              <w:top w:val="single" w:sz="4" w:space="0" w:color="auto"/>
              <w:left w:val="single" w:sz="8" w:space="0" w:color="auto"/>
              <w:bottom w:val="single" w:sz="4" w:space="0" w:color="auto"/>
              <w:right w:val="single" w:sz="4" w:space="0" w:color="auto"/>
            </w:tcBorders>
            <w:shd w:val="clear" w:color="D2DEEC" w:fill="D2DEEC"/>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 xml:space="preserve">We will review and strengthen our arrangements for learning from serious incidents. </w:t>
            </w:r>
          </w:p>
        </w:tc>
        <w:tc>
          <w:tcPr>
            <w:tcW w:w="1312" w:type="dxa"/>
            <w:tcBorders>
              <w:top w:val="single" w:sz="4" w:space="0" w:color="auto"/>
              <w:left w:val="single" w:sz="4" w:space="0" w:color="auto"/>
              <w:bottom w:val="single" w:sz="4" w:space="0" w:color="auto"/>
              <w:right w:val="single" w:sz="4" w:space="0" w:color="auto"/>
            </w:tcBorders>
            <w:shd w:val="clear" w:color="D2DEEC" w:fill="D2DEEC"/>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Review of process and paper to PSC</w:t>
            </w:r>
          </w:p>
        </w:tc>
        <w:tc>
          <w:tcPr>
            <w:tcW w:w="112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Assistant Head of Concerns</w:t>
            </w:r>
          </w:p>
        </w:tc>
        <w:tc>
          <w:tcPr>
            <w:tcW w:w="14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Nicola Anthony</w:t>
            </w:r>
          </w:p>
        </w:tc>
        <w:tc>
          <w:tcPr>
            <w:tcW w:w="957" w:type="dxa"/>
            <w:tcBorders>
              <w:top w:val="single" w:sz="4" w:space="0" w:color="auto"/>
              <w:left w:val="single" w:sz="4" w:space="0" w:color="auto"/>
              <w:bottom w:val="single" w:sz="4" w:space="0" w:color="auto"/>
              <w:right w:val="single" w:sz="4" w:space="0" w:color="auto"/>
            </w:tcBorders>
            <w:shd w:val="clear" w:color="D2DEEC" w:fill="D2DEEC"/>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31/03/2025</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nil"/>
              <w:left w:val="nil"/>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organisational learning and patient safety</w:t>
            </w:r>
          </w:p>
        </w:tc>
        <w:tc>
          <w:tcPr>
            <w:tcW w:w="1122" w:type="dxa"/>
            <w:tcBorders>
              <w:top w:val="nil"/>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WRP national programme on LFER</w:t>
            </w:r>
          </w:p>
        </w:tc>
      </w:tr>
      <w:tr w:rsidR="007A275A" w:rsidRPr="007A275A" w:rsidTr="007A275A">
        <w:trPr>
          <w:trHeight w:val="1000"/>
        </w:trPr>
        <w:tc>
          <w:tcPr>
            <w:tcW w:w="833" w:type="dxa"/>
            <w:tcBorders>
              <w:top w:val="single" w:sz="4" w:space="0" w:color="auto"/>
              <w:left w:val="single" w:sz="4" w:space="0" w:color="000000"/>
              <w:bottom w:val="single" w:sz="4" w:space="0" w:color="auto"/>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b/>
                <w:bCs/>
                <w:color w:val="000000"/>
                <w:lang w:eastAsia="en-GB"/>
              </w:rPr>
            </w:pPr>
            <w:r w:rsidRPr="007A275A">
              <w:rPr>
                <w:rFonts w:ascii="Arial" w:eastAsia="Times New Roman" w:hAnsi="Arial" w:cs="Arial"/>
                <w:b/>
                <w:bCs/>
                <w:color w:val="000000"/>
                <w:lang w:eastAsia="en-GB"/>
              </w:rPr>
              <w:t>Learning from patient safety incidents</w:t>
            </w:r>
          </w:p>
        </w:tc>
        <w:tc>
          <w:tcPr>
            <w:tcW w:w="1139" w:type="dxa"/>
            <w:tcBorders>
              <w:top w:val="nil"/>
              <w:left w:val="single" w:sz="8"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We will adopt an open ‘no blame’ approach to incident investigation and learning in order to achieve a more restorative approach to improvement</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Review of process and paper to PSC</w:t>
            </w:r>
          </w:p>
        </w:tc>
        <w:tc>
          <w:tcPr>
            <w:tcW w:w="112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Assistant Head of Concerns</w:t>
            </w:r>
          </w:p>
        </w:tc>
        <w:tc>
          <w:tcPr>
            <w:tcW w:w="14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Nicola Anthony</w:t>
            </w:r>
          </w:p>
        </w:tc>
        <w:tc>
          <w:tcPr>
            <w:tcW w:w="957"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31/03/2025</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nil"/>
              <w:left w:val="nil"/>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organisational learning, patient safety and staff experience</w:t>
            </w:r>
          </w:p>
        </w:tc>
        <w:tc>
          <w:tcPr>
            <w:tcW w:w="1122" w:type="dxa"/>
            <w:tcBorders>
              <w:top w:val="nil"/>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WRP national programme on LFER</w:t>
            </w:r>
          </w:p>
        </w:tc>
      </w:tr>
      <w:tr w:rsidR="007A275A" w:rsidRPr="007A275A" w:rsidTr="007A275A">
        <w:trPr>
          <w:trHeight w:val="280"/>
        </w:trPr>
        <w:tc>
          <w:tcPr>
            <w:tcW w:w="833" w:type="dxa"/>
            <w:tcBorders>
              <w:top w:val="single" w:sz="4" w:space="0" w:color="auto"/>
              <w:left w:val="single" w:sz="4" w:space="0" w:color="000000"/>
              <w:bottom w:val="single" w:sz="4" w:space="0" w:color="auto"/>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Understanding, measuring and reducing patient mortality</w:t>
            </w:r>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Thematic review of deaths within mental health services</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Review of deaths presented within service group</w:t>
            </w:r>
          </w:p>
        </w:tc>
        <w:tc>
          <w:tcPr>
            <w:tcW w:w="112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Medical director- MH and LD</w:t>
            </w:r>
          </w:p>
        </w:tc>
        <w:tc>
          <w:tcPr>
            <w:tcW w:w="14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Richard Maggs/Marie Williams/Shelley Horwood</w:t>
            </w:r>
          </w:p>
        </w:tc>
        <w:tc>
          <w:tcPr>
            <w:tcW w:w="957"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12/10/2023</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nil"/>
              <w:left w:val="nil"/>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nil"/>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560"/>
        </w:trPr>
        <w:tc>
          <w:tcPr>
            <w:tcW w:w="833" w:type="dxa"/>
            <w:tcBorders>
              <w:top w:val="single" w:sz="4" w:space="0" w:color="auto"/>
              <w:left w:val="single" w:sz="4" w:space="0" w:color="000000"/>
              <w:bottom w:val="single" w:sz="4" w:space="0" w:color="auto"/>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Understanding, measuring and reducing patient mortality</w:t>
            </w:r>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Thematic review of deaths within learning disability services</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Review of deaths presented within service group</w:t>
            </w:r>
          </w:p>
        </w:tc>
        <w:tc>
          <w:tcPr>
            <w:tcW w:w="112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Medical director- MH and LD</w:t>
            </w:r>
          </w:p>
        </w:tc>
        <w:tc>
          <w:tcPr>
            <w:tcW w:w="14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Richard Maggs/Marie Williams/Shelley Horwood</w:t>
            </w:r>
          </w:p>
        </w:tc>
        <w:tc>
          <w:tcPr>
            <w:tcW w:w="957"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19/04/2024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12/10/2023</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nil"/>
              <w:left w:val="nil"/>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nil"/>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560"/>
        </w:trPr>
        <w:tc>
          <w:tcPr>
            <w:tcW w:w="833" w:type="dxa"/>
            <w:tcBorders>
              <w:top w:val="single" w:sz="4" w:space="0" w:color="auto"/>
              <w:left w:val="single" w:sz="4" w:space="0" w:color="000000"/>
              <w:bottom w:val="single" w:sz="4" w:space="0" w:color="auto"/>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SRC101</w:t>
            </w:r>
          </w:p>
        </w:tc>
        <w:tc>
          <w:tcPr>
            <w:tcW w:w="13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b/>
                <w:bCs/>
                <w:color w:val="000000"/>
                <w:lang w:eastAsia="en-GB"/>
              </w:rPr>
            </w:pPr>
            <w:r w:rsidRPr="007A275A">
              <w:rPr>
                <w:rFonts w:ascii="Arial" w:eastAsia="Times New Roman" w:hAnsi="Arial" w:cs="Arial"/>
                <w:b/>
                <w:bCs/>
                <w:color w:val="000000"/>
                <w:lang w:eastAsia="en-GB"/>
              </w:rPr>
              <w:t>Learning from patient safety incidents</w:t>
            </w:r>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 xml:space="preserve">We will review our processes for working with patients and their </w:t>
            </w:r>
            <w:r w:rsidRPr="007A275A">
              <w:rPr>
                <w:rFonts w:ascii="Arial" w:eastAsia="Times New Roman" w:hAnsi="Arial" w:cs="Arial"/>
                <w:color w:val="292829"/>
                <w:sz w:val="20"/>
                <w:szCs w:val="20"/>
                <w:lang w:eastAsia="en-GB"/>
              </w:rPr>
              <w:lastRenderedPageBreak/>
              <w:t>families when things go wrong, i.e. ensure that incidents involving the safety of our patients, complaints, mortality and morbidity reviews are joined up from the patient/family perspective and they have a key and clear point of contact.</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lastRenderedPageBreak/>
              <w:t>Implementation of Duty of Candour</w:t>
            </w:r>
          </w:p>
        </w:tc>
        <w:tc>
          <w:tcPr>
            <w:tcW w:w="112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 xml:space="preserve">Assistant Head of Concerns </w:t>
            </w:r>
          </w:p>
        </w:tc>
        <w:tc>
          <w:tcPr>
            <w:tcW w:w="14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Sue Ford</w:t>
            </w:r>
          </w:p>
        </w:tc>
        <w:tc>
          <w:tcPr>
            <w:tcW w:w="957"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nil"/>
              <w:left w:val="nil"/>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experience</w:t>
            </w:r>
          </w:p>
        </w:tc>
        <w:tc>
          <w:tcPr>
            <w:tcW w:w="1122" w:type="dxa"/>
            <w:tcBorders>
              <w:top w:val="nil"/>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Delivery of Duty of Candour</w:t>
            </w:r>
          </w:p>
        </w:tc>
      </w:tr>
      <w:tr w:rsidR="007A275A" w:rsidRPr="007A275A" w:rsidTr="007A275A">
        <w:trPr>
          <w:trHeight w:val="840"/>
        </w:trPr>
        <w:tc>
          <w:tcPr>
            <w:tcW w:w="833" w:type="dxa"/>
            <w:tcBorders>
              <w:top w:val="single" w:sz="4" w:space="0" w:color="auto"/>
              <w:left w:val="single" w:sz="4" w:space="0" w:color="000000"/>
              <w:bottom w:val="single" w:sz="12" w:space="0" w:color="7369B6"/>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b/>
                <w:bCs/>
                <w:color w:val="000000"/>
                <w:lang w:eastAsia="en-GB"/>
              </w:rPr>
            </w:pPr>
            <w:r w:rsidRPr="007A275A">
              <w:rPr>
                <w:rFonts w:ascii="Arial" w:eastAsia="Times New Roman" w:hAnsi="Arial" w:cs="Arial"/>
                <w:b/>
                <w:bCs/>
                <w:color w:val="000000"/>
                <w:lang w:eastAsia="en-GB"/>
              </w:rPr>
              <w:t>Learning from patient safety incidents</w:t>
            </w:r>
          </w:p>
        </w:tc>
        <w:tc>
          <w:tcPr>
            <w:tcW w:w="1139" w:type="dxa"/>
            <w:tcBorders>
              <w:top w:val="nil"/>
              <w:left w:val="nil"/>
              <w:bottom w:val="single" w:sz="12" w:space="0" w:color="7369B6"/>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We will contribute to national work to ensure that there are effective incident reporting systems in place for independent contractors</w:t>
            </w:r>
          </w:p>
        </w:tc>
        <w:tc>
          <w:tcPr>
            <w:tcW w:w="1312" w:type="dxa"/>
            <w:tcBorders>
              <w:top w:val="nil"/>
              <w:left w:val="nil"/>
              <w:bottom w:val="single" w:sz="12" w:space="0" w:color="7369B6"/>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Contribution to and roll out of national system</w:t>
            </w:r>
          </w:p>
        </w:tc>
        <w:tc>
          <w:tcPr>
            <w:tcW w:w="1122" w:type="dxa"/>
            <w:tcBorders>
              <w:top w:val="nil"/>
              <w:left w:val="nil"/>
              <w:bottom w:val="single" w:sz="12" w:space="0" w:color="7369B6"/>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Assistant Head of Risk and Assurance, CD Primary Care</w:t>
            </w:r>
          </w:p>
        </w:tc>
        <w:tc>
          <w:tcPr>
            <w:tcW w:w="1402" w:type="dxa"/>
            <w:tcBorders>
              <w:top w:val="nil"/>
              <w:left w:val="nil"/>
              <w:bottom w:val="single" w:sz="12" w:space="0" w:color="7369B6"/>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p>
        </w:tc>
        <w:tc>
          <w:tcPr>
            <w:tcW w:w="957" w:type="dxa"/>
            <w:tcBorders>
              <w:top w:val="nil"/>
              <w:left w:val="nil"/>
              <w:bottom w:val="single" w:sz="12" w:space="0" w:color="7369B6"/>
              <w:right w:val="single" w:sz="4" w:space="0" w:color="auto"/>
            </w:tcBorders>
            <w:shd w:val="clear" w:color="auto" w:fill="auto"/>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03/04/2024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29/08/2023</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nil"/>
              <w:left w:val="nil"/>
              <w:bottom w:val="single" w:sz="12" w:space="0" w:color="7369B6"/>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122" w:type="dxa"/>
            <w:tcBorders>
              <w:top w:val="nil"/>
              <w:left w:val="single" w:sz="4" w:space="0" w:color="auto"/>
              <w:bottom w:val="single" w:sz="12" w:space="0" w:color="7369B6"/>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Agreed process to dedicate services i</w:t>
            </w:r>
            <w:r>
              <w:rPr>
                <w:rFonts w:ascii="Arial" w:eastAsia="Times New Roman" w:hAnsi="Arial" w:cs="Arial"/>
                <w:color w:val="000000"/>
                <w:lang w:eastAsia="en-GB"/>
              </w:rPr>
              <w:t xml:space="preserve">n </w:t>
            </w:r>
            <w:proofErr w:type="spellStart"/>
            <w:r>
              <w:rPr>
                <w:rFonts w:ascii="Arial" w:eastAsia="Times New Roman" w:hAnsi="Arial" w:cs="Arial"/>
                <w:color w:val="000000"/>
                <w:lang w:eastAsia="en-GB"/>
              </w:rPr>
              <w:t>datix</w:t>
            </w:r>
            <w:proofErr w:type="spellEnd"/>
            <w:r>
              <w:rPr>
                <w:rFonts w:ascii="Arial" w:eastAsia="Times New Roman" w:hAnsi="Arial" w:cs="Arial"/>
                <w:color w:val="000000"/>
                <w:lang w:eastAsia="en-GB"/>
              </w:rPr>
              <w:t xml:space="preserve"> for capture of Independe</w:t>
            </w:r>
            <w:r w:rsidRPr="007A275A">
              <w:rPr>
                <w:rFonts w:ascii="Arial" w:eastAsia="Times New Roman" w:hAnsi="Arial" w:cs="Arial"/>
                <w:color w:val="000000"/>
                <w:lang w:eastAsia="en-GB"/>
              </w:rPr>
              <w:t>nt Contractor incidents. Ongoing work to clear legacy incidents starting.</w:t>
            </w:r>
          </w:p>
        </w:tc>
      </w:tr>
      <w:tr w:rsidR="007A275A" w:rsidRPr="007A275A" w:rsidTr="007A275A">
        <w:trPr>
          <w:trHeight w:val="560"/>
        </w:trPr>
        <w:tc>
          <w:tcPr>
            <w:tcW w:w="833" w:type="dxa"/>
            <w:tcBorders>
              <w:top w:val="single" w:sz="4" w:space="0" w:color="7B9DC8"/>
              <w:left w:val="single" w:sz="4" w:space="0" w:color="000000"/>
              <w:bottom w:val="single" w:sz="4" w:space="0" w:color="auto"/>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SRC102</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lang w:eastAsia="en-GB"/>
              </w:rPr>
            </w:pPr>
            <w:r w:rsidRPr="007A275A">
              <w:rPr>
                <w:rFonts w:ascii="Arial" w:eastAsia="Times New Roman" w:hAnsi="Arial" w:cs="Arial"/>
                <w:b/>
                <w:bCs/>
                <w:color w:val="000000"/>
                <w:lang w:eastAsia="en-GB"/>
              </w:rPr>
              <w:t xml:space="preserve">Preventing </w:t>
            </w:r>
            <w:proofErr w:type="spellStart"/>
            <w:r w:rsidRPr="007A275A">
              <w:rPr>
                <w:rFonts w:ascii="Arial" w:eastAsia="Times New Roman" w:hAnsi="Arial" w:cs="Arial"/>
                <w:b/>
                <w:bCs/>
                <w:color w:val="000000"/>
                <w:lang w:eastAsia="en-GB"/>
              </w:rPr>
              <w:t>Peri</w:t>
            </w:r>
            <w:proofErr w:type="spellEnd"/>
            <w:r w:rsidRPr="007A275A">
              <w:rPr>
                <w:rFonts w:ascii="Arial" w:eastAsia="Times New Roman" w:hAnsi="Arial" w:cs="Arial"/>
                <w:b/>
                <w:bCs/>
                <w:color w:val="000000"/>
                <w:lang w:eastAsia="en-GB"/>
              </w:rPr>
              <w:t>-operative Never Events</w:t>
            </w:r>
          </w:p>
        </w:tc>
        <w:tc>
          <w:tcPr>
            <w:tcW w:w="1139"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We will sustain 95 per cent compliance in the use of the WHO surgical safety checklist</w:t>
            </w:r>
          </w:p>
        </w:tc>
        <w:tc>
          <w:tcPr>
            <w:tcW w:w="131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Monitoring of WHO compliance through audit and incident review</w:t>
            </w:r>
          </w:p>
        </w:tc>
        <w:tc>
          <w:tcPr>
            <w:tcW w:w="1122" w:type="dxa"/>
            <w:tcBorders>
              <w:top w:val="single" w:sz="4" w:space="0" w:color="7B9DC8"/>
              <w:left w:val="single" w:sz="4" w:space="0" w:color="auto"/>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Service group medical directors (Morriston, NPTSSG)</w:t>
            </w:r>
          </w:p>
        </w:tc>
        <w:tc>
          <w:tcPr>
            <w:tcW w:w="1402" w:type="dxa"/>
            <w:tcBorders>
              <w:top w:val="single" w:sz="4" w:space="0" w:color="7B9DC8"/>
              <w:left w:val="single" w:sz="4" w:space="0" w:color="auto"/>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Mark Ramsey, Dougie Russel</w:t>
            </w:r>
          </w:p>
        </w:tc>
        <w:tc>
          <w:tcPr>
            <w:tcW w:w="957"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11/10/2023</w:t>
            </w:r>
          </w:p>
        </w:tc>
        <w:tc>
          <w:tcPr>
            <w:tcW w:w="714" w:type="dxa"/>
            <w:tcBorders>
              <w:top w:val="single" w:sz="4" w:space="0" w:color="auto"/>
              <w:left w:val="single" w:sz="4" w:space="0" w:color="auto"/>
              <w:bottom w:val="single" w:sz="4" w:space="0" w:color="auto"/>
              <w:right w:val="single" w:sz="4" w:space="0" w:color="auto"/>
            </w:tcBorders>
            <w:shd w:val="clear" w:color="auto" w:fill="FF00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Off -track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960"/>
        </w:trPr>
        <w:tc>
          <w:tcPr>
            <w:tcW w:w="833" w:type="dxa"/>
            <w:tcBorders>
              <w:top w:val="single" w:sz="4" w:space="0" w:color="auto"/>
              <w:left w:val="single" w:sz="4" w:space="0" w:color="000000"/>
              <w:bottom w:val="single" w:sz="12" w:space="0" w:color="7030A0"/>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SRC103</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lang w:eastAsia="en-GB"/>
              </w:rPr>
            </w:pPr>
            <w:r w:rsidRPr="007A275A">
              <w:rPr>
                <w:rFonts w:ascii="Arial" w:eastAsia="Times New Roman" w:hAnsi="Arial" w:cs="Arial"/>
                <w:b/>
                <w:bCs/>
                <w:color w:val="000000"/>
                <w:lang w:eastAsia="en-GB"/>
              </w:rPr>
              <w:t>Medicines safety including at the point transfer of care (medicines optimisation)</w:t>
            </w:r>
          </w:p>
        </w:tc>
        <w:tc>
          <w:tcPr>
            <w:tcW w:w="1139" w:type="dxa"/>
            <w:tcBorders>
              <w:top w:val="nil"/>
              <w:left w:val="nil"/>
              <w:bottom w:val="single" w:sz="12" w:space="0" w:color="7030A0"/>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We will set a target for the number of patients with complex medicines referred for a post discharge community pharmacy review</w:t>
            </w:r>
          </w:p>
        </w:tc>
        <w:tc>
          <w:tcPr>
            <w:tcW w:w="1312" w:type="dxa"/>
            <w:tcBorders>
              <w:top w:val="nil"/>
              <w:left w:val="nil"/>
              <w:bottom w:val="single" w:sz="12" w:space="0" w:color="7030A0"/>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xml:space="preserve">Target </w:t>
            </w:r>
            <w:proofErr w:type="spellStart"/>
            <w:r w:rsidRPr="007A275A">
              <w:rPr>
                <w:rFonts w:ascii="Arial" w:eastAsia="Times New Roman" w:hAnsi="Arial" w:cs="Arial"/>
                <w:color w:val="000000"/>
                <w:lang w:eastAsia="en-GB"/>
              </w:rPr>
              <w:t>developped</w:t>
            </w:r>
            <w:proofErr w:type="spellEnd"/>
            <w:r w:rsidRPr="007A275A">
              <w:rPr>
                <w:rFonts w:ascii="Arial" w:eastAsia="Times New Roman" w:hAnsi="Arial" w:cs="Arial"/>
                <w:color w:val="000000"/>
                <w:lang w:eastAsia="en-GB"/>
              </w:rPr>
              <w:t>, method of measurement agreed, communication with Community Pharmacies</w:t>
            </w:r>
          </w:p>
        </w:tc>
        <w:tc>
          <w:tcPr>
            <w:tcW w:w="1122" w:type="dxa"/>
            <w:tcBorders>
              <w:top w:val="nil"/>
              <w:left w:val="nil"/>
              <w:bottom w:val="single" w:sz="12" w:space="0" w:color="7030A0"/>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Head of Primary Care</w:t>
            </w:r>
          </w:p>
        </w:tc>
        <w:tc>
          <w:tcPr>
            <w:tcW w:w="1402" w:type="dxa"/>
            <w:tcBorders>
              <w:top w:val="single" w:sz="4" w:space="0" w:color="7B9DC8"/>
              <w:left w:val="single" w:sz="4" w:space="0" w:color="auto"/>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Sam Page</w:t>
            </w:r>
          </w:p>
        </w:tc>
        <w:tc>
          <w:tcPr>
            <w:tcW w:w="957"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27/07/2023</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nil"/>
              <w:left w:val="single" w:sz="4" w:space="0" w:color="auto"/>
              <w:bottom w:val="single" w:sz="12" w:space="0" w:color="7030A0"/>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560"/>
        </w:trPr>
        <w:tc>
          <w:tcPr>
            <w:tcW w:w="833" w:type="dxa"/>
            <w:tcBorders>
              <w:top w:val="single" w:sz="4" w:space="0" w:color="7B9DC8"/>
              <w:left w:val="single" w:sz="4" w:space="0" w:color="000000"/>
              <w:bottom w:val="single" w:sz="4" w:space="0" w:color="auto"/>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lang w:eastAsia="en-GB"/>
              </w:rPr>
            </w:pPr>
            <w:r w:rsidRPr="007A275A">
              <w:rPr>
                <w:rFonts w:ascii="Arial" w:eastAsia="Times New Roman" w:hAnsi="Arial" w:cs="Arial"/>
                <w:b/>
                <w:bCs/>
                <w:color w:val="000000"/>
                <w:lang w:eastAsia="en-GB"/>
              </w:rPr>
              <w:t>Medicines safety including at the point transfer of care (medicines optimisation)</w:t>
            </w:r>
          </w:p>
        </w:tc>
        <w:tc>
          <w:tcPr>
            <w:tcW w:w="1139"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“Get it on time”- develop an approach to ensure patients receive their Parkinson’s medicines within 30 minutes of the prescribed time</w:t>
            </w:r>
          </w:p>
        </w:tc>
        <w:tc>
          <w:tcPr>
            <w:tcW w:w="131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 xml:space="preserve">Programme </w:t>
            </w:r>
            <w:proofErr w:type="spellStart"/>
            <w:r w:rsidRPr="007A275A">
              <w:rPr>
                <w:rFonts w:ascii="Arial" w:eastAsia="Times New Roman" w:hAnsi="Arial" w:cs="Arial"/>
                <w:color w:val="000000"/>
                <w:sz w:val="20"/>
                <w:szCs w:val="20"/>
                <w:lang w:eastAsia="en-GB"/>
              </w:rPr>
              <w:t>developped</w:t>
            </w:r>
            <w:proofErr w:type="spellEnd"/>
          </w:p>
        </w:tc>
        <w:tc>
          <w:tcPr>
            <w:tcW w:w="1122" w:type="dxa"/>
            <w:tcBorders>
              <w:top w:val="single" w:sz="4" w:space="0" w:color="7B9DC8"/>
              <w:left w:val="single" w:sz="4" w:space="0" w:color="auto"/>
              <w:bottom w:val="single" w:sz="4" w:space="0" w:color="auto"/>
              <w:right w:val="nil"/>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Medicine</w:t>
            </w:r>
          </w:p>
        </w:tc>
        <w:tc>
          <w:tcPr>
            <w:tcW w:w="1402" w:type="dxa"/>
            <w:tcBorders>
              <w:top w:val="single" w:sz="4" w:space="0" w:color="7B9DC8"/>
              <w:left w:val="single" w:sz="4" w:space="0" w:color="auto"/>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Dave West</w:t>
            </w:r>
          </w:p>
        </w:tc>
        <w:tc>
          <w:tcPr>
            <w:tcW w:w="957"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27/07/2023</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765"/>
        </w:trPr>
        <w:tc>
          <w:tcPr>
            <w:tcW w:w="833" w:type="dxa"/>
            <w:tcBorders>
              <w:top w:val="single" w:sz="4" w:space="0" w:color="auto"/>
              <w:left w:val="single" w:sz="4" w:space="0" w:color="000000"/>
              <w:bottom w:val="single" w:sz="4" w:space="0" w:color="auto"/>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lang w:eastAsia="en-GB"/>
              </w:rPr>
            </w:pPr>
            <w:r w:rsidRPr="007A275A">
              <w:rPr>
                <w:rFonts w:ascii="Arial" w:eastAsia="Times New Roman" w:hAnsi="Arial" w:cs="Arial"/>
                <w:b/>
                <w:bCs/>
                <w:color w:val="000000"/>
                <w:lang w:eastAsia="en-GB"/>
              </w:rPr>
              <w:t>Medicines safety including at the point transfer of care (medicines optimisation)</w:t>
            </w:r>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Utilisation of the electronic prescribing and medicines administration system to audit and improve the quality of medicines management across the Health Board.</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Reporting into Medicines Management Board</w:t>
            </w:r>
          </w:p>
        </w:tc>
        <w:tc>
          <w:tcPr>
            <w:tcW w:w="1122" w:type="dxa"/>
            <w:tcBorders>
              <w:top w:val="single" w:sz="4" w:space="0" w:color="auto"/>
              <w:left w:val="single" w:sz="4" w:space="0" w:color="auto"/>
              <w:bottom w:val="single" w:sz="4" w:space="0" w:color="7B9DC8"/>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Digital</w:t>
            </w:r>
          </w:p>
        </w:tc>
        <w:tc>
          <w:tcPr>
            <w:tcW w:w="1402" w:type="dxa"/>
            <w:tcBorders>
              <w:top w:val="single" w:sz="4" w:space="0" w:color="7B9DC8"/>
              <w:left w:val="single" w:sz="4" w:space="0" w:color="auto"/>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xml:space="preserve">Dee Roberts/Tracey Bell </w:t>
            </w:r>
          </w:p>
        </w:tc>
        <w:tc>
          <w:tcPr>
            <w:tcW w:w="957"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31/03/2025</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31/07/2023</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nil"/>
              <w:left w:val="nil"/>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1750"/>
        </w:trPr>
        <w:tc>
          <w:tcPr>
            <w:tcW w:w="833" w:type="dxa"/>
            <w:tcBorders>
              <w:top w:val="single" w:sz="4" w:space="0" w:color="auto"/>
              <w:left w:val="single" w:sz="4" w:space="0" w:color="000000"/>
              <w:bottom w:val="single" w:sz="4" w:space="0" w:color="auto"/>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SRC104</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Understanding, measuring and reducing patient mortality</w:t>
            </w:r>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We will identify the top ten ca</w:t>
            </w:r>
            <w:r w:rsidRPr="007A275A">
              <w:rPr>
                <w:rFonts w:ascii="Arial" w:eastAsia="Times New Roman" w:hAnsi="Arial" w:cs="Arial"/>
                <w:color w:val="000000"/>
                <w:sz w:val="20"/>
                <w:szCs w:val="20"/>
                <w:lang w:eastAsia="en-GB"/>
              </w:rPr>
              <w:t>u</w:t>
            </w:r>
            <w:r>
              <w:rPr>
                <w:rFonts w:ascii="Arial" w:eastAsia="Times New Roman" w:hAnsi="Arial" w:cs="Arial"/>
                <w:color w:val="000000"/>
                <w:sz w:val="20"/>
                <w:szCs w:val="20"/>
                <w:lang w:eastAsia="en-GB"/>
              </w:rPr>
              <w:t>s</w:t>
            </w:r>
            <w:r w:rsidRPr="007A275A">
              <w:rPr>
                <w:rFonts w:ascii="Arial" w:eastAsia="Times New Roman" w:hAnsi="Arial" w:cs="Arial"/>
                <w:color w:val="000000"/>
                <w:sz w:val="20"/>
                <w:szCs w:val="20"/>
                <w:lang w:eastAsia="en-GB"/>
              </w:rPr>
              <w:t>es of adult m</w:t>
            </w:r>
            <w:r>
              <w:rPr>
                <w:rFonts w:ascii="Arial" w:eastAsia="Times New Roman" w:hAnsi="Arial" w:cs="Arial"/>
                <w:color w:val="000000"/>
                <w:sz w:val="20"/>
                <w:szCs w:val="20"/>
                <w:lang w:eastAsia="en-GB"/>
              </w:rPr>
              <w:t>ortality; from this we will dev</w:t>
            </w:r>
            <w:r w:rsidRPr="007A275A">
              <w:rPr>
                <w:rFonts w:ascii="Arial" w:eastAsia="Times New Roman" w:hAnsi="Arial" w:cs="Arial"/>
                <w:color w:val="000000"/>
                <w:sz w:val="20"/>
                <w:szCs w:val="20"/>
                <w:lang w:eastAsia="en-GB"/>
              </w:rPr>
              <w:t>e</w:t>
            </w:r>
            <w:r>
              <w:rPr>
                <w:rFonts w:ascii="Arial" w:eastAsia="Times New Roman" w:hAnsi="Arial" w:cs="Arial"/>
                <w:color w:val="000000"/>
                <w:sz w:val="20"/>
                <w:szCs w:val="20"/>
                <w:lang w:eastAsia="en-GB"/>
              </w:rPr>
              <w:t>l</w:t>
            </w:r>
            <w:r w:rsidRPr="007A275A">
              <w:rPr>
                <w:rFonts w:ascii="Arial" w:eastAsia="Times New Roman" w:hAnsi="Arial" w:cs="Arial"/>
                <w:color w:val="000000"/>
                <w:sz w:val="20"/>
                <w:szCs w:val="20"/>
                <w:lang w:eastAsia="en-GB"/>
              </w:rPr>
              <w:t>op learning t</w:t>
            </w:r>
            <w:r>
              <w:rPr>
                <w:rFonts w:ascii="Arial" w:eastAsia="Times New Roman" w:hAnsi="Arial" w:cs="Arial"/>
                <w:color w:val="000000"/>
                <w:sz w:val="20"/>
                <w:szCs w:val="20"/>
                <w:lang w:eastAsia="en-GB"/>
              </w:rPr>
              <w:t>o support and enhance our patie</w:t>
            </w:r>
            <w:r w:rsidRPr="007A275A">
              <w:rPr>
                <w:rFonts w:ascii="Arial" w:eastAsia="Times New Roman" w:hAnsi="Arial" w:cs="Arial"/>
                <w:color w:val="000000"/>
                <w:sz w:val="20"/>
                <w:szCs w:val="20"/>
                <w:lang w:eastAsia="en-GB"/>
              </w:rPr>
              <w:t>n</w:t>
            </w:r>
            <w:r>
              <w:rPr>
                <w:rFonts w:ascii="Arial" w:eastAsia="Times New Roman" w:hAnsi="Arial" w:cs="Arial"/>
                <w:color w:val="000000"/>
                <w:sz w:val="20"/>
                <w:szCs w:val="20"/>
                <w:lang w:eastAsia="en-GB"/>
              </w:rPr>
              <w:t>t</w:t>
            </w:r>
            <w:r w:rsidRPr="007A275A">
              <w:rPr>
                <w:rFonts w:ascii="Arial" w:eastAsia="Times New Roman" w:hAnsi="Arial" w:cs="Arial"/>
                <w:color w:val="000000"/>
                <w:sz w:val="20"/>
                <w:szCs w:val="20"/>
                <w:lang w:eastAsia="en-GB"/>
              </w:rPr>
              <w:t>s safety and quality improvement programmes</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Development of mortality action plan based on top 10 themes. Feedback from learning into Patient Safety Congress programme</w:t>
            </w:r>
          </w:p>
        </w:tc>
        <w:tc>
          <w:tcPr>
            <w:tcW w:w="1122" w:type="dxa"/>
            <w:tcBorders>
              <w:top w:val="single" w:sz="4" w:space="0" w:color="auto"/>
              <w:left w:val="nil"/>
              <w:bottom w:val="single" w:sz="4" w:space="0" w:color="auto"/>
              <w:right w:val="nil"/>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Deputy Executive Medical Director</w:t>
            </w:r>
          </w:p>
        </w:tc>
        <w:tc>
          <w:tcPr>
            <w:tcW w:w="1402" w:type="dxa"/>
            <w:tcBorders>
              <w:top w:val="nil"/>
              <w:left w:val="single" w:sz="4" w:space="0" w:color="auto"/>
              <w:bottom w:val="single" w:sz="4" w:space="0" w:color="auto"/>
              <w:right w:val="nil"/>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Raj Krishnan</w:t>
            </w:r>
          </w:p>
        </w:tc>
        <w:tc>
          <w:tcPr>
            <w:tcW w:w="957" w:type="dxa"/>
            <w:tcBorders>
              <w:top w:val="nil"/>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14/04/2024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nil"/>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1215"/>
        </w:trPr>
        <w:tc>
          <w:tcPr>
            <w:tcW w:w="833" w:type="dxa"/>
            <w:tcBorders>
              <w:top w:val="single" w:sz="4" w:space="0" w:color="auto"/>
              <w:left w:val="single" w:sz="4" w:space="0" w:color="000000"/>
              <w:bottom w:val="single" w:sz="4" w:space="0" w:color="auto"/>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Understanding, measuring and reducing patient mortality</w:t>
            </w:r>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Review our maternal and neo-natal mortality data and use this to develop a safety and quality improvement programme</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Development of local processes for gaining assurance within service groups</w:t>
            </w:r>
          </w:p>
        </w:tc>
        <w:tc>
          <w:tcPr>
            <w:tcW w:w="1122" w:type="dxa"/>
            <w:tcBorders>
              <w:top w:val="nil"/>
              <w:left w:val="nil"/>
              <w:bottom w:val="single" w:sz="4" w:space="0" w:color="auto"/>
              <w:right w:val="nil"/>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Deputy Executive Medical Director</w:t>
            </w:r>
          </w:p>
        </w:tc>
        <w:tc>
          <w:tcPr>
            <w:tcW w:w="1402" w:type="dxa"/>
            <w:tcBorders>
              <w:top w:val="nil"/>
              <w:left w:val="single" w:sz="4" w:space="0" w:color="auto"/>
              <w:bottom w:val="single" w:sz="4" w:space="0" w:color="auto"/>
              <w:right w:val="nil"/>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xml:space="preserve"> Sue Jose </w:t>
            </w:r>
          </w:p>
        </w:tc>
        <w:tc>
          <w:tcPr>
            <w:tcW w:w="957" w:type="dxa"/>
            <w:tcBorders>
              <w:top w:val="nil"/>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15/04/2024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nil"/>
              <w:left w:val="nil"/>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870"/>
        </w:trPr>
        <w:tc>
          <w:tcPr>
            <w:tcW w:w="833" w:type="dxa"/>
            <w:tcBorders>
              <w:top w:val="single" w:sz="4" w:space="0" w:color="auto"/>
              <w:left w:val="single" w:sz="4" w:space="0" w:color="000000"/>
              <w:bottom w:val="single" w:sz="4" w:space="0" w:color="auto"/>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SRC105</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 xml:space="preserve">Improving outcomes and learning from National audits, registries, confidential </w:t>
            </w:r>
            <w:proofErr w:type="gramStart"/>
            <w:r w:rsidRPr="007A275A">
              <w:rPr>
                <w:rFonts w:ascii="Arial" w:eastAsia="Times New Roman" w:hAnsi="Arial" w:cs="Arial"/>
                <w:b/>
                <w:bCs/>
                <w:color w:val="000000"/>
                <w:sz w:val="20"/>
                <w:szCs w:val="20"/>
                <w:lang w:eastAsia="en-GB"/>
              </w:rPr>
              <w:t>enquiries .</w:t>
            </w:r>
            <w:proofErr w:type="gramEnd"/>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95 per cent of relevant published NICE guidance will be formally reviewed by the Health Board within 90 days of publication.</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P</w:t>
            </w:r>
            <w:r>
              <w:rPr>
                <w:rFonts w:ascii="Arial" w:eastAsia="Times New Roman" w:hAnsi="Arial" w:cs="Arial"/>
                <w:color w:val="000000"/>
                <w:lang w:eastAsia="en-GB"/>
              </w:rPr>
              <w:t>rocess for review and disseminati</w:t>
            </w:r>
            <w:r w:rsidRPr="007A275A">
              <w:rPr>
                <w:rFonts w:ascii="Arial" w:eastAsia="Times New Roman" w:hAnsi="Arial" w:cs="Arial"/>
                <w:color w:val="000000"/>
                <w:lang w:eastAsia="en-GB"/>
              </w:rPr>
              <w:t>on in place</w:t>
            </w:r>
          </w:p>
        </w:tc>
        <w:tc>
          <w:tcPr>
            <w:tcW w:w="1122" w:type="dxa"/>
            <w:tcBorders>
              <w:top w:val="single" w:sz="4" w:space="0" w:color="auto"/>
              <w:left w:val="single" w:sz="4" w:space="0" w:color="auto"/>
              <w:bottom w:val="single" w:sz="4" w:space="0" w:color="7B9DC8"/>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Deputy Executive Medical Director</w:t>
            </w:r>
          </w:p>
        </w:tc>
        <w:tc>
          <w:tcPr>
            <w:tcW w:w="1402" w:type="dxa"/>
            <w:tcBorders>
              <w:top w:val="single" w:sz="4" w:space="0" w:color="auto"/>
              <w:left w:val="single" w:sz="4" w:space="0" w:color="auto"/>
              <w:bottom w:val="single" w:sz="4" w:space="0" w:color="7B9DC8"/>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Raj K</w:t>
            </w:r>
            <w:r w:rsidRPr="007A275A">
              <w:rPr>
                <w:rFonts w:ascii="Arial" w:eastAsia="Times New Roman" w:hAnsi="Arial" w:cs="Arial"/>
                <w:color w:val="000000"/>
                <w:lang w:eastAsia="en-GB"/>
              </w:rPr>
              <w:t>rishnan</w:t>
            </w:r>
          </w:p>
        </w:tc>
        <w:tc>
          <w:tcPr>
            <w:tcW w:w="957"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nil"/>
              <w:left w:val="nil"/>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1680"/>
        </w:trPr>
        <w:tc>
          <w:tcPr>
            <w:tcW w:w="833" w:type="dxa"/>
            <w:tcBorders>
              <w:top w:val="single" w:sz="4" w:space="0" w:color="auto"/>
              <w:left w:val="single" w:sz="4" w:space="0" w:color="000000"/>
              <w:bottom w:val="single" w:sz="12" w:space="0" w:color="7030A0"/>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Improving outcomes and learning from National audits, registries, confidential enquiries.</w:t>
            </w:r>
          </w:p>
        </w:tc>
        <w:tc>
          <w:tcPr>
            <w:tcW w:w="1139" w:type="dxa"/>
            <w:tcBorders>
              <w:top w:val="nil"/>
              <w:left w:val="nil"/>
              <w:bottom w:val="single" w:sz="12" w:space="0" w:color="7030A0"/>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All clinical services (at sub-specialty level) will participate regularly in clinical audit (measured by registered clinical audit activity during each year of this strategy)</w:t>
            </w:r>
          </w:p>
        </w:tc>
        <w:tc>
          <w:tcPr>
            <w:tcW w:w="1312" w:type="dxa"/>
            <w:tcBorders>
              <w:top w:val="nil"/>
              <w:left w:val="nil"/>
              <w:bottom w:val="single" w:sz="12" w:space="0" w:color="7030A0"/>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Audits completed and learning shared</w:t>
            </w:r>
          </w:p>
        </w:tc>
        <w:tc>
          <w:tcPr>
            <w:tcW w:w="1122" w:type="dxa"/>
            <w:tcBorders>
              <w:top w:val="single" w:sz="4" w:space="0" w:color="auto"/>
              <w:left w:val="nil"/>
              <w:bottom w:val="single" w:sz="4" w:space="0" w:color="auto"/>
              <w:right w:val="nil"/>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Deputy Executive Medical Director</w:t>
            </w:r>
          </w:p>
        </w:tc>
        <w:tc>
          <w:tcPr>
            <w:tcW w:w="1402" w:type="dxa"/>
            <w:tcBorders>
              <w:top w:val="single" w:sz="4" w:space="0" w:color="auto"/>
              <w:left w:val="single" w:sz="4" w:space="0" w:color="auto"/>
              <w:bottom w:val="single" w:sz="4" w:space="0" w:color="7B9DC8"/>
              <w:right w:val="nil"/>
            </w:tcBorders>
            <w:shd w:val="clear" w:color="auto" w:fill="auto"/>
            <w:hideMark/>
          </w:tcPr>
          <w:p w:rsidR="007A275A" w:rsidRPr="007A275A" w:rsidRDefault="007A275A" w:rsidP="007A275A">
            <w:pPr>
              <w:spacing w:after="0" w:line="240" w:lineRule="auto"/>
              <w:rPr>
                <w:rFonts w:ascii="Calibri" w:eastAsia="Times New Roman" w:hAnsi="Calibri" w:cs="Calibri"/>
                <w:color w:val="000000"/>
                <w:sz w:val="24"/>
                <w:szCs w:val="24"/>
                <w:lang w:eastAsia="en-GB"/>
              </w:rPr>
            </w:pPr>
            <w:r w:rsidRPr="007A275A">
              <w:rPr>
                <w:rFonts w:ascii="Calibri" w:eastAsia="Times New Roman" w:hAnsi="Calibri" w:cs="Calibri"/>
                <w:color w:val="000000"/>
                <w:sz w:val="24"/>
                <w:szCs w:val="24"/>
                <w:lang w:eastAsia="en-GB"/>
              </w:rPr>
              <w:t>Mark Ramsey,  Dougie Russell,  Ceri Todd,   Richard Mags</w:t>
            </w:r>
          </w:p>
        </w:tc>
        <w:tc>
          <w:tcPr>
            <w:tcW w:w="957" w:type="dxa"/>
            <w:tcBorders>
              <w:top w:val="nil"/>
              <w:left w:val="single" w:sz="4" w:space="0" w:color="auto"/>
              <w:bottom w:val="single" w:sz="12" w:space="0" w:color="7030A0"/>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31/03/2025</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Increased assurance and learning</w:t>
            </w:r>
          </w:p>
        </w:tc>
        <w:tc>
          <w:tcPr>
            <w:tcW w:w="1122" w:type="dxa"/>
            <w:tcBorders>
              <w:top w:val="nil"/>
              <w:left w:val="single" w:sz="4" w:space="0" w:color="auto"/>
              <w:bottom w:val="single" w:sz="12" w:space="0" w:color="7030A0"/>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1100"/>
        </w:trPr>
        <w:tc>
          <w:tcPr>
            <w:tcW w:w="833" w:type="dxa"/>
            <w:tcBorders>
              <w:top w:val="single" w:sz="4" w:space="0" w:color="7B9DC8"/>
              <w:left w:val="single" w:sz="4" w:space="0" w:color="000000"/>
              <w:bottom w:val="single" w:sz="4" w:space="0" w:color="auto"/>
              <w:right w:val="single" w:sz="4" w:space="0" w:color="auto"/>
            </w:tcBorders>
            <w:shd w:val="clear" w:color="000000" w:fill="FFFFFF"/>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SRC106</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Using data and benchmarking intelligence to understand variation in outcomes</w:t>
            </w:r>
          </w:p>
        </w:tc>
        <w:tc>
          <w:tcPr>
            <w:tcW w:w="1139"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To develop a quality dashboard for the organisation and service groups that give people live access to the quality information they need</w:t>
            </w:r>
          </w:p>
        </w:tc>
        <w:tc>
          <w:tcPr>
            <w:tcW w:w="131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Development and launch of dashboard</w:t>
            </w:r>
          </w:p>
        </w:tc>
        <w:tc>
          <w:tcPr>
            <w:tcW w:w="1122" w:type="dxa"/>
            <w:tcBorders>
              <w:top w:val="single" w:sz="4" w:space="0" w:color="7B9DC8"/>
              <w:left w:val="single" w:sz="4" w:space="0" w:color="auto"/>
              <w:bottom w:val="single" w:sz="4" w:space="0" w:color="auto"/>
              <w:right w:val="single" w:sz="4" w:space="0" w:color="auto"/>
            </w:tcBorders>
            <w:shd w:val="clear" w:color="D2DEEC" w:fill="D2DEEC"/>
            <w:vAlign w:val="center"/>
            <w:hideMark/>
          </w:tcPr>
          <w:p w:rsidR="007A275A" w:rsidRPr="007A275A" w:rsidRDefault="007A275A" w:rsidP="007A275A">
            <w:pPr>
              <w:spacing w:after="0" w:line="240" w:lineRule="auto"/>
              <w:jc w:val="center"/>
              <w:rPr>
                <w:rFonts w:ascii="Calibri" w:eastAsia="Times New Roman" w:hAnsi="Calibri" w:cs="Calibri"/>
                <w:color w:val="000000"/>
                <w:lang w:eastAsia="en-GB"/>
              </w:rPr>
            </w:pPr>
            <w:r w:rsidRPr="007A275A">
              <w:rPr>
                <w:rFonts w:ascii="Calibri" w:eastAsia="Times New Roman" w:hAnsi="Calibri" w:cs="Calibri"/>
                <w:color w:val="000000"/>
                <w:lang w:eastAsia="en-GB"/>
              </w:rPr>
              <w:t>Business Intelligence Partner</w:t>
            </w:r>
          </w:p>
        </w:tc>
        <w:tc>
          <w:tcPr>
            <w:tcW w:w="1402" w:type="dxa"/>
            <w:tcBorders>
              <w:top w:val="single" w:sz="4" w:space="0" w:color="7B9DC8"/>
              <w:left w:val="single" w:sz="4" w:space="0" w:color="auto"/>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Dai Williams</w:t>
            </w:r>
          </w:p>
        </w:tc>
        <w:tc>
          <w:tcPr>
            <w:tcW w:w="957"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31/03/2024</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06/09/2023</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increased use of data to support patient safety and outcomes</w:t>
            </w:r>
          </w:p>
        </w:tc>
        <w:tc>
          <w:tcPr>
            <w:tcW w:w="1122"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Beta version launched July 2023</w:t>
            </w:r>
          </w:p>
        </w:tc>
      </w:tr>
      <w:tr w:rsidR="007A275A" w:rsidRPr="007A275A" w:rsidTr="007A275A">
        <w:trPr>
          <w:trHeight w:val="1000"/>
        </w:trPr>
        <w:tc>
          <w:tcPr>
            <w:tcW w:w="833" w:type="dxa"/>
            <w:tcBorders>
              <w:top w:val="single" w:sz="4" w:space="0" w:color="auto"/>
              <w:left w:val="single" w:sz="4" w:space="0" w:color="000000"/>
              <w:bottom w:val="single" w:sz="4" w:space="0" w:color="auto"/>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Using data and benchmarking intelligence to understand variation in outcomes</w:t>
            </w:r>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Review the current arrangements for the generation and reporting of quality, experience, outcome and effectiveness in order to provide reliable, accurate and timely information on the quality of our care</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xml:space="preserve"> Review of quality measures across HB to support Duty of Quality</w:t>
            </w:r>
          </w:p>
        </w:tc>
        <w:tc>
          <w:tcPr>
            <w:tcW w:w="1122" w:type="dxa"/>
            <w:tcBorders>
              <w:top w:val="single" w:sz="4" w:space="0" w:color="7B9DC8"/>
              <w:left w:val="single" w:sz="4" w:space="0" w:color="auto"/>
              <w:bottom w:val="single" w:sz="4" w:space="0" w:color="auto"/>
              <w:right w:val="single" w:sz="4" w:space="0" w:color="auto"/>
            </w:tcBorders>
            <w:shd w:val="clear" w:color="auto" w:fill="auto"/>
            <w:vAlign w:val="center"/>
            <w:hideMark/>
          </w:tcPr>
          <w:p w:rsidR="007A275A" w:rsidRPr="007A275A" w:rsidRDefault="007A275A" w:rsidP="007A275A">
            <w:pPr>
              <w:spacing w:after="0" w:line="240" w:lineRule="auto"/>
              <w:jc w:val="center"/>
              <w:rPr>
                <w:rFonts w:ascii="Calibri" w:eastAsia="Times New Roman" w:hAnsi="Calibri" w:cs="Calibri"/>
                <w:color w:val="000000"/>
                <w:lang w:eastAsia="en-GB"/>
              </w:rPr>
            </w:pPr>
            <w:r w:rsidRPr="007A275A">
              <w:rPr>
                <w:rFonts w:ascii="Calibri" w:eastAsia="Times New Roman" w:hAnsi="Calibri" w:cs="Calibri"/>
                <w:color w:val="000000"/>
                <w:lang w:eastAsia="en-GB"/>
              </w:rPr>
              <w:t>Head of Quality Safety and Improvement</w:t>
            </w:r>
          </w:p>
        </w:tc>
        <w:tc>
          <w:tcPr>
            <w:tcW w:w="1402" w:type="dxa"/>
            <w:tcBorders>
              <w:top w:val="single" w:sz="4" w:space="0" w:color="7B9DC8"/>
              <w:left w:val="single" w:sz="4" w:space="0" w:color="auto"/>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Angharad Higgins</w:t>
            </w:r>
          </w:p>
        </w:tc>
        <w:tc>
          <w:tcPr>
            <w:tcW w:w="957"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01/04/2023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31/03/2025</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Improv</w:t>
            </w:r>
            <w:r w:rsidRPr="007A275A">
              <w:rPr>
                <w:rFonts w:ascii="Arial" w:eastAsia="Times New Roman" w:hAnsi="Arial" w:cs="Arial"/>
                <w:color w:val="000000"/>
                <w:lang w:eastAsia="en-GB"/>
              </w:rPr>
              <w:t>ed data quality to inform decision making</w:t>
            </w:r>
          </w:p>
        </w:tc>
        <w:tc>
          <w:tcPr>
            <w:tcW w:w="1122" w:type="dxa"/>
            <w:tcBorders>
              <w:top w:val="nil"/>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National dashboard revised and being launched 23.10.23</w:t>
            </w:r>
          </w:p>
        </w:tc>
      </w:tr>
      <w:tr w:rsidR="007A275A" w:rsidRPr="007A275A" w:rsidTr="007A275A">
        <w:trPr>
          <w:trHeight w:val="1000"/>
        </w:trPr>
        <w:tc>
          <w:tcPr>
            <w:tcW w:w="833" w:type="dxa"/>
            <w:tcBorders>
              <w:top w:val="single" w:sz="4" w:space="0" w:color="auto"/>
              <w:left w:val="single" w:sz="4" w:space="0" w:color="000000"/>
              <w:bottom w:val="single" w:sz="4" w:space="0" w:color="auto"/>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Understanding, measuring and reducing patient mortality</w:t>
            </w:r>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Development of safety and improvement programme based on outcome of the review M/H</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Development and delivery of improvement programme</w:t>
            </w:r>
          </w:p>
        </w:tc>
        <w:tc>
          <w:tcPr>
            <w:tcW w:w="112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Medical director- MH and LD</w:t>
            </w:r>
          </w:p>
        </w:tc>
        <w:tc>
          <w:tcPr>
            <w:tcW w:w="14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Richard Maggs/Marie Williams/Shelley Horwood</w:t>
            </w:r>
          </w:p>
        </w:tc>
        <w:tc>
          <w:tcPr>
            <w:tcW w:w="957"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01/10/2023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31/03/2025</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12/10/2023</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nil"/>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r w:rsidR="007A275A" w:rsidRPr="007A275A" w:rsidTr="007A275A">
        <w:trPr>
          <w:trHeight w:val="1000"/>
        </w:trPr>
        <w:tc>
          <w:tcPr>
            <w:tcW w:w="833" w:type="dxa"/>
            <w:tcBorders>
              <w:top w:val="single" w:sz="4" w:space="0" w:color="auto"/>
              <w:left w:val="single" w:sz="4" w:space="0" w:color="000000"/>
              <w:bottom w:val="single" w:sz="4" w:space="0" w:color="auto"/>
              <w:right w:val="single" w:sz="4" w:space="0" w:color="auto"/>
            </w:tcBorders>
            <w:shd w:val="clear" w:color="000000" w:fill="808080"/>
            <w:noWrap/>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1302" w:type="dxa"/>
            <w:tcBorders>
              <w:top w:val="single" w:sz="4" w:space="0" w:color="7B9DC8"/>
              <w:left w:val="single" w:sz="4" w:space="0" w:color="auto"/>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b/>
                <w:bCs/>
                <w:color w:val="000000"/>
                <w:sz w:val="20"/>
                <w:szCs w:val="20"/>
                <w:lang w:eastAsia="en-GB"/>
              </w:rPr>
            </w:pPr>
            <w:r w:rsidRPr="007A275A">
              <w:rPr>
                <w:rFonts w:ascii="Arial" w:eastAsia="Times New Roman" w:hAnsi="Arial" w:cs="Arial"/>
                <w:b/>
                <w:bCs/>
                <w:color w:val="000000"/>
                <w:sz w:val="20"/>
                <w:szCs w:val="20"/>
                <w:lang w:eastAsia="en-GB"/>
              </w:rPr>
              <w:t>Understanding, measuring and reducing patient mortality</w:t>
            </w:r>
          </w:p>
        </w:tc>
        <w:tc>
          <w:tcPr>
            <w:tcW w:w="1139"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000000"/>
                <w:sz w:val="20"/>
                <w:szCs w:val="20"/>
                <w:lang w:eastAsia="en-GB"/>
              </w:rPr>
            </w:pPr>
            <w:r w:rsidRPr="007A275A">
              <w:rPr>
                <w:rFonts w:ascii="Arial" w:eastAsia="Times New Roman" w:hAnsi="Arial" w:cs="Arial"/>
                <w:color w:val="000000"/>
                <w:sz w:val="20"/>
                <w:szCs w:val="20"/>
                <w:lang w:eastAsia="en-GB"/>
              </w:rPr>
              <w:t>Development of safety and improvement programme based on outcome of the review L/Dis</w:t>
            </w:r>
          </w:p>
        </w:tc>
        <w:tc>
          <w:tcPr>
            <w:tcW w:w="1312"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Development and delivery of improvement programme</w:t>
            </w:r>
          </w:p>
        </w:tc>
        <w:tc>
          <w:tcPr>
            <w:tcW w:w="112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Medical director- MH and LD</w:t>
            </w:r>
          </w:p>
        </w:tc>
        <w:tc>
          <w:tcPr>
            <w:tcW w:w="1402" w:type="dxa"/>
            <w:tcBorders>
              <w:top w:val="nil"/>
              <w:left w:val="nil"/>
              <w:bottom w:val="single" w:sz="4" w:space="0" w:color="auto"/>
              <w:right w:val="single" w:sz="4" w:space="0" w:color="auto"/>
            </w:tcBorders>
            <w:shd w:val="clear" w:color="000000" w:fill="FFFFFF"/>
            <w:vAlign w:val="center"/>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Richard Maggs/Marie Williams/Shelley Horwood</w:t>
            </w:r>
          </w:p>
        </w:tc>
        <w:tc>
          <w:tcPr>
            <w:tcW w:w="957" w:type="dxa"/>
            <w:tcBorders>
              <w:top w:val="nil"/>
              <w:left w:val="nil"/>
              <w:bottom w:val="single" w:sz="4" w:space="0" w:color="auto"/>
              <w:right w:val="single" w:sz="4" w:space="0" w:color="auto"/>
            </w:tcBorders>
            <w:shd w:val="clear" w:color="000000" w:fill="FFFFFF"/>
            <w:hideMark/>
          </w:tcPr>
          <w:p w:rsidR="007A275A" w:rsidRPr="007A275A" w:rsidRDefault="007A275A" w:rsidP="007A275A">
            <w:pPr>
              <w:spacing w:after="0" w:line="240" w:lineRule="auto"/>
              <w:rPr>
                <w:rFonts w:ascii="Arial" w:eastAsia="Times New Roman" w:hAnsi="Arial" w:cs="Arial"/>
                <w:color w:val="292829"/>
                <w:sz w:val="20"/>
                <w:szCs w:val="20"/>
                <w:lang w:eastAsia="en-GB"/>
              </w:rPr>
            </w:pPr>
            <w:r w:rsidRPr="007A275A">
              <w:rPr>
                <w:rFonts w:ascii="Arial" w:eastAsia="Times New Roman" w:hAnsi="Arial" w:cs="Arial"/>
                <w:color w:val="292829"/>
                <w:sz w:val="20"/>
                <w:szCs w:val="20"/>
                <w:lang w:eastAsia="en-GB"/>
              </w:rPr>
              <w:t>01/10/2023</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31/03/2025</w:t>
            </w:r>
          </w:p>
        </w:tc>
        <w:tc>
          <w:tcPr>
            <w:tcW w:w="1032" w:type="dxa"/>
            <w:tcBorders>
              <w:top w:val="nil"/>
              <w:left w:val="nil"/>
              <w:bottom w:val="single" w:sz="4" w:space="0" w:color="auto"/>
              <w:right w:val="single" w:sz="4" w:space="0" w:color="auto"/>
            </w:tcBorders>
            <w:shd w:val="clear" w:color="000000" w:fill="FFFFFF"/>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c>
          <w:tcPr>
            <w:tcW w:w="714" w:type="dxa"/>
            <w:tcBorders>
              <w:top w:val="single" w:sz="4" w:space="0" w:color="auto"/>
              <w:left w:val="single" w:sz="4" w:space="0" w:color="auto"/>
              <w:bottom w:val="single" w:sz="4" w:space="0" w:color="auto"/>
              <w:right w:val="single" w:sz="4" w:space="0" w:color="auto"/>
            </w:tcBorders>
            <w:shd w:val="clear" w:color="000000" w:fill="FFFF00"/>
            <w:noWrap/>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On-track</w:t>
            </w:r>
          </w:p>
        </w:tc>
        <w:tc>
          <w:tcPr>
            <w:tcW w:w="1230" w:type="dxa"/>
            <w:tcBorders>
              <w:top w:val="single" w:sz="4" w:space="0" w:color="7B9DC8"/>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Improved patient outcomes</w:t>
            </w:r>
          </w:p>
        </w:tc>
        <w:tc>
          <w:tcPr>
            <w:tcW w:w="1122" w:type="dxa"/>
            <w:tcBorders>
              <w:top w:val="nil"/>
              <w:left w:val="single" w:sz="4" w:space="0" w:color="auto"/>
              <w:bottom w:val="single" w:sz="4" w:space="0" w:color="auto"/>
              <w:right w:val="nil"/>
            </w:tcBorders>
            <w:shd w:val="clear" w:color="000000" w:fill="FFFFFF"/>
            <w:hideMark/>
          </w:tcPr>
          <w:p w:rsidR="007A275A" w:rsidRPr="007A275A" w:rsidRDefault="007A275A" w:rsidP="007A275A">
            <w:pPr>
              <w:spacing w:after="0" w:line="240" w:lineRule="auto"/>
              <w:jc w:val="center"/>
              <w:rPr>
                <w:rFonts w:ascii="Arial" w:eastAsia="Times New Roman" w:hAnsi="Arial" w:cs="Arial"/>
                <w:color w:val="000000"/>
                <w:lang w:eastAsia="en-GB"/>
              </w:rPr>
            </w:pPr>
            <w:r w:rsidRPr="007A275A">
              <w:rPr>
                <w:rFonts w:ascii="Arial" w:eastAsia="Times New Roman" w:hAnsi="Arial" w:cs="Arial"/>
                <w:color w:val="000000"/>
                <w:lang w:eastAsia="en-GB"/>
              </w:rPr>
              <w:t> </w:t>
            </w:r>
          </w:p>
        </w:tc>
      </w:tr>
    </w:tbl>
    <w:tbl>
      <w:tblPr>
        <w:tblStyle w:val="TableGrid"/>
        <w:tblW w:w="0" w:type="auto"/>
        <w:tblLook w:val="04A0" w:firstRow="1" w:lastRow="0" w:firstColumn="1" w:lastColumn="0" w:noHBand="0" w:noVBand="1"/>
      </w:tblPr>
      <w:tblGrid>
        <w:gridCol w:w="15409"/>
      </w:tblGrid>
      <w:tr w:rsidR="00B32E29" w:rsidRPr="00E742B6" w:rsidTr="001E1B14">
        <w:tc>
          <w:tcPr>
            <w:tcW w:w="15409" w:type="dxa"/>
            <w:shd w:val="clear" w:color="auto" w:fill="1F4E79" w:themeFill="accent1" w:themeFillShade="80"/>
          </w:tcPr>
          <w:p w:rsidR="00B32E29" w:rsidRPr="00E742B6" w:rsidRDefault="00B32E29">
            <w:pPr>
              <w:rPr>
                <w:rFonts w:ascii="Arial" w:hAnsi="Arial" w:cs="Arial"/>
                <w:b/>
                <w:sz w:val="24"/>
                <w:szCs w:val="24"/>
              </w:rPr>
            </w:pPr>
            <w:r w:rsidRPr="001E1B14">
              <w:rPr>
                <w:rFonts w:ascii="Arial" w:hAnsi="Arial" w:cs="Arial"/>
                <w:b/>
                <w:color w:val="FFFFFF" w:themeColor="background1"/>
                <w:sz w:val="24"/>
                <w:szCs w:val="24"/>
              </w:rPr>
              <w:t>DELIVERABLES / ACTIONS IN NEXT QUARTER</w:t>
            </w:r>
          </w:p>
        </w:tc>
      </w:tr>
      <w:tr w:rsidR="00B32E29" w:rsidRPr="00E742B6" w:rsidTr="00B32E29">
        <w:tc>
          <w:tcPr>
            <w:tcW w:w="15409" w:type="dxa"/>
          </w:tcPr>
          <w:p w:rsidR="00B32E29" w:rsidRPr="007A275A" w:rsidRDefault="007A275A" w:rsidP="007A275A">
            <w:pPr>
              <w:pStyle w:val="ListParagraph"/>
              <w:numPr>
                <w:ilvl w:val="0"/>
                <w:numId w:val="3"/>
              </w:numPr>
              <w:rPr>
                <w:szCs w:val="24"/>
              </w:rPr>
            </w:pPr>
            <w:r w:rsidRPr="007A275A">
              <w:rPr>
                <w:szCs w:val="24"/>
              </w:rPr>
              <w:t>Learning from Patient Safety Incidents- Learning from Serious Incidents: SBUHB scoping review to be presented to PSC in December 2023: Lead Charis Jones</w:t>
            </w:r>
          </w:p>
          <w:p w:rsidR="007A275A" w:rsidRPr="007A275A" w:rsidRDefault="007A275A" w:rsidP="007A275A">
            <w:pPr>
              <w:pStyle w:val="ListParagraph"/>
              <w:numPr>
                <w:ilvl w:val="0"/>
                <w:numId w:val="3"/>
              </w:numPr>
              <w:rPr>
                <w:szCs w:val="24"/>
              </w:rPr>
            </w:pPr>
            <w:r w:rsidRPr="007A275A">
              <w:rPr>
                <w:szCs w:val="24"/>
              </w:rPr>
              <w:t>Understanding, measuring and reducing patient mortality review of MH and LD deaths: Review findings from MH and LD to be presented to QSG in January 2024</w:t>
            </w:r>
          </w:p>
          <w:p w:rsidR="007A275A" w:rsidRPr="007A275A" w:rsidRDefault="007A275A" w:rsidP="007A275A">
            <w:pPr>
              <w:pStyle w:val="ListParagraph"/>
              <w:numPr>
                <w:ilvl w:val="0"/>
                <w:numId w:val="3"/>
              </w:numPr>
              <w:rPr>
                <w:szCs w:val="24"/>
              </w:rPr>
            </w:pPr>
            <w:r w:rsidRPr="007A275A">
              <w:rPr>
                <w:szCs w:val="24"/>
              </w:rPr>
              <w:t>Learning from Patient Safety Incidents- Implementation of Duty of Candour: Annual report on Duty of Candour to be reported to QSG in April 2024</w:t>
            </w:r>
          </w:p>
          <w:p w:rsidR="007A275A" w:rsidRPr="007A275A" w:rsidRDefault="007A275A" w:rsidP="007A275A">
            <w:pPr>
              <w:pStyle w:val="ListParagraph"/>
              <w:numPr>
                <w:ilvl w:val="0"/>
                <w:numId w:val="3"/>
              </w:numPr>
              <w:rPr>
                <w:szCs w:val="24"/>
              </w:rPr>
            </w:pPr>
            <w:r w:rsidRPr="007A275A">
              <w:rPr>
                <w:szCs w:val="24"/>
              </w:rPr>
              <w:t>Learning from Patient Safety Incidents- Independent Contractors: status report to be presented to PSC Group in January 2024</w:t>
            </w:r>
          </w:p>
          <w:p w:rsidR="007A275A" w:rsidRPr="007A275A" w:rsidRDefault="007A275A" w:rsidP="007A275A">
            <w:pPr>
              <w:pStyle w:val="ListParagraph"/>
              <w:numPr>
                <w:ilvl w:val="0"/>
                <w:numId w:val="3"/>
              </w:numPr>
              <w:rPr>
                <w:szCs w:val="24"/>
              </w:rPr>
            </w:pPr>
            <w:r w:rsidRPr="007A275A">
              <w:rPr>
                <w:rFonts w:eastAsia="Times New Roman"/>
                <w:bCs/>
                <w:color w:val="000000"/>
                <w:lang w:eastAsia="en-GB"/>
              </w:rPr>
              <w:t xml:space="preserve">Preventing </w:t>
            </w:r>
            <w:proofErr w:type="spellStart"/>
            <w:r w:rsidRPr="007A275A">
              <w:rPr>
                <w:rFonts w:eastAsia="Times New Roman"/>
                <w:bCs/>
                <w:color w:val="000000"/>
                <w:lang w:eastAsia="en-GB"/>
              </w:rPr>
              <w:t>Peri</w:t>
            </w:r>
            <w:proofErr w:type="spellEnd"/>
            <w:r w:rsidRPr="007A275A">
              <w:rPr>
                <w:rFonts w:eastAsia="Times New Roman"/>
                <w:bCs/>
                <w:color w:val="000000"/>
                <w:lang w:eastAsia="en-GB"/>
              </w:rPr>
              <w:t>-operative Never Events: AMAT users within theatres to be established an using system by January 2024, NatSSIPs2 to be launched in within HB by January 2024, Never events to be reported to QSG on a monthly basis – December 2023</w:t>
            </w:r>
          </w:p>
          <w:p w:rsidR="007A275A" w:rsidRPr="007A275A" w:rsidRDefault="007A275A" w:rsidP="007A275A">
            <w:pPr>
              <w:pStyle w:val="ListParagraph"/>
              <w:numPr>
                <w:ilvl w:val="0"/>
                <w:numId w:val="3"/>
              </w:numPr>
              <w:rPr>
                <w:szCs w:val="24"/>
              </w:rPr>
            </w:pPr>
            <w:r w:rsidRPr="007A275A">
              <w:rPr>
                <w:rFonts w:eastAsia="Times New Roman"/>
                <w:bCs/>
                <w:color w:val="000000"/>
                <w:lang w:eastAsia="en-GB"/>
              </w:rPr>
              <w:t>Medicines safety including at the point transfer of care (medicines optimisation)- post-discharge community pharmacy review:  report to be presented to PCCT QSI Group by March 2024</w:t>
            </w:r>
          </w:p>
          <w:p w:rsidR="007A275A" w:rsidRPr="007A275A" w:rsidRDefault="007A275A" w:rsidP="007A275A">
            <w:pPr>
              <w:pStyle w:val="ListParagraph"/>
              <w:numPr>
                <w:ilvl w:val="0"/>
                <w:numId w:val="3"/>
              </w:numPr>
              <w:rPr>
                <w:szCs w:val="24"/>
              </w:rPr>
            </w:pPr>
            <w:r w:rsidRPr="007A275A">
              <w:rPr>
                <w:rFonts w:eastAsia="Times New Roman"/>
                <w:bCs/>
                <w:color w:val="000000"/>
                <w:lang w:eastAsia="en-GB"/>
              </w:rPr>
              <w:t xml:space="preserve">Medicines safety including at the point transfer </w:t>
            </w:r>
            <w:r w:rsidRPr="007A275A">
              <w:rPr>
                <w:rFonts w:eastAsia="Times New Roman"/>
                <w:bCs/>
                <w:color w:val="000000"/>
                <w:szCs w:val="24"/>
                <w:lang w:eastAsia="en-GB"/>
              </w:rPr>
              <w:t>of care (medicines optimisation)- Get it on time medication and Electronic Prescribing: Update to be included in IMM report to QSG December 2023</w:t>
            </w:r>
          </w:p>
          <w:p w:rsidR="007A275A" w:rsidRPr="007A275A" w:rsidRDefault="007A275A" w:rsidP="007A275A">
            <w:pPr>
              <w:pStyle w:val="ListParagraph"/>
              <w:numPr>
                <w:ilvl w:val="0"/>
                <w:numId w:val="3"/>
              </w:numPr>
              <w:rPr>
                <w:szCs w:val="24"/>
              </w:rPr>
            </w:pPr>
            <w:r w:rsidRPr="007A275A">
              <w:rPr>
                <w:rFonts w:eastAsia="Times New Roman"/>
                <w:bCs/>
                <w:color w:val="000000"/>
                <w:szCs w:val="24"/>
                <w:lang w:eastAsia="en-GB"/>
              </w:rPr>
              <w:t>Understanding, measuring and reducing patient mortality</w:t>
            </w:r>
            <w:r w:rsidRPr="007A275A">
              <w:rPr>
                <w:szCs w:val="24"/>
              </w:rPr>
              <w:t xml:space="preserve"> </w:t>
            </w:r>
            <w:proofErr w:type="spellStart"/>
            <w:r w:rsidRPr="007A275A">
              <w:rPr>
                <w:szCs w:val="24"/>
              </w:rPr>
              <w:t>Mortality</w:t>
            </w:r>
            <w:proofErr w:type="spellEnd"/>
            <w:r w:rsidRPr="007A275A">
              <w:rPr>
                <w:szCs w:val="24"/>
              </w:rPr>
              <w:t xml:space="preserve"> review findings: To be reported to QSG March 2024</w:t>
            </w:r>
          </w:p>
          <w:p w:rsidR="007A275A" w:rsidRPr="007A275A" w:rsidRDefault="007A275A" w:rsidP="007A275A">
            <w:pPr>
              <w:pStyle w:val="ListParagraph"/>
              <w:numPr>
                <w:ilvl w:val="0"/>
                <w:numId w:val="3"/>
              </w:numPr>
              <w:rPr>
                <w:szCs w:val="24"/>
              </w:rPr>
            </w:pPr>
            <w:r w:rsidRPr="007A275A">
              <w:rPr>
                <w:rFonts w:eastAsia="Times New Roman"/>
                <w:bCs/>
                <w:color w:val="000000"/>
                <w:szCs w:val="24"/>
                <w:lang w:eastAsia="en-GB"/>
              </w:rPr>
              <w:t>Understanding, measuring and reducing patient mortality: Neonatal quality improvement: report to QSG March 2024</w:t>
            </w:r>
          </w:p>
          <w:p w:rsidR="007A275A" w:rsidRPr="007A275A" w:rsidRDefault="007A275A" w:rsidP="007A275A">
            <w:pPr>
              <w:pStyle w:val="ListParagraph"/>
              <w:numPr>
                <w:ilvl w:val="0"/>
                <w:numId w:val="3"/>
              </w:numPr>
              <w:rPr>
                <w:szCs w:val="24"/>
              </w:rPr>
            </w:pPr>
            <w:r w:rsidRPr="007A275A">
              <w:rPr>
                <w:rFonts w:eastAsia="Times New Roman"/>
                <w:bCs/>
                <w:color w:val="000000"/>
                <w:szCs w:val="24"/>
                <w:lang w:eastAsia="en-GB"/>
              </w:rPr>
              <w:t>Understanding, measuring and reducing patient mortality- Completion of audits: COEG annual report to include this in March 2024</w:t>
            </w:r>
          </w:p>
          <w:p w:rsidR="007A275A" w:rsidRPr="007A275A" w:rsidRDefault="007A275A" w:rsidP="007A275A">
            <w:pPr>
              <w:pStyle w:val="ListParagraph"/>
              <w:numPr>
                <w:ilvl w:val="0"/>
                <w:numId w:val="3"/>
              </w:numPr>
              <w:rPr>
                <w:szCs w:val="24"/>
              </w:rPr>
            </w:pPr>
            <w:r w:rsidRPr="007A275A">
              <w:rPr>
                <w:rFonts w:eastAsia="Times New Roman"/>
                <w:bCs/>
                <w:color w:val="000000"/>
                <w:szCs w:val="24"/>
                <w:lang w:eastAsia="en-GB"/>
              </w:rPr>
              <w:t>Using data and benchmarking intelligence to understand variation in outcomes: Bi monthly dashboard updates to report to QSG form December 2023</w:t>
            </w:r>
          </w:p>
        </w:tc>
      </w:tr>
      <w:tr w:rsidR="00B32E29" w:rsidRPr="00E742B6" w:rsidTr="001E1B14">
        <w:tc>
          <w:tcPr>
            <w:tcW w:w="15409" w:type="dxa"/>
            <w:shd w:val="clear" w:color="auto" w:fill="1F4E79" w:themeFill="accent1" w:themeFillShade="80"/>
          </w:tcPr>
          <w:p w:rsidR="00B32E29" w:rsidRPr="001E1B14" w:rsidRDefault="006F6D53" w:rsidP="006F6D53">
            <w:pPr>
              <w:rPr>
                <w:rFonts w:ascii="Arial" w:hAnsi="Arial" w:cs="Arial"/>
                <w:b/>
                <w:color w:val="FFFFFF" w:themeColor="background1"/>
                <w:sz w:val="24"/>
                <w:szCs w:val="24"/>
              </w:rPr>
            </w:pPr>
            <w:r w:rsidRPr="001E1B14">
              <w:rPr>
                <w:rFonts w:ascii="Arial" w:hAnsi="Arial" w:cs="Arial"/>
                <w:b/>
                <w:color w:val="FFFFFF" w:themeColor="background1"/>
                <w:sz w:val="24"/>
                <w:szCs w:val="24"/>
              </w:rPr>
              <w:t>RISKS</w:t>
            </w:r>
            <w:r w:rsidR="00E742B6" w:rsidRPr="001E1B14">
              <w:rPr>
                <w:rFonts w:ascii="Arial" w:hAnsi="Arial" w:cs="Arial"/>
                <w:b/>
                <w:color w:val="FFFFFF" w:themeColor="background1"/>
                <w:sz w:val="24"/>
                <w:szCs w:val="24"/>
              </w:rPr>
              <w:t xml:space="preserve"> </w:t>
            </w:r>
            <w:r w:rsidRPr="001E1B14">
              <w:rPr>
                <w:rFonts w:ascii="Arial" w:hAnsi="Arial" w:cs="Arial"/>
                <w:b/>
                <w:color w:val="FFFFFF" w:themeColor="background1"/>
                <w:sz w:val="24"/>
                <w:szCs w:val="24"/>
              </w:rPr>
              <w:t>AND MITIGATIONS</w:t>
            </w:r>
          </w:p>
        </w:tc>
      </w:tr>
      <w:tr w:rsidR="00B32E29" w:rsidRPr="00E742B6" w:rsidTr="00B32E29">
        <w:tc>
          <w:tcPr>
            <w:tcW w:w="15409" w:type="dxa"/>
          </w:tcPr>
          <w:p w:rsidR="00B32E29" w:rsidRDefault="00B32E29">
            <w:pPr>
              <w:rPr>
                <w:rFonts w:ascii="Arial" w:hAnsi="Arial" w:cs="Arial"/>
                <w:b/>
                <w:sz w:val="24"/>
                <w:szCs w:val="24"/>
              </w:rPr>
            </w:pPr>
          </w:p>
          <w:p w:rsidR="007A275A" w:rsidRPr="007A275A" w:rsidRDefault="007A275A" w:rsidP="007A275A">
            <w:pPr>
              <w:pStyle w:val="ListParagraph"/>
              <w:numPr>
                <w:ilvl w:val="0"/>
                <w:numId w:val="4"/>
              </w:numPr>
              <w:rPr>
                <w:szCs w:val="24"/>
              </w:rPr>
            </w:pPr>
            <w:proofErr w:type="spellStart"/>
            <w:r>
              <w:rPr>
                <w:szCs w:val="24"/>
              </w:rPr>
              <w:t>Peri</w:t>
            </w:r>
            <w:proofErr w:type="spellEnd"/>
            <w:r>
              <w:rPr>
                <w:szCs w:val="24"/>
              </w:rPr>
              <w:t>-operative never eve</w:t>
            </w:r>
            <w:r w:rsidR="00612BE4">
              <w:rPr>
                <w:szCs w:val="24"/>
              </w:rPr>
              <w:t xml:space="preserve">nts, PSC deep dives undertaken </w:t>
            </w:r>
            <w:bookmarkStart w:id="0" w:name="_GoBack"/>
            <w:bookmarkEnd w:id="0"/>
            <w:r>
              <w:rPr>
                <w:szCs w:val="24"/>
              </w:rPr>
              <w:t>and all never events will now be reported to QSG on a monthly basis from November 2023.</w:t>
            </w:r>
          </w:p>
          <w:p w:rsidR="006F6D53" w:rsidRPr="00E742B6" w:rsidRDefault="006F6D53">
            <w:pPr>
              <w:rPr>
                <w:rFonts w:ascii="Arial" w:hAnsi="Arial" w:cs="Arial"/>
                <w:b/>
                <w:sz w:val="24"/>
                <w:szCs w:val="24"/>
              </w:rPr>
            </w:pPr>
          </w:p>
        </w:tc>
      </w:tr>
      <w:tr w:rsidR="006F6D53" w:rsidRPr="00E742B6" w:rsidTr="001E1B14">
        <w:tc>
          <w:tcPr>
            <w:tcW w:w="15409" w:type="dxa"/>
            <w:shd w:val="clear" w:color="auto" w:fill="1F4E79" w:themeFill="accent1" w:themeFillShade="80"/>
          </w:tcPr>
          <w:p w:rsidR="006F6D53" w:rsidRPr="00E742B6" w:rsidRDefault="00E742B6">
            <w:pPr>
              <w:rPr>
                <w:rFonts w:ascii="Arial" w:hAnsi="Arial" w:cs="Arial"/>
                <w:b/>
                <w:sz w:val="24"/>
                <w:szCs w:val="24"/>
              </w:rPr>
            </w:pPr>
            <w:r w:rsidRPr="001E1B14">
              <w:rPr>
                <w:rFonts w:ascii="Arial" w:hAnsi="Arial" w:cs="Arial"/>
                <w:b/>
                <w:color w:val="FFFFFF" w:themeColor="background1"/>
                <w:sz w:val="24"/>
                <w:szCs w:val="24"/>
              </w:rPr>
              <w:t>ISSUES FOR ESCALATION</w:t>
            </w:r>
          </w:p>
        </w:tc>
      </w:tr>
      <w:tr w:rsidR="006F6D53" w:rsidRPr="00E742B6" w:rsidTr="00B32E29">
        <w:tc>
          <w:tcPr>
            <w:tcW w:w="15409" w:type="dxa"/>
          </w:tcPr>
          <w:p w:rsidR="00E742B6" w:rsidRPr="007A275A" w:rsidRDefault="007A275A" w:rsidP="007A275A">
            <w:pPr>
              <w:pStyle w:val="ListParagraph"/>
              <w:numPr>
                <w:ilvl w:val="0"/>
                <w:numId w:val="4"/>
              </w:numPr>
              <w:rPr>
                <w:b/>
                <w:szCs w:val="24"/>
              </w:rPr>
            </w:pPr>
            <w:r>
              <w:rPr>
                <w:szCs w:val="24"/>
              </w:rPr>
              <w:t>Never events</w:t>
            </w:r>
          </w:p>
          <w:p w:rsidR="007A275A" w:rsidRPr="00E742B6" w:rsidRDefault="007A275A" w:rsidP="007A275A">
            <w:pPr>
              <w:pStyle w:val="ListParagraph"/>
              <w:rPr>
                <w:b/>
                <w:szCs w:val="24"/>
              </w:rPr>
            </w:pPr>
          </w:p>
        </w:tc>
      </w:tr>
    </w:tbl>
    <w:p w:rsidR="007178C9" w:rsidRDefault="007178C9" w:rsidP="00F15F20">
      <w:pPr>
        <w:rPr>
          <w:rFonts w:ascii="Arial" w:hAnsi="Arial" w:cs="Arial"/>
          <w:sz w:val="24"/>
          <w:szCs w:val="24"/>
        </w:rPr>
      </w:pPr>
    </w:p>
    <w:sectPr w:rsidR="007178C9" w:rsidSect="004F19D8">
      <w:headerReference w:type="default" r:id="rId9"/>
      <w:footerReference w:type="default" r:id="rId10"/>
      <w:pgSz w:w="16838" w:h="23811" w:code="8"/>
      <w:pgMar w:top="1440" w:right="426" w:bottom="1440" w:left="993" w:header="1020" w:footer="1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0343" w:rsidRDefault="007C0343" w:rsidP="0023731B">
      <w:pPr>
        <w:spacing w:after="0" w:line="240" w:lineRule="auto"/>
      </w:pPr>
      <w:r>
        <w:separator/>
      </w:r>
    </w:p>
  </w:endnote>
  <w:endnote w:type="continuationSeparator" w:id="0">
    <w:p w:rsidR="007C0343" w:rsidRDefault="007C0343" w:rsidP="002373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3212106"/>
      <w:docPartObj>
        <w:docPartGallery w:val="Page Numbers (Bottom of Page)"/>
        <w:docPartUnique/>
      </w:docPartObj>
    </w:sdtPr>
    <w:sdtEndPr>
      <w:rPr>
        <w:noProof/>
      </w:rPr>
    </w:sdtEndPr>
    <w:sdtContent>
      <w:p w:rsidR="00892E07" w:rsidRDefault="00892E07">
        <w:pPr>
          <w:pStyle w:val="Footer"/>
          <w:jc w:val="center"/>
        </w:pPr>
        <w:r>
          <w:fldChar w:fldCharType="begin"/>
        </w:r>
        <w:r>
          <w:instrText xml:space="preserve"> PAGE   \* MERGEFORMAT </w:instrText>
        </w:r>
        <w:r>
          <w:fldChar w:fldCharType="separate"/>
        </w:r>
        <w:r w:rsidR="00612BE4">
          <w:rPr>
            <w:noProof/>
          </w:rPr>
          <w:t>3</w:t>
        </w:r>
        <w:r>
          <w:rPr>
            <w:noProof/>
          </w:rPr>
          <w:fldChar w:fldCharType="end"/>
        </w:r>
      </w:p>
    </w:sdtContent>
  </w:sdt>
  <w:p w:rsidR="00892E07" w:rsidRDefault="00892E07" w:rsidP="004259C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0343" w:rsidRDefault="007C0343" w:rsidP="0023731B">
      <w:pPr>
        <w:spacing w:after="0" w:line="240" w:lineRule="auto"/>
      </w:pPr>
      <w:r>
        <w:separator/>
      </w:r>
    </w:p>
  </w:footnote>
  <w:footnote w:type="continuationSeparator" w:id="0">
    <w:p w:rsidR="007C0343" w:rsidRDefault="007C0343" w:rsidP="002373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05BE" w:rsidRPr="004F19D8" w:rsidRDefault="004F19D8" w:rsidP="004F19D8">
    <w:pPr>
      <w:pStyle w:val="Header"/>
      <w:jc w:val="right"/>
      <w:rPr>
        <w:b/>
      </w:rPr>
    </w:pPr>
    <w:r>
      <w:rPr>
        <w:noProof/>
        <w:lang w:eastAsia="en-GB"/>
      </w:rPr>
      <mc:AlternateContent>
        <mc:Choice Requires="wps">
          <w:drawing>
            <wp:anchor distT="0" distB="0" distL="114300" distR="114300" simplePos="0" relativeHeight="251661312" behindDoc="0" locked="0" layoutInCell="1" allowOverlap="1" wp14:anchorId="3EF544F9" wp14:editId="6F66D354">
              <wp:simplePos x="0" y="0"/>
              <wp:positionH relativeFrom="column">
                <wp:posOffset>5325745</wp:posOffset>
              </wp:positionH>
              <wp:positionV relativeFrom="paragraph">
                <wp:posOffset>-395605</wp:posOffset>
              </wp:positionV>
              <wp:extent cx="4457700" cy="6858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457700" cy="685800"/>
                      </a:xfrm>
                      <a:prstGeom prst="rect">
                        <a:avLst/>
                      </a:prstGeom>
                      <a:solidFill>
                        <a:schemeClr val="lt1"/>
                      </a:solidFill>
                      <a:ln w="6350">
                        <a:noFill/>
                      </a:ln>
                    </wps:spPr>
                    <wps:txbx>
                      <w:txbxContent>
                        <w:p w:rsidR="00EE05BE" w:rsidRPr="00EE05BE" w:rsidRDefault="008E14DC" w:rsidP="00EE05BE">
                          <w:pPr>
                            <w:jc w:val="right"/>
                            <w:rPr>
                              <w:b/>
                              <w:sz w:val="36"/>
                            </w:rPr>
                          </w:pPr>
                          <w:r>
                            <w:rPr>
                              <w:b/>
                              <w:sz w:val="36"/>
                            </w:rPr>
                            <w:t>Quality Strategy Implementation Progress</w:t>
                          </w:r>
                          <w:r w:rsidR="007A275A">
                            <w:rPr>
                              <w:b/>
                              <w:sz w:val="36"/>
                            </w:rPr>
                            <w:t>: Safe and Reliable 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F544F9" id="_x0000_t202" coordsize="21600,21600" o:spt="202" path="m,l,21600r21600,l21600,xe">
              <v:stroke joinstyle="miter"/>
              <v:path gradientshapeok="t" o:connecttype="rect"/>
            </v:shapetype>
            <v:shape id="Text Box 10" o:spid="_x0000_s1026" type="#_x0000_t202" style="position:absolute;left:0;text-align:left;margin-left:419.35pt;margin-top:-31.15pt;width:351pt;height: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gwdPwIAAH0EAAAOAAAAZHJzL2Uyb0RvYy54bWysVE1vGjEQvVfqf7B8LwsUEoJYIkpEVSlK&#10;IkGVs/F6YSWvx7UNu+mv77MXEpr2VPVi5mvfzLyZYXbb1podlfMVmZwPen3OlJFUVGaX8++b1acJ&#10;Zz4IUwhNRuX8RXl+O//4YdbYqRrSnnShHAOI8dPG5nwfgp1mmZd7VQvfI6sMnCW5WgSobpcVTjRA&#10;r3U27PevsoZcYR1J5T2sd52TzxN+WSoZHsvSq8B0zlFbSK9L7za+2Xwmpjsn7L6SpzLEP1RRi8og&#10;6SvUnQiCHVz1B1RdSUeeytCTVGdUlpVUqQd0M+i/62a9F1alXkCOt680+f8HKx+OT45VBWYHeoyo&#10;MaONagP7Qi2DCfw01k8RtrYIDC3siD3bPYyx7bZ0dfxFQwx+QL28shvRJIyj0fj6ug+XhO9qMp5A&#10;Bnz29rV1PnxVVLMo5NxheolUcbz3oQs9h8RknnRVrCqtkxI3Ri21Y0eBWeuQagT4b1HasAbJP4/7&#10;CdhQ/LxD1ga1xF67nqIU2m17ImBLxQv6d9RtkLdyVaHIe+HDk3BYGfSFMwiPeEpNSEInibM9uZ9/&#10;s8d4TBJezhqsYM79j4NwijP9zWDGN4PRCLAhKSBvCMVderaXHnOol4TOBzg4K5MY44M+i6Wj+hnX&#10;sohZ4RJGInfOZXBnZRm608C9SbVYpDDsqRXh3qytjOCR6ziETfssnD1NKmDGD3ReVzF9N7AuNn5p&#10;aHEIVFZpmpHijtcT89jxtA+ne4xHdKmnqLd/jfkvAAAA//8DAFBLAwQUAAYACAAAACEAJC9CEt4A&#10;AAALAQAADwAAAGRycy9kb3ducmV2LnhtbEyPTW6DMBBG95V6B2sqdRMlhvwiyhClkXqAkBzAgGNT&#10;8BhhE+jt66za5cw8ffO+7Dibjj3k4BpLCPEqAiapsnVDCuF2/VomwJwXVIvOkkT4kQ6O+etLJtLa&#10;TnSRj8IrFkLIpQJBe9+nnLtKSyPcyvaSwu1uByN8GAfF60FMIdx0fB1Fe25EQ+GDFr08a1m1xWgQ&#10;ikt5Wqhi/L4u9Cedp1sbx6pFfH+bTx/AvJz9HwxP/aAOeXAq7Ui1Yx1CskkOAUVY7tcbYE9it43C&#10;qkTY7g7A84z/75D/AgAA//8DAFBLAQItABQABgAIAAAAIQC2gziS/gAAAOEBAAATAAAAAAAAAAAA&#10;AAAAAAAAAABbQ29udGVudF9UeXBlc10ueG1sUEsBAi0AFAAGAAgAAAAhADj9If/WAAAAlAEAAAsA&#10;AAAAAAAAAAAAAAAALwEAAF9yZWxzLy5yZWxzUEsBAi0AFAAGAAgAAAAhAJeGDB0/AgAAfQQAAA4A&#10;AAAAAAAAAAAAAAAALgIAAGRycy9lMm9Eb2MueG1sUEsBAi0AFAAGAAgAAAAhACQvQhLeAAAACwEA&#10;AA8AAAAAAAAAAAAAAAAAmQQAAGRycy9kb3ducmV2LnhtbFBLBQYAAAAABAAEAPMAAACkBQAAAAA=&#10;" fillcolor="white [3201]" stroked="f" strokeweight=".5pt">
              <v:textbox>
                <w:txbxContent>
                  <w:p w:rsidR="00EE05BE" w:rsidRPr="00EE05BE" w:rsidRDefault="008E14DC" w:rsidP="00EE05BE">
                    <w:pPr>
                      <w:jc w:val="right"/>
                      <w:rPr>
                        <w:b/>
                        <w:sz w:val="36"/>
                      </w:rPr>
                    </w:pPr>
                    <w:r>
                      <w:rPr>
                        <w:b/>
                        <w:sz w:val="36"/>
                      </w:rPr>
                      <w:t>Quality Strategy Implementation Progress</w:t>
                    </w:r>
                    <w:r w:rsidR="007A275A">
                      <w:rPr>
                        <w:b/>
                        <w:sz w:val="36"/>
                      </w:rPr>
                      <w:t>: Safe and Reliable Care</w:t>
                    </w:r>
                  </w:p>
                </w:txbxContent>
              </v:textbox>
            </v:shape>
          </w:pict>
        </mc:Fallback>
      </mc:AlternateContent>
    </w:r>
    <w:r>
      <w:rPr>
        <w:noProof/>
        <w:lang w:eastAsia="en-GB"/>
      </w:rPr>
      <w:drawing>
        <wp:anchor distT="0" distB="0" distL="114300" distR="114300" simplePos="0" relativeHeight="251660288" behindDoc="1" locked="0" layoutInCell="1" allowOverlap="1" wp14:anchorId="59E83763" wp14:editId="115C9080">
          <wp:simplePos x="0" y="0"/>
          <wp:positionH relativeFrom="margin">
            <wp:posOffset>0</wp:posOffset>
          </wp:positionH>
          <wp:positionV relativeFrom="paragraph">
            <wp:posOffset>-368935</wp:posOffset>
          </wp:positionV>
          <wp:extent cx="1981200" cy="501015"/>
          <wp:effectExtent l="0" t="0" r="0" b="0"/>
          <wp:wrapTight wrapText="bothSides">
            <wp:wrapPolygon edited="0">
              <wp:start x="0" y="0"/>
              <wp:lineTo x="0" y="20532"/>
              <wp:lineTo x="21392" y="20532"/>
              <wp:lineTo x="2139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81200" cy="501015"/>
                  </a:xfrm>
                  <a:prstGeom prst="rect">
                    <a:avLst/>
                  </a:prstGeom>
                  <a:noFill/>
                  <a:ln>
                    <a:noFill/>
                  </a:ln>
                </pic:spPr>
              </pic:pic>
            </a:graphicData>
          </a:graphic>
          <wp14:sizeRelH relativeFrom="page">
            <wp14:pctWidth>0</wp14:pctWidth>
          </wp14:sizeRelH>
          <wp14:sizeRelV relativeFrom="page">
            <wp14:pctHeight>0</wp14:pctHeight>
          </wp14:sizeRelV>
        </wp:anchor>
      </w:drawing>
    </w:r>
    <w:r w:rsidR="00EE05BE">
      <w:rPr>
        <w:noProof/>
        <w:lang w:eastAsia="en-GB"/>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97BAD"/>
    <w:multiLevelType w:val="hybridMultilevel"/>
    <w:tmpl w:val="F642C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00D14E3"/>
    <w:multiLevelType w:val="hybridMultilevel"/>
    <w:tmpl w:val="10B095B4"/>
    <w:lvl w:ilvl="0" w:tplc="D916A616">
      <w:start w:val="9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9E44C8"/>
    <w:multiLevelType w:val="hybridMultilevel"/>
    <w:tmpl w:val="F356E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5E23761"/>
    <w:multiLevelType w:val="hybridMultilevel"/>
    <w:tmpl w:val="96C2F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750"/>
    <w:rsid w:val="00000DAD"/>
    <w:rsid w:val="00002C76"/>
    <w:rsid w:val="000079F5"/>
    <w:rsid w:val="0001071C"/>
    <w:rsid w:val="00013195"/>
    <w:rsid w:val="00013286"/>
    <w:rsid w:val="0001451F"/>
    <w:rsid w:val="00014C36"/>
    <w:rsid w:val="00015235"/>
    <w:rsid w:val="00031E2C"/>
    <w:rsid w:val="00033358"/>
    <w:rsid w:val="00034A71"/>
    <w:rsid w:val="000355A5"/>
    <w:rsid w:val="000356ED"/>
    <w:rsid w:val="000374C9"/>
    <w:rsid w:val="00044230"/>
    <w:rsid w:val="000464BB"/>
    <w:rsid w:val="00046A88"/>
    <w:rsid w:val="00050C79"/>
    <w:rsid w:val="00053E5B"/>
    <w:rsid w:val="00056BDC"/>
    <w:rsid w:val="00060B2C"/>
    <w:rsid w:val="00070E9A"/>
    <w:rsid w:val="00072C9B"/>
    <w:rsid w:val="00074D27"/>
    <w:rsid w:val="00074D74"/>
    <w:rsid w:val="000809CA"/>
    <w:rsid w:val="00080FDC"/>
    <w:rsid w:val="0008162C"/>
    <w:rsid w:val="00081E36"/>
    <w:rsid w:val="00082293"/>
    <w:rsid w:val="00083BC5"/>
    <w:rsid w:val="00085277"/>
    <w:rsid w:val="00085668"/>
    <w:rsid w:val="0009077E"/>
    <w:rsid w:val="000948C6"/>
    <w:rsid w:val="00095B9D"/>
    <w:rsid w:val="0009714D"/>
    <w:rsid w:val="00097C66"/>
    <w:rsid w:val="000A16AA"/>
    <w:rsid w:val="000A35D4"/>
    <w:rsid w:val="000A6014"/>
    <w:rsid w:val="000B1A71"/>
    <w:rsid w:val="000B38B3"/>
    <w:rsid w:val="000B4677"/>
    <w:rsid w:val="000B73D2"/>
    <w:rsid w:val="000C2AA2"/>
    <w:rsid w:val="000C3F66"/>
    <w:rsid w:val="000C76F9"/>
    <w:rsid w:val="000D0386"/>
    <w:rsid w:val="000D16C1"/>
    <w:rsid w:val="000D27C8"/>
    <w:rsid w:val="000D6175"/>
    <w:rsid w:val="000D6EA6"/>
    <w:rsid w:val="000E6327"/>
    <w:rsid w:val="000E7179"/>
    <w:rsid w:val="000F1FCA"/>
    <w:rsid w:val="000F4E51"/>
    <w:rsid w:val="000F5B44"/>
    <w:rsid w:val="000F7CFD"/>
    <w:rsid w:val="000F7E6A"/>
    <w:rsid w:val="001004BE"/>
    <w:rsid w:val="00102E03"/>
    <w:rsid w:val="001040E5"/>
    <w:rsid w:val="00111265"/>
    <w:rsid w:val="00113848"/>
    <w:rsid w:val="00114F7E"/>
    <w:rsid w:val="00115226"/>
    <w:rsid w:val="00116BF4"/>
    <w:rsid w:val="00117F12"/>
    <w:rsid w:val="00123172"/>
    <w:rsid w:val="00124087"/>
    <w:rsid w:val="00136A09"/>
    <w:rsid w:val="00143FAF"/>
    <w:rsid w:val="00144971"/>
    <w:rsid w:val="00150ACE"/>
    <w:rsid w:val="00150FCB"/>
    <w:rsid w:val="001515BA"/>
    <w:rsid w:val="00154573"/>
    <w:rsid w:val="00155762"/>
    <w:rsid w:val="00155EB2"/>
    <w:rsid w:val="00163EDA"/>
    <w:rsid w:val="0017635F"/>
    <w:rsid w:val="0018067A"/>
    <w:rsid w:val="0019060D"/>
    <w:rsid w:val="00191D36"/>
    <w:rsid w:val="0019240C"/>
    <w:rsid w:val="0019369C"/>
    <w:rsid w:val="001A09BF"/>
    <w:rsid w:val="001A16FC"/>
    <w:rsid w:val="001A56FB"/>
    <w:rsid w:val="001A7392"/>
    <w:rsid w:val="001C435B"/>
    <w:rsid w:val="001C542C"/>
    <w:rsid w:val="001C6D93"/>
    <w:rsid w:val="001C7211"/>
    <w:rsid w:val="001D18A1"/>
    <w:rsid w:val="001D26F6"/>
    <w:rsid w:val="001D501B"/>
    <w:rsid w:val="001D5787"/>
    <w:rsid w:val="001D6783"/>
    <w:rsid w:val="001D6E81"/>
    <w:rsid w:val="001E1B14"/>
    <w:rsid w:val="001E413C"/>
    <w:rsid w:val="001F06AA"/>
    <w:rsid w:val="001F0CF9"/>
    <w:rsid w:val="001F1ECF"/>
    <w:rsid w:val="001F39C9"/>
    <w:rsid w:val="001F400A"/>
    <w:rsid w:val="001F4D05"/>
    <w:rsid w:val="001F607C"/>
    <w:rsid w:val="0020268C"/>
    <w:rsid w:val="00204A55"/>
    <w:rsid w:val="00211A65"/>
    <w:rsid w:val="00214F36"/>
    <w:rsid w:val="00217464"/>
    <w:rsid w:val="00220A79"/>
    <w:rsid w:val="00225A1A"/>
    <w:rsid w:val="00233408"/>
    <w:rsid w:val="00233FA0"/>
    <w:rsid w:val="002369F2"/>
    <w:rsid w:val="0023731B"/>
    <w:rsid w:val="002373D4"/>
    <w:rsid w:val="00240F45"/>
    <w:rsid w:val="002428AE"/>
    <w:rsid w:val="0024766B"/>
    <w:rsid w:val="0025086D"/>
    <w:rsid w:val="00251B02"/>
    <w:rsid w:val="00252907"/>
    <w:rsid w:val="00255030"/>
    <w:rsid w:val="002566E1"/>
    <w:rsid w:val="00256B75"/>
    <w:rsid w:val="002575C0"/>
    <w:rsid w:val="00257F1B"/>
    <w:rsid w:val="00260DFE"/>
    <w:rsid w:val="0026374E"/>
    <w:rsid w:val="00265243"/>
    <w:rsid w:val="00265C79"/>
    <w:rsid w:val="0026652F"/>
    <w:rsid w:val="00270A08"/>
    <w:rsid w:val="002716D1"/>
    <w:rsid w:val="002725C0"/>
    <w:rsid w:val="00273458"/>
    <w:rsid w:val="00275212"/>
    <w:rsid w:val="00275F04"/>
    <w:rsid w:val="00276088"/>
    <w:rsid w:val="00284D2D"/>
    <w:rsid w:val="00285FAD"/>
    <w:rsid w:val="002868CA"/>
    <w:rsid w:val="002901F8"/>
    <w:rsid w:val="00291551"/>
    <w:rsid w:val="00293368"/>
    <w:rsid w:val="002A00E1"/>
    <w:rsid w:val="002A07A1"/>
    <w:rsid w:val="002A169C"/>
    <w:rsid w:val="002A4EC7"/>
    <w:rsid w:val="002B038D"/>
    <w:rsid w:val="002B6BE1"/>
    <w:rsid w:val="002B74C8"/>
    <w:rsid w:val="002C17A8"/>
    <w:rsid w:val="002C611D"/>
    <w:rsid w:val="002C69AE"/>
    <w:rsid w:val="002D0E7B"/>
    <w:rsid w:val="002D3FB1"/>
    <w:rsid w:val="002D5DDD"/>
    <w:rsid w:val="002D71C0"/>
    <w:rsid w:val="002D729E"/>
    <w:rsid w:val="002E55E3"/>
    <w:rsid w:val="002F0692"/>
    <w:rsid w:val="002F252B"/>
    <w:rsid w:val="002F3203"/>
    <w:rsid w:val="00304680"/>
    <w:rsid w:val="00306A9E"/>
    <w:rsid w:val="00310EEA"/>
    <w:rsid w:val="003115B1"/>
    <w:rsid w:val="003119AD"/>
    <w:rsid w:val="0031343F"/>
    <w:rsid w:val="00313D03"/>
    <w:rsid w:val="00314FC9"/>
    <w:rsid w:val="00316CBC"/>
    <w:rsid w:val="003179A1"/>
    <w:rsid w:val="00323E15"/>
    <w:rsid w:val="00323F29"/>
    <w:rsid w:val="0032479F"/>
    <w:rsid w:val="003257C7"/>
    <w:rsid w:val="00327AD7"/>
    <w:rsid w:val="00340E62"/>
    <w:rsid w:val="00341FC0"/>
    <w:rsid w:val="00342CE8"/>
    <w:rsid w:val="00343552"/>
    <w:rsid w:val="00353BF9"/>
    <w:rsid w:val="00354D79"/>
    <w:rsid w:val="00354E8F"/>
    <w:rsid w:val="00356538"/>
    <w:rsid w:val="00360BFF"/>
    <w:rsid w:val="00360E74"/>
    <w:rsid w:val="00362D65"/>
    <w:rsid w:val="00364A7F"/>
    <w:rsid w:val="003668E9"/>
    <w:rsid w:val="0037340C"/>
    <w:rsid w:val="00373719"/>
    <w:rsid w:val="00377CFA"/>
    <w:rsid w:val="00381628"/>
    <w:rsid w:val="003863F8"/>
    <w:rsid w:val="0039620C"/>
    <w:rsid w:val="003A01C5"/>
    <w:rsid w:val="003A0896"/>
    <w:rsid w:val="003A4F32"/>
    <w:rsid w:val="003A6802"/>
    <w:rsid w:val="003A6BA5"/>
    <w:rsid w:val="003B0387"/>
    <w:rsid w:val="003B081A"/>
    <w:rsid w:val="003B09C8"/>
    <w:rsid w:val="003B46AA"/>
    <w:rsid w:val="003C1ECB"/>
    <w:rsid w:val="003C6B97"/>
    <w:rsid w:val="003C7244"/>
    <w:rsid w:val="003C7A52"/>
    <w:rsid w:val="003D0771"/>
    <w:rsid w:val="003D18C8"/>
    <w:rsid w:val="003D345D"/>
    <w:rsid w:val="003D4E3D"/>
    <w:rsid w:val="003D50E1"/>
    <w:rsid w:val="003D5D4D"/>
    <w:rsid w:val="003D7008"/>
    <w:rsid w:val="003E4248"/>
    <w:rsid w:val="003E42BB"/>
    <w:rsid w:val="003E4B3B"/>
    <w:rsid w:val="003E600F"/>
    <w:rsid w:val="003E6799"/>
    <w:rsid w:val="003F09D5"/>
    <w:rsid w:val="003F4258"/>
    <w:rsid w:val="003F6AE6"/>
    <w:rsid w:val="003F6E89"/>
    <w:rsid w:val="00400C71"/>
    <w:rsid w:val="00401610"/>
    <w:rsid w:val="00403D36"/>
    <w:rsid w:val="004144D7"/>
    <w:rsid w:val="00415BA5"/>
    <w:rsid w:val="004174A1"/>
    <w:rsid w:val="004206A2"/>
    <w:rsid w:val="0042153D"/>
    <w:rsid w:val="004259C0"/>
    <w:rsid w:val="00427131"/>
    <w:rsid w:val="004278C2"/>
    <w:rsid w:val="0043668F"/>
    <w:rsid w:val="00437720"/>
    <w:rsid w:val="004404FC"/>
    <w:rsid w:val="00442162"/>
    <w:rsid w:val="00456E6A"/>
    <w:rsid w:val="00457A88"/>
    <w:rsid w:val="00462998"/>
    <w:rsid w:val="00464193"/>
    <w:rsid w:val="00466C01"/>
    <w:rsid w:val="004717F6"/>
    <w:rsid w:val="00471B26"/>
    <w:rsid w:val="00472EE7"/>
    <w:rsid w:val="00472F06"/>
    <w:rsid w:val="004761E1"/>
    <w:rsid w:val="00476DD3"/>
    <w:rsid w:val="00485C8D"/>
    <w:rsid w:val="0049261E"/>
    <w:rsid w:val="004928A2"/>
    <w:rsid w:val="004A26C7"/>
    <w:rsid w:val="004A2EE3"/>
    <w:rsid w:val="004B170D"/>
    <w:rsid w:val="004B2563"/>
    <w:rsid w:val="004B34A8"/>
    <w:rsid w:val="004C35BF"/>
    <w:rsid w:val="004C4493"/>
    <w:rsid w:val="004D028A"/>
    <w:rsid w:val="004D04F8"/>
    <w:rsid w:val="004D17D7"/>
    <w:rsid w:val="004D3E2E"/>
    <w:rsid w:val="004E2E73"/>
    <w:rsid w:val="004E526C"/>
    <w:rsid w:val="004E5A21"/>
    <w:rsid w:val="004E5A7A"/>
    <w:rsid w:val="004E5EFE"/>
    <w:rsid w:val="004E7A23"/>
    <w:rsid w:val="004F05D5"/>
    <w:rsid w:val="004F19D8"/>
    <w:rsid w:val="004F23E6"/>
    <w:rsid w:val="004F2761"/>
    <w:rsid w:val="004F4A44"/>
    <w:rsid w:val="004F4CEE"/>
    <w:rsid w:val="004F5E64"/>
    <w:rsid w:val="0050065C"/>
    <w:rsid w:val="005035BB"/>
    <w:rsid w:val="00503CEB"/>
    <w:rsid w:val="005043A8"/>
    <w:rsid w:val="00504AB7"/>
    <w:rsid w:val="00505337"/>
    <w:rsid w:val="005116A3"/>
    <w:rsid w:val="00515D9D"/>
    <w:rsid w:val="0052291C"/>
    <w:rsid w:val="005273EE"/>
    <w:rsid w:val="005333A6"/>
    <w:rsid w:val="005347D4"/>
    <w:rsid w:val="005365E6"/>
    <w:rsid w:val="00551749"/>
    <w:rsid w:val="00551F87"/>
    <w:rsid w:val="00555E66"/>
    <w:rsid w:val="00564145"/>
    <w:rsid w:val="005644EB"/>
    <w:rsid w:val="00564B4F"/>
    <w:rsid w:val="00566EDC"/>
    <w:rsid w:val="00566F16"/>
    <w:rsid w:val="00567BD9"/>
    <w:rsid w:val="00571C11"/>
    <w:rsid w:val="0057423C"/>
    <w:rsid w:val="00576F69"/>
    <w:rsid w:val="0057726C"/>
    <w:rsid w:val="00582279"/>
    <w:rsid w:val="005823AD"/>
    <w:rsid w:val="00583056"/>
    <w:rsid w:val="005849C1"/>
    <w:rsid w:val="0058597C"/>
    <w:rsid w:val="00585D1F"/>
    <w:rsid w:val="00587614"/>
    <w:rsid w:val="00587BE1"/>
    <w:rsid w:val="00590114"/>
    <w:rsid w:val="00590973"/>
    <w:rsid w:val="005A6148"/>
    <w:rsid w:val="005B0E79"/>
    <w:rsid w:val="005B1D15"/>
    <w:rsid w:val="005B2CD7"/>
    <w:rsid w:val="005B5269"/>
    <w:rsid w:val="005B5904"/>
    <w:rsid w:val="005C06C7"/>
    <w:rsid w:val="005C0A93"/>
    <w:rsid w:val="005C306F"/>
    <w:rsid w:val="005D1EBF"/>
    <w:rsid w:val="005D3863"/>
    <w:rsid w:val="005D3F73"/>
    <w:rsid w:val="005D79CA"/>
    <w:rsid w:val="005E4E75"/>
    <w:rsid w:val="005F497B"/>
    <w:rsid w:val="005F74A7"/>
    <w:rsid w:val="00600F2F"/>
    <w:rsid w:val="00603B8D"/>
    <w:rsid w:val="006057BE"/>
    <w:rsid w:val="00612BE4"/>
    <w:rsid w:val="00614020"/>
    <w:rsid w:val="006172CC"/>
    <w:rsid w:val="00617D8D"/>
    <w:rsid w:val="0062206E"/>
    <w:rsid w:val="00622081"/>
    <w:rsid w:val="00625CFA"/>
    <w:rsid w:val="006273AF"/>
    <w:rsid w:val="00635351"/>
    <w:rsid w:val="006371B0"/>
    <w:rsid w:val="0064038E"/>
    <w:rsid w:val="00643CFE"/>
    <w:rsid w:val="00650D0F"/>
    <w:rsid w:val="0065312D"/>
    <w:rsid w:val="0065403B"/>
    <w:rsid w:val="00654AFE"/>
    <w:rsid w:val="006558D6"/>
    <w:rsid w:val="006570D6"/>
    <w:rsid w:val="00664BE6"/>
    <w:rsid w:val="0066550D"/>
    <w:rsid w:val="00666237"/>
    <w:rsid w:val="00672796"/>
    <w:rsid w:val="00676F41"/>
    <w:rsid w:val="00681C20"/>
    <w:rsid w:val="00682723"/>
    <w:rsid w:val="0068312C"/>
    <w:rsid w:val="00686871"/>
    <w:rsid w:val="00695602"/>
    <w:rsid w:val="006A1BC7"/>
    <w:rsid w:val="006A2F11"/>
    <w:rsid w:val="006A4D1E"/>
    <w:rsid w:val="006A7315"/>
    <w:rsid w:val="006A7A83"/>
    <w:rsid w:val="006B1040"/>
    <w:rsid w:val="006C70F7"/>
    <w:rsid w:val="006D0FA4"/>
    <w:rsid w:val="006D2B87"/>
    <w:rsid w:val="006D5B37"/>
    <w:rsid w:val="006D645D"/>
    <w:rsid w:val="006E021D"/>
    <w:rsid w:val="006E2C7B"/>
    <w:rsid w:val="006E4465"/>
    <w:rsid w:val="006E47A9"/>
    <w:rsid w:val="006E56F7"/>
    <w:rsid w:val="006E5A5F"/>
    <w:rsid w:val="006F032B"/>
    <w:rsid w:val="006F1861"/>
    <w:rsid w:val="006F2B82"/>
    <w:rsid w:val="006F4DD7"/>
    <w:rsid w:val="006F6D53"/>
    <w:rsid w:val="006F6EC4"/>
    <w:rsid w:val="006F7759"/>
    <w:rsid w:val="007008DD"/>
    <w:rsid w:val="007025B8"/>
    <w:rsid w:val="00704963"/>
    <w:rsid w:val="007052C6"/>
    <w:rsid w:val="00705463"/>
    <w:rsid w:val="0070609C"/>
    <w:rsid w:val="0071044D"/>
    <w:rsid w:val="00710D73"/>
    <w:rsid w:val="00710E94"/>
    <w:rsid w:val="007119F8"/>
    <w:rsid w:val="00711CC5"/>
    <w:rsid w:val="007137B6"/>
    <w:rsid w:val="007178C9"/>
    <w:rsid w:val="00721773"/>
    <w:rsid w:val="00723EBB"/>
    <w:rsid w:val="00731395"/>
    <w:rsid w:val="00732724"/>
    <w:rsid w:val="007410BC"/>
    <w:rsid w:val="00742ADB"/>
    <w:rsid w:val="007436D7"/>
    <w:rsid w:val="0074665E"/>
    <w:rsid w:val="00747201"/>
    <w:rsid w:val="00747680"/>
    <w:rsid w:val="00747FA7"/>
    <w:rsid w:val="0075372E"/>
    <w:rsid w:val="00753966"/>
    <w:rsid w:val="007561BF"/>
    <w:rsid w:val="007649D1"/>
    <w:rsid w:val="00765D8E"/>
    <w:rsid w:val="00766D63"/>
    <w:rsid w:val="007726F6"/>
    <w:rsid w:val="00777E61"/>
    <w:rsid w:val="00780994"/>
    <w:rsid w:val="007812E6"/>
    <w:rsid w:val="0079515C"/>
    <w:rsid w:val="007A275A"/>
    <w:rsid w:val="007A4B70"/>
    <w:rsid w:val="007B6F21"/>
    <w:rsid w:val="007C0343"/>
    <w:rsid w:val="007C4377"/>
    <w:rsid w:val="007C5873"/>
    <w:rsid w:val="007D08FA"/>
    <w:rsid w:val="007D2C69"/>
    <w:rsid w:val="007D416A"/>
    <w:rsid w:val="007D7B53"/>
    <w:rsid w:val="007D7F98"/>
    <w:rsid w:val="007E7972"/>
    <w:rsid w:val="007F000B"/>
    <w:rsid w:val="007F0B09"/>
    <w:rsid w:val="007F2BC7"/>
    <w:rsid w:val="007F4CD2"/>
    <w:rsid w:val="007F51A3"/>
    <w:rsid w:val="008029E4"/>
    <w:rsid w:val="00804F5A"/>
    <w:rsid w:val="00805CA7"/>
    <w:rsid w:val="008076B9"/>
    <w:rsid w:val="008117D1"/>
    <w:rsid w:val="00811927"/>
    <w:rsid w:val="008138A1"/>
    <w:rsid w:val="00815EA5"/>
    <w:rsid w:val="00820816"/>
    <w:rsid w:val="008233F9"/>
    <w:rsid w:val="00826C67"/>
    <w:rsid w:val="00835ACE"/>
    <w:rsid w:val="00841281"/>
    <w:rsid w:val="0084145E"/>
    <w:rsid w:val="00844A33"/>
    <w:rsid w:val="008465D8"/>
    <w:rsid w:val="00854189"/>
    <w:rsid w:val="00854A85"/>
    <w:rsid w:val="00862B04"/>
    <w:rsid w:val="00863F17"/>
    <w:rsid w:val="0087412E"/>
    <w:rsid w:val="0087565B"/>
    <w:rsid w:val="008771AE"/>
    <w:rsid w:val="0088027B"/>
    <w:rsid w:val="00890002"/>
    <w:rsid w:val="00892E07"/>
    <w:rsid w:val="00893AA5"/>
    <w:rsid w:val="00897481"/>
    <w:rsid w:val="008A1C12"/>
    <w:rsid w:val="008A2855"/>
    <w:rsid w:val="008A48E1"/>
    <w:rsid w:val="008A53F7"/>
    <w:rsid w:val="008B1216"/>
    <w:rsid w:val="008B5BFD"/>
    <w:rsid w:val="008B7F59"/>
    <w:rsid w:val="008C080B"/>
    <w:rsid w:val="008C0EE6"/>
    <w:rsid w:val="008C2016"/>
    <w:rsid w:val="008C286A"/>
    <w:rsid w:val="008C31C5"/>
    <w:rsid w:val="008C38BE"/>
    <w:rsid w:val="008C7BE5"/>
    <w:rsid w:val="008D04A7"/>
    <w:rsid w:val="008D3294"/>
    <w:rsid w:val="008D4447"/>
    <w:rsid w:val="008D6B94"/>
    <w:rsid w:val="008D719E"/>
    <w:rsid w:val="008E038E"/>
    <w:rsid w:val="008E03B0"/>
    <w:rsid w:val="008E14DC"/>
    <w:rsid w:val="008E17CA"/>
    <w:rsid w:val="008E2C60"/>
    <w:rsid w:val="008E7A43"/>
    <w:rsid w:val="00902E4F"/>
    <w:rsid w:val="00905B24"/>
    <w:rsid w:val="0090718D"/>
    <w:rsid w:val="00910D81"/>
    <w:rsid w:val="00910D92"/>
    <w:rsid w:val="00913D78"/>
    <w:rsid w:val="009173F2"/>
    <w:rsid w:val="00917D1C"/>
    <w:rsid w:val="00922DB5"/>
    <w:rsid w:val="00930620"/>
    <w:rsid w:val="009332F3"/>
    <w:rsid w:val="00934397"/>
    <w:rsid w:val="009353A9"/>
    <w:rsid w:val="00935F79"/>
    <w:rsid w:val="0094204A"/>
    <w:rsid w:val="00942214"/>
    <w:rsid w:val="00944D0E"/>
    <w:rsid w:val="00946660"/>
    <w:rsid w:val="00967E6F"/>
    <w:rsid w:val="00970B4F"/>
    <w:rsid w:val="00973DDF"/>
    <w:rsid w:val="0097734B"/>
    <w:rsid w:val="00981490"/>
    <w:rsid w:val="00984D02"/>
    <w:rsid w:val="00987325"/>
    <w:rsid w:val="0099448D"/>
    <w:rsid w:val="00995708"/>
    <w:rsid w:val="009A3808"/>
    <w:rsid w:val="009A4A01"/>
    <w:rsid w:val="009A5EE8"/>
    <w:rsid w:val="009A5FCD"/>
    <w:rsid w:val="009A632C"/>
    <w:rsid w:val="009A6B0F"/>
    <w:rsid w:val="009A77C6"/>
    <w:rsid w:val="009A7E97"/>
    <w:rsid w:val="009A7EF1"/>
    <w:rsid w:val="009B0256"/>
    <w:rsid w:val="009B6D6D"/>
    <w:rsid w:val="009B7549"/>
    <w:rsid w:val="009C1699"/>
    <w:rsid w:val="009C4A21"/>
    <w:rsid w:val="009C5487"/>
    <w:rsid w:val="009D1A55"/>
    <w:rsid w:val="009D40BA"/>
    <w:rsid w:val="009D46B7"/>
    <w:rsid w:val="009E08D3"/>
    <w:rsid w:val="009E231F"/>
    <w:rsid w:val="009E3097"/>
    <w:rsid w:val="009F1C1A"/>
    <w:rsid w:val="009F7318"/>
    <w:rsid w:val="009F7A3B"/>
    <w:rsid w:val="00A0124F"/>
    <w:rsid w:val="00A01A77"/>
    <w:rsid w:val="00A0283C"/>
    <w:rsid w:val="00A038A4"/>
    <w:rsid w:val="00A062B8"/>
    <w:rsid w:val="00A11CEB"/>
    <w:rsid w:val="00A1247C"/>
    <w:rsid w:val="00A14547"/>
    <w:rsid w:val="00A1533E"/>
    <w:rsid w:val="00A2146E"/>
    <w:rsid w:val="00A214F9"/>
    <w:rsid w:val="00A21807"/>
    <w:rsid w:val="00A26711"/>
    <w:rsid w:val="00A26F76"/>
    <w:rsid w:val="00A40344"/>
    <w:rsid w:val="00A47D5A"/>
    <w:rsid w:val="00A51299"/>
    <w:rsid w:val="00A52033"/>
    <w:rsid w:val="00A549DD"/>
    <w:rsid w:val="00A5669B"/>
    <w:rsid w:val="00A574C3"/>
    <w:rsid w:val="00A61733"/>
    <w:rsid w:val="00A65873"/>
    <w:rsid w:val="00A7086E"/>
    <w:rsid w:val="00A7575F"/>
    <w:rsid w:val="00A80950"/>
    <w:rsid w:val="00A81CB1"/>
    <w:rsid w:val="00A911DA"/>
    <w:rsid w:val="00A97373"/>
    <w:rsid w:val="00AA2370"/>
    <w:rsid w:val="00AA26FB"/>
    <w:rsid w:val="00AA42F4"/>
    <w:rsid w:val="00AA55CA"/>
    <w:rsid w:val="00AA6821"/>
    <w:rsid w:val="00AB2ABE"/>
    <w:rsid w:val="00AB3A3E"/>
    <w:rsid w:val="00AB3D18"/>
    <w:rsid w:val="00AB3FF0"/>
    <w:rsid w:val="00AC198E"/>
    <w:rsid w:val="00AC567F"/>
    <w:rsid w:val="00AC6744"/>
    <w:rsid w:val="00AD2D37"/>
    <w:rsid w:val="00AD3D5C"/>
    <w:rsid w:val="00AD5641"/>
    <w:rsid w:val="00AD763B"/>
    <w:rsid w:val="00AE01EF"/>
    <w:rsid w:val="00AE1684"/>
    <w:rsid w:val="00AE21DD"/>
    <w:rsid w:val="00AE5F4B"/>
    <w:rsid w:val="00AF0E2B"/>
    <w:rsid w:val="00AF185C"/>
    <w:rsid w:val="00B011F4"/>
    <w:rsid w:val="00B01767"/>
    <w:rsid w:val="00B05661"/>
    <w:rsid w:val="00B216DF"/>
    <w:rsid w:val="00B217AE"/>
    <w:rsid w:val="00B30FA7"/>
    <w:rsid w:val="00B326CC"/>
    <w:rsid w:val="00B32E29"/>
    <w:rsid w:val="00B34D6E"/>
    <w:rsid w:val="00B408EE"/>
    <w:rsid w:val="00B51CD6"/>
    <w:rsid w:val="00B528FB"/>
    <w:rsid w:val="00B52F25"/>
    <w:rsid w:val="00B54C50"/>
    <w:rsid w:val="00B552DD"/>
    <w:rsid w:val="00B55B21"/>
    <w:rsid w:val="00B567E2"/>
    <w:rsid w:val="00B56DB9"/>
    <w:rsid w:val="00B56E36"/>
    <w:rsid w:val="00B572F9"/>
    <w:rsid w:val="00B610DD"/>
    <w:rsid w:val="00B6495E"/>
    <w:rsid w:val="00B70ADD"/>
    <w:rsid w:val="00B725FA"/>
    <w:rsid w:val="00B7440B"/>
    <w:rsid w:val="00B81456"/>
    <w:rsid w:val="00B814FB"/>
    <w:rsid w:val="00B82807"/>
    <w:rsid w:val="00B82D52"/>
    <w:rsid w:val="00B86937"/>
    <w:rsid w:val="00B91ED1"/>
    <w:rsid w:val="00B93D8A"/>
    <w:rsid w:val="00B95FCF"/>
    <w:rsid w:val="00B96ED2"/>
    <w:rsid w:val="00B97936"/>
    <w:rsid w:val="00BA6C79"/>
    <w:rsid w:val="00BB24B0"/>
    <w:rsid w:val="00BC1886"/>
    <w:rsid w:val="00BC621D"/>
    <w:rsid w:val="00BC7C66"/>
    <w:rsid w:val="00BD15EF"/>
    <w:rsid w:val="00BD4F2F"/>
    <w:rsid w:val="00BE703A"/>
    <w:rsid w:val="00BE7965"/>
    <w:rsid w:val="00BF559D"/>
    <w:rsid w:val="00BF71D3"/>
    <w:rsid w:val="00C01159"/>
    <w:rsid w:val="00C04C4B"/>
    <w:rsid w:val="00C0502A"/>
    <w:rsid w:val="00C149F6"/>
    <w:rsid w:val="00C14DCE"/>
    <w:rsid w:val="00C14DFC"/>
    <w:rsid w:val="00C20128"/>
    <w:rsid w:val="00C2033E"/>
    <w:rsid w:val="00C2275A"/>
    <w:rsid w:val="00C2796E"/>
    <w:rsid w:val="00C352D4"/>
    <w:rsid w:val="00C4295B"/>
    <w:rsid w:val="00C4502F"/>
    <w:rsid w:val="00C45377"/>
    <w:rsid w:val="00C46895"/>
    <w:rsid w:val="00C46FB5"/>
    <w:rsid w:val="00C52FA3"/>
    <w:rsid w:val="00C55D5C"/>
    <w:rsid w:val="00C567CC"/>
    <w:rsid w:val="00C56C08"/>
    <w:rsid w:val="00C64345"/>
    <w:rsid w:val="00C64DB1"/>
    <w:rsid w:val="00C65450"/>
    <w:rsid w:val="00C70F44"/>
    <w:rsid w:val="00C76713"/>
    <w:rsid w:val="00C8074E"/>
    <w:rsid w:val="00C84594"/>
    <w:rsid w:val="00C85C3F"/>
    <w:rsid w:val="00C924D6"/>
    <w:rsid w:val="00C95A0A"/>
    <w:rsid w:val="00C97074"/>
    <w:rsid w:val="00CA2E5B"/>
    <w:rsid w:val="00CA51C8"/>
    <w:rsid w:val="00CB1A63"/>
    <w:rsid w:val="00CB420C"/>
    <w:rsid w:val="00CC0CDF"/>
    <w:rsid w:val="00CC170F"/>
    <w:rsid w:val="00CC2DF1"/>
    <w:rsid w:val="00CC4EFC"/>
    <w:rsid w:val="00CC54F8"/>
    <w:rsid w:val="00CC6AA0"/>
    <w:rsid w:val="00CD0758"/>
    <w:rsid w:val="00CD4522"/>
    <w:rsid w:val="00CD49F2"/>
    <w:rsid w:val="00CD4C11"/>
    <w:rsid w:val="00CE0A3A"/>
    <w:rsid w:val="00CE517D"/>
    <w:rsid w:val="00CF6F47"/>
    <w:rsid w:val="00CF7859"/>
    <w:rsid w:val="00D02235"/>
    <w:rsid w:val="00D04757"/>
    <w:rsid w:val="00D11679"/>
    <w:rsid w:val="00D12D33"/>
    <w:rsid w:val="00D1549B"/>
    <w:rsid w:val="00D1757B"/>
    <w:rsid w:val="00D177A2"/>
    <w:rsid w:val="00D2015D"/>
    <w:rsid w:val="00D20A0A"/>
    <w:rsid w:val="00D23A0B"/>
    <w:rsid w:val="00D23A7E"/>
    <w:rsid w:val="00D263BB"/>
    <w:rsid w:val="00D5003D"/>
    <w:rsid w:val="00D50C5F"/>
    <w:rsid w:val="00D54B85"/>
    <w:rsid w:val="00D563B4"/>
    <w:rsid w:val="00D657CF"/>
    <w:rsid w:val="00D67A76"/>
    <w:rsid w:val="00D72B89"/>
    <w:rsid w:val="00D7355C"/>
    <w:rsid w:val="00D735AB"/>
    <w:rsid w:val="00D74CA1"/>
    <w:rsid w:val="00D75DA1"/>
    <w:rsid w:val="00D75DD8"/>
    <w:rsid w:val="00D8140B"/>
    <w:rsid w:val="00D81825"/>
    <w:rsid w:val="00D833FD"/>
    <w:rsid w:val="00D84BD1"/>
    <w:rsid w:val="00D85C87"/>
    <w:rsid w:val="00D86F11"/>
    <w:rsid w:val="00D904D2"/>
    <w:rsid w:val="00D90543"/>
    <w:rsid w:val="00D923B1"/>
    <w:rsid w:val="00DA0153"/>
    <w:rsid w:val="00DA188A"/>
    <w:rsid w:val="00DA28AA"/>
    <w:rsid w:val="00DA46EB"/>
    <w:rsid w:val="00DA6717"/>
    <w:rsid w:val="00DB12F8"/>
    <w:rsid w:val="00DB345C"/>
    <w:rsid w:val="00DB7820"/>
    <w:rsid w:val="00DB7BF6"/>
    <w:rsid w:val="00DC0DD4"/>
    <w:rsid w:val="00DC4512"/>
    <w:rsid w:val="00DC466F"/>
    <w:rsid w:val="00DC501B"/>
    <w:rsid w:val="00DC5D5B"/>
    <w:rsid w:val="00DD016A"/>
    <w:rsid w:val="00DD343C"/>
    <w:rsid w:val="00DD424C"/>
    <w:rsid w:val="00DD58D5"/>
    <w:rsid w:val="00DD62C1"/>
    <w:rsid w:val="00DE016E"/>
    <w:rsid w:val="00DE1E89"/>
    <w:rsid w:val="00DE2290"/>
    <w:rsid w:val="00DE3DE3"/>
    <w:rsid w:val="00DE6EF4"/>
    <w:rsid w:val="00DF2B9D"/>
    <w:rsid w:val="00DF55E7"/>
    <w:rsid w:val="00DF74F6"/>
    <w:rsid w:val="00DF7629"/>
    <w:rsid w:val="00E005B3"/>
    <w:rsid w:val="00E00A6D"/>
    <w:rsid w:val="00E0103C"/>
    <w:rsid w:val="00E011F1"/>
    <w:rsid w:val="00E04EE2"/>
    <w:rsid w:val="00E05169"/>
    <w:rsid w:val="00E05296"/>
    <w:rsid w:val="00E06645"/>
    <w:rsid w:val="00E1493D"/>
    <w:rsid w:val="00E15E3B"/>
    <w:rsid w:val="00E17FDF"/>
    <w:rsid w:val="00E200C3"/>
    <w:rsid w:val="00E23C90"/>
    <w:rsid w:val="00E24D46"/>
    <w:rsid w:val="00E31866"/>
    <w:rsid w:val="00E33027"/>
    <w:rsid w:val="00E338FE"/>
    <w:rsid w:val="00E342E4"/>
    <w:rsid w:val="00E34F2C"/>
    <w:rsid w:val="00E401D4"/>
    <w:rsid w:val="00E41B57"/>
    <w:rsid w:val="00E42016"/>
    <w:rsid w:val="00E42A47"/>
    <w:rsid w:val="00E441F0"/>
    <w:rsid w:val="00E50EFC"/>
    <w:rsid w:val="00E51D29"/>
    <w:rsid w:val="00E5411C"/>
    <w:rsid w:val="00E567C1"/>
    <w:rsid w:val="00E62DA1"/>
    <w:rsid w:val="00E66846"/>
    <w:rsid w:val="00E67B36"/>
    <w:rsid w:val="00E71DE3"/>
    <w:rsid w:val="00E742B6"/>
    <w:rsid w:val="00E7476A"/>
    <w:rsid w:val="00E76D99"/>
    <w:rsid w:val="00E76EC8"/>
    <w:rsid w:val="00E812C8"/>
    <w:rsid w:val="00E8144E"/>
    <w:rsid w:val="00E918DA"/>
    <w:rsid w:val="00E92E5C"/>
    <w:rsid w:val="00E934F7"/>
    <w:rsid w:val="00EA04FD"/>
    <w:rsid w:val="00EA22A3"/>
    <w:rsid w:val="00EA2559"/>
    <w:rsid w:val="00EA26C0"/>
    <w:rsid w:val="00EA5DB0"/>
    <w:rsid w:val="00EA6752"/>
    <w:rsid w:val="00EB2D85"/>
    <w:rsid w:val="00EB2EBC"/>
    <w:rsid w:val="00EB47C4"/>
    <w:rsid w:val="00EB5D87"/>
    <w:rsid w:val="00EC328F"/>
    <w:rsid w:val="00ED2BCA"/>
    <w:rsid w:val="00ED4C78"/>
    <w:rsid w:val="00ED50F2"/>
    <w:rsid w:val="00ED6E19"/>
    <w:rsid w:val="00ED7270"/>
    <w:rsid w:val="00EE05BE"/>
    <w:rsid w:val="00EE1ECF"/>
    <w:rsid w:val="00EE2305"/>
    <w:rsid w:val="00EE3BA2"/>
    <w:rsid w:val="00EE4A32"/>
    <w:rsid w:val="00EE5814"/>
    <w:rsid w:val="00EE5A81"/>
    <w:rsid w:val="00EE6617"/>
    <w:rsid w:val="00EF19DE"/>
    <w:rsid w:val="00EF4C78"/>
    <w:rsid w:val="00EF7E72"/>
    <w:rsid w:val="00F005A8"/>
    <w:rsid w:val="00F02184"/>
    <w:rsid w:val="00F04CF7"/>
    <w:rsid w:val="00F04F8F"/>
    <w:rsid w:val="00F05CD1"/>
    <w:rsid w:val="00F13694"/>
    <w:rsid w:val="00F14968"/>
    <w:rsid w:val="00F14C6B"/>
    <w:rsid w:val="00F15F20"/>
    <w:rsid w:val="00F2012D"/>
    <w:rsid w:val="00F20466"/>
    <w:rsid w:val="00F206F9"/>
    <w:rsid w:val="00F21955"/>
    <w:rsid w:val="00F23E69"/>
    <w:rsid w:val="00F27DB1"/>
    <w:rsid w:val="00F31D15"/>
    <w:rsid w:val="00F35006"/>
    <w:rsid w:val="00F35370"/>
    <w:rsid w:val="00F40F94"/>
    <w:rsid w:val="00F447FD"/>
    <w:rsid w:val="00F45979"/>
    <w:rsid w:val="00F50056"/>
    <w:rsid w:val="00F50093"/>
    <w:rsid w:val="00F50D53"/>
    <w:rsid w:val="00F5136C"/>
    <w:rsid w:val="00F537F5"/>
    <w:rsid w:val="00F6111B"/>
    <w:rsid w:val="00F65595"/>
    <w:rsid w:val="00F66E27"/>
    <w:rsid w:val="00F71D6D"/>
    <w:rsid w:val="00F7290A"/>
    <w:rsid w:val="00F729DA"/>
    <w:rsid w:val="00F731FD"/>
    <w:rsid w:val="00F73214"/>
    <w:rsid w:val="00F74C93"/>
    <w:rsid w:val="00F74E55"/>
    <w:rsid w:val="00F76473"/>
    <w:rsid w:val="00F77104"/>
    <w:rsid w:val="00F8769E"/>
    <w:rsid w:val="00F90D7B"/>
    <w:rsid w:val="00F91750"/>
    <w:rsid w:val="00F97BA0"/>
    <w:rsid w:val="00FA11CF"/>
    <w:rsid w:val="00FA468C"/>
    <w:rsid w:val="00FB4D90"/>
    <w:rsid w:val="00FB6A67"/>
    <w:rsid w:val="00FC1B21"/>
    <w:rsid w:val="00FC26F7"/>
    <w:rsid w:val="00FC2FBD"/>
    <w:rsid w:val="00FC3BB4"/>
    <w:rsid w:val="00FC4D2C"/>
    <w:rsid w:val="00FD2802"/>
    <w:rsid w:val="00FD341C"/>
    <w:rsid w:val="00FD4BE5"/>
    <w:rsid w:val="00FF1BEA"/>
    <w:rsid w:val="00FF2894"/>
    <w:rsid w:val="00FF2A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3C16666"/>
  <w15:chartTrackingRefBased/>
  <w15:docId w15:val="{42C0E98A-F47B-4706-9DA4-01557E314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3B1"/>
  </w:style>
  <w:style w:type="paragraph" w:styleId="Heading1">
    <w:name w:val="heading 1"/>
    <w:basedOn w:val="Normal"/>
    <w:next w:val="Normal"/>
    <w:link w:val="Heading1Char"/>
    <w:uiPriority w:val="9"/>
    <w:qFormat/>
    <w:rsid w:val="00360BFF"/>
    <w:pPr>
      <w:keepNext/>
      <w:keepLines/>
      <w:spacing w:before="240" w:after="0"/>
      <w:outlineLvl w:val="0"/>
    </w:pPr>
    <w:rPr>
      <w:rFonts w:asciiTheme="majorHAnsi" w:eastAsiaTheme="majorEastAsia" w:hAnsiTheme="majorHAnsi" w:cstheme="majorBidi"/>
      <w:color w:val="2E74B5" w:themeColor="accent1" w:themeShade="BF"/>
      <w:sz w:val="24"/>
      <w:szCs w:val="32"/>
    </w:rPr>
  </w:style>
  <w:style w:type="paragraph" w:styleId="Heading2">
    <w:name w:val="heading 2"/>
    <w:basedOn w:val="Normal"/>
    <w:next w:val="Normal"/>
    <w:link w:val="Heading2Char"/>
    <w:uiPriority w:val="9"/>
    <w:unhideWhenUsed/>
    <w:qFormat/>
    <w:rsid w:val="007327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9A380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917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ist Paragraph3,OBC Bullet,L,Dot pt,No Spacing1,List Paragraph Char Char Char,Indicator Text,Numbered Para 1,List Paragraph1,Bullet Points,MAIN CONTENT,Bullet 1,List Paragraph11,List Paragraph12,F5 List Paragraph,Colorful List - Accent 11"/>
    <w:basedOn w:val="Normal"/>
    <w:link w:val="ListParagraphChar"/>
    <w:uiPriority w:val="34"/>
    <w:qFormat/>
    <w:rsid w:val="00F91750"/>
    <w:pPr>
      <w:ind w:left="720"/>
      <w:contextualSpacing/>
    </w:pPr>
    <w:rPr>
      <w:rFonts w:ascii="Arial" w:hAnsi="Arial" w:cs="Arial"/>
      <w:sz w:val="24"/>
      <w:szCs w:val="20"/>
    </w:rPr>
  </w:style>
  <w:style w:type="paragraph" w:styleId="Header">
    <w:name w:val="header"/>
    <w:basedOn w:val="Normal"/>
    <w:link w:val="HeaderChar"/>
    <w:uiPriority w:val="99"/>
    <w:unhideWhenUsed/>
    <w:rsid w:val="0023731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731B"/>
  </w:style>
  <w:style w:type="paragraph" w:styleId="Footer">
    <w:name w:val="footer"/>
    <w:basedOn w:val="Normal"/>
    <w:link w:val="FooterChar"/>
    <w:uiPriority w:val="99"/>
    <w:unhideWhenUsed/>
    <w:rsid w:val="0023731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731B"/>
  </w:style>
  <w:style w:type="character" w:customStyle="1" w:styleId="Heading1Char">
    <w:name w:val="Heading 1 Char"/>
    <w:basedOn w:val="DefaultParagraphFont"/>
    <w:link w:val="Heading1"/>
    <w:uiPriority w:val="9"/>
    <w:rsid w:val="00360BFF"/>
    <w:rPr>
      <w:rFonts w:asciiTheme="majorHAnsi" w:eastAsiaTheme="majorEastAsia" w:hAnsiTheme="majorHAnsi" w:cstheme="majorBidi"/>
      <w:color w:val="2E74B5" w:themeColor="accent1" w:themeShade="BF"/>
      <w:sz w:val="24"/>
      <w:szCs w:val="32"/>
    </w:rPr>
  </w:style>
  <w:style w:type="paragraph" w:styleId="NormalWeb">
    <w:name w:val="Normal (Web)"/>
    <w:basedOn w:val="Normal"/>
    <w:uiPriority w:val="99"/>
    <w:unhideWhenUsed/>
    <w:rsid w:val="00F6559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OCHeading">
    <w:name w:val="TOC Heading"/>
    <w:basedOn w:val="Heading1"/>
    <w:next w:val="Normal"/>
    <w:uiPriority w:val="39"/>
    <w:unhideWhenUsed/>
    <w:qFormat/>
    <w:rsid w:val="00F65595"/>
    <w:pPr>
      <w:outlineLvl w:val="9"/>
    </w:pPr>
    <w:rPr>
      <w:lang w:val="en-US"/>
    </w:rPr>
  </w:style>
  <w:style w:type="paragraph" w:styleId="TOC1">
    <w:name w:val="toc 1"/>
    <w:basedOn w:val="Normal"/>
    <w:next w:val="Normal"/>
    <w:autoRedefine/>
    <w:uiPriority w:val="39"/>
    <w:unhideWhenUsed/>
    <w:rsid w:val="00F65595"/>
    <w:pPr>
      <w:tabs>
        <w:tab w:val="right" w:leader="dot" w:pos="15583"/>
      </w:tabs>
      <w:spacing w:after="100"/>
    </w:pPr>
    <w:rPr>
      <w:rFonts w:ascii="Arial" w:eastAsia="Times New Roman" w:hAnsi="Arial" w:cs="Arial"/>
      <w:noProof/>
      <w:kern w:val="36"/>
      <w:sz w:val="24"/>
      <w:szCs w:val="20"/>
      <w:lang w:eastAsia="en-GB"/>
    </w:rPr>
  </w:style>
  <w:style w:type="character" w:styleId="Hyperlink">
    <w:name w:val="Hyperlink"/>
    <w:basedOn w:val="DefaultParagraphFont"/>
    <w:uiPriority w:val="99"/>
    <w:unhideWhenUsed/>
    <w:rsid w:val="00F65595"/>
    <w:rPr>
      <w:color w:val="0563C1" w:themeColor="hyperlink"/>
      <w:u w:val="single"/>
    </w:rPr>
  </w:style>
  <w:style w:type="character" w:customStyle="1" w:styleId="st1">
    <w:name w:val="st1"/>
    <w:basedOn w:val="DefaultParagraphFont"/>
    <w:rsid w:val="00A1247C"/>
  </w:style>
  <w:style w:type="paragraph" w:styleId="NoSpacing">
    <w:name w:val="No Spacing"/>
    <w:link w:val="NoSpacingChar"/>
    <w:uiPriority w:val="1"/>
    <w:qFormat/>
    <w:rsid w:val="00F90D7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90D7B"/>
    <w:rPr>
      <w:rFonts w:eastAsiaTheme="minorEastAsia"/>
      <w:lang w:val="en-US"/>
    </w:rPr>
  </w:style>
  <w:style w:type="paragraph" w:styleId="BodyText">
    <w:name w:val="Body Text"/>
    <w:basedOn w:val="Normal"/>
    <w:link w:val="BodyTextChar"/>
    <w:uiPriority w:val="1"/>
    <w:qFormat/>
    <w:rsid w:val="00F90D7B"/>
    <w:pPr>
      <w:widowControl w:val="0"/>
      <w:autoSpaceDE w:val="0"/>
      <w:autoSpaceDN w:val="0"/>
      <w:spacing w:after="0" w:line="240" w:lineRule="auto"/>
      <w:jc w:val="both"/>
    </w:pPr>
    <w:rPr>
      <w:rFonts w:ascii="Arial" w:eastAsia="Arial" w:hAnsi="Arial" w:cs="Arial"/>
      <w:sz w:val="24"/>
      <w:szCs w:val="24"/>
      <w:lang w:eastAsia="en-GB" w:bidi="en-GB"/>
    </w:rPr>
  </w:style>
  <w:style w:type="character" w:customStyle="1" w:styleId="BodyTextChar">
    <w:name w:val="Body Text Char"/>
    <w:basedOn w:val="DefaultParagraphFont"/>
    <w:link w:val="BodyText"/>
    <w:uiPriority w:val="1"/>
    <w:rsid w:val="00F90D7B"/>
    <w:rPr>
      <w:rFonts w:ascii="Arial" w:eastAsia="Arial" w:hAnsi="Arial" w:cs="Arial"/>
      <w:sz w:val="24"/>
      <w:szCs w:val="24"/>
      <w:lang w:eastAsia="en-GB" w:bidi="en-GB"/>
    </w:rPr>
  </w:style>
  <w:style w:type="paragraph" w:styleId="FootnoteText">
    <w:name w:val="footnote text"/>
    <w:basedOn w:val="Normal"/>
    <w:link w:val="FootnoteTextChar"/>
    <w:uiPriority w:val="99"/>
    <w:semiHidden/>
    <w:rsid w:val="00F90D7B"/>
    <w:pPr>
      <w:spacing w:before="120" w:after="12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uiPriority w:val="99"/>
    <w:semiHidden/>
    <w:rsid w:val="00F90D7B"/>
    <w:rPr>
      <w:rFonts w:ascii="Arial" w:eastAsia="Times New Roman" w:hAnsi="Arial" w:cs="Times New Roman"/>
      <w:sz w:val="20"/>
      <w:szCs w:val="20"/>
    </w:rPr>
  </w:style>
  <w:style w:type="paragraph" w:customStyle="1" w:styleId="Default">
    <w:name w:val="Default"/>
    <w:rsid w:val="00F90D7B"/>
    <w:pPr>
      <w:autoSpaceDE w:val="0"/>
      <w:autoSpaceDN w:val="0"/>
      <w:adjustRightInd w:val="0"/>
      <w:spacing w:after="0" w:line="240" w:lineRule="auto"/>
    </w:pPr>
    <w:rPr>
      <w:rFonts w:ascii="Calibri" w:hAnsi="Calibri" w:cs="Calibri"/>
      <w:color w:val="000000"/>
      <w:sz w:val="24"/>
      <w:szCs w:val="24"/>
    </w:rPr>
  </w:style>
  <w:style w:type="character" w:styleId="FootnoteReference">
    <w:name w:val="footnote reference"/>
    <w:basedOn w:val="DefaultParagraphFont"/>
    <w:uiPriority w:val="99"/>
    <w:semiHidden/>
    <w:unhideWhenUsed/>
    <w:rsid w:val="00747201"/>
    <w:rPr>
      <w:vertAlign w:val="superscript"/>
    </w:rPr>
  </w:style>
  <w:style w:type="paragraph" w:styleId="BalloonText">
    <w:name w:val="Balloon Text"/>
    <w:basedOn w:val="Normal"/>
    <w:link w:val="BalloonTextChar"/>
    <w:uiPriority w:val="99"/>
    <w:semiHidden/>
    <w:unhideWhenUsed/>
    <w:rsid w:val="00150A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0ACE"/>
    <w:rPr>
      <w:rFonts w:ascii="Segoe UI" w:hAnsi="Segoe UI" w:cs="Segoe UI"/>
      <w:sz w:val="18"/>
      <w:szCs w:val="18"/>
    </w:rPr>
  </w:style>
  <w:style w:type="table" w:customStyle="1" w:styleId="TableGrid1">
    <w:name w:val="Table Grid1"/>
    <w:basedOn w:val="TableNormal"/>
    <w:next w:val="TableGrid"/>
    <w:uiPriority w:val="39"/>
    <w:rsid w:val="001112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732724"/>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732724"/>
    <w:pPr>
      <w:spacing w:after="100"/>
      <w:ind w:left="220"/>
    </w:pPr>
  </w:style>
  <w:style w:type="character" w:styleId="FollowedHyperlink">
    <w:name w:val="FollowedHyperlink"/>
    <w:basedOn w:val="DefaultParagraphFont"/>
    <w:uiPriority w:val="99"/>
    <w:semiHidden/>
    <w:unhideWhenUsed/>
    <w:rsid w:val="00DE3DE3"/>
    <w:rPr>
      <w:color w:val="954F72" w:themeColor="followedHyperlink"/>
      <w:u w:val="single"/>
    </w:rPr>
  </w:style>
  <w:style w:type="character" w:customStyle="1" w:styleId="ListParagraphChar">
    <w:name w:val="List Paragraph Char"/>
    <w:aliases w:val="List Paragraph3 Char,OBC Bullet Char,L Char,Dot pt Char,No Spacing1 Char,List Paragraph Char Char Char Char,Indicator Text Char,Numbered Para 1 Char,List Paragraph1 Char,Bullet Points Char,MAIN CONTENT Char,Bullet 1 Char"/>
    <w:basedOn w:val="DefaultParagraphFont"/>
    <w:link w:val="ListParagraph"/>
    <w:uiPriority w:val="34"/>
    <w:qFormat/>
    <w:rsid w:val="00EE5814"/>
    <w:rPr>
      <w:rFonts w:ascii="Arial" w:hAnsi="Arial" w:cs="Arial"/>
      <w:sz w:val="24"/>
      <w:szCs w:val="20"/>
    </w:rPr>
  </w:style>
  <w:style w:type="character" w:styleId="CommentReference">
    <w:name w:val="annotation reference"/>
    <w:basedOn w:val="DefaultParagraphFont"/>
    <w:uiPriority w:val="99"/>
    <w:semiHidden/>
    <w:unhideWhenUsed/>
    <w:rsid w:val="00902E4F"/>
    <w:rPr>
      <w:sz w:val="16"/>
      <w:szCs w:val="16"/>
    </w:rPr>
  </w:style>
  <w:style w:type="paragraph" w:styleId="CommentText">
    <w:name w:val="annotation text"/>
    <w:basedOn w:val="Normal"/>
    <w:link w:val="CommentTextChar"/>
    <w:uiPriority w:val="99"/>
    <w:semiHidden/>
    <w:unhideWhenUsed/>
    <w:rsid w:val="00902E4F"/>
    <w:pPr>
      <w:spacing w:line="240" w:lineRule="auto"/>
    </w:pPr>
    <w:rPr>
      <w:sz w:val="20"/>
      <w:szCs w:val="20"/>
    </w:rPr>
  </w:style>
  <w:style w:type="character" w:customStyle="1" w:styleId="CommentTextChar">
    <w:name w:val="Comment Text Char"/>
    <w:basedOn w:val="DefaultParagraphFont"/>
    <w:link w:val="CommentText"/>
    <w:uiPriority w:val="99"/>
    <w:semiHidden/>
    <w:rsid w:val="00902E4F"/>
    <w:rPr>
      <w:sz w:val="20"/>
      <w:szCs w:val="20"/>
    </w:rPr>
  </w:style>
  <w:style w:type="paragraph" w:styleId="CommentSubject">
    <w:name w:val="annotation subject"/>
    <w:basedOn w:val="CommentText"/>
    <w:next w:val="CommentText"/>
    <w:link w:val="CommentSubjectChar"/>
    <w:uiPriority w:val="99"/>
    <w:semiHidden/>
    <w:unhideWhenUsed/>
    <w:rsid w:val="00902E4F"/>
    <w:rPr>
      <w:b/>
      <w:bCs/>
    </w:rPr>
  </w:style>
  <w:style w:type="character" w:customStyle="1" w:styleId="CommentSubjectChar">
    <w:name w:val="Comment Subject Char"/>
    <w:basedOn w:val="CommentTextChar"/>
    <w:link w:val="CommentSubject"/>
    <w:uiPriority w:val="99"/>
    <w:semiHidden/>
    <w:rsid w:val="00902E4F"/>
    <w:rPr>
      <w:b/>
      <w:bCs/>
      <w:sz w:val="20"/>
      <w:szCs w:val="20"/>
    </w:rPr>
  </w:style>
  <w:style w:type="paragraph" w:customStyle="1" w:styleId="xmsonormal">
    <w:name w:val="x_msonormal"/>
    <w:basedOn w:val="Normal"/>
    <w:uiPriority w:val="99"/>
    <w:rsid w:val="0019240C"/>
    <w:pPr>
      <w:spacing w:after="0" w:line="240" w:lineRule="auto"/>
    </w:pPr>
    <w:rPr>
      <w:rFonts w:ascii="Times New Roman" w:hAnsi="Times New Roman" w:cs="Times New Roman"/>
      <w:sz w:val="24"/>
      <w:szCs w:val="24"/>
      <w:lang w:eastAsia="en-GB"/>
    </w:rPr>
  </w:style>
  <w:style w:type="character" w:customStyle="1" w:styleId="Heading3Char">
    <w:name w:val="Heading 3 Char"/>
    <w:basedOn w:val="DefaultParagraphFont"/>
    <w:link w:val="Heading3"/>
    <w:uiPriority w:val="9"/>
    <w:rsid w:val="009A3808"/>
    <w:rPr>
      <w:rFonts w:asciiTheme="majorHAnsi" w:eastAsiaTheme="majorEastAsia" w:hAnsiTheme="majorHAnsi" w:cstheme="majorBidi"/>
      <w:color w:val="1F4D78" w:themeColor="accent1" w:themeShade="7F"/>
      <w:sz w:val="24"/>
      <w:szCs w:val="24"/>
    </w:rPr>
  </w:style>
  <w:style w:type="table" w:customStyle="1" w:styleId="TableGrid2">
    <w:name w:val="Table Grid2"/>
    <w:basedOn w:val="TableNormal"/>
    <w:next w:val="TableGrid"/>
    <w:uiPriority w:val="39"/>
    <w:rsid w:val="005876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8465D8"/>
    <w:pPr>
      <w:spacing w:after="100"/>
      <w:ind w:left="440"/>
    </w:pPr>
  </w:style>
  <w:style w:type="character" w:styleId="PlaceholderText">
    <w:name w:val="Placeholder Text"/>
    <w:basedOn w:val="DefaultParagraphFont"/>
    <w:uiPriority w:val="99"/>
    <w:semiHidden/>
    <w:rsid w:val="00FF28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798191">
      <w:bodyDiv w:val="1"/>
      <w:marLeft w:val="0"/>
      <w:marRight w:val="0"/>
      <w:marTop w:val="0"/>
      <w:marBottom w:val="0"/>
      <w:divBdr>
        <w:top w:val="none" w:sz="0" w:space="0" w:color="auto"/>
        <w:left w:val="none" w:sz="0" w:space="0" w:color="auto"/>
        <w:bottom w:val="none" w:sz="0" w:space="0" w:color="auto"/>
        <w:right w:val="none" w:sz="0" w:space="0" w:color="auto"/>
      </w:divBdr>
    </w:div>
    <w:div w:id="153186669">
      <w:bodyDiv w:val="1"/>
      <w:marLeft w:val="0"/>
      <w:marRight w:val="0"/>
      <w:marTop w:val="0"/>
      <w:marBottom w:val="0"/>
      <w:divBdr>
        <w:top w:val="none" w:sz="0" w:space="0" w:color="auto"/>
        <w:left w:val="none" w:sz="0" w:space="0" w:color="auto"/>
        <w:bottom w:val="none" w:sz="0" w:space="0" w:color="auto"/>
        <w:right w:val="none" w:sz="0" w:space="0" w:color="auto"/>
      </w:divBdr>
    </w:div>
    <w:div w:id="180095530">
      <w:bodyDiv w:val="1"/>
      <w:marLeft w:val="0"/>
      <w:marRight w:val="0"/>
      <w:marTop w:val="0"/>
      <w:marBottom w:val="0"/>
      <w:divBdr>
        <w:top w:val="none" w:sz="0" w:space="0" w:color="auto"/>
        <w:left w:val="none" w:sz="0" w:space="0" w:color="auto"/>
        <w:bottom w:val="none" w:sz="0" w:space="0" w:color="auto"/>
        <w:right w:val="none" w:sz="0" w:space="0" w:color="auto"/>
      </w:divBdr>
    </w:div>
    <w:div w:id="281353148">
      <w:bodyDiv w:val="1"/>
      <w:marLeft w:val="0"/>
      <w:marRight w:val="0"/>
      <w:marTop w:val="0"/>
      <w:marBottom w:val="0"/>
      <w:divBdr>
        <w:top w:val="none" w:sz="0" w:space="0" w:color="auto"/>
        <w:left w:val="none" w:sz="0" w:space="0" w:color="auto"/>
        <w:bottom w:val="none" w:sz="0" w:space="0" w:color="auto"/>
        <w:right w:val="none" w:sz="0" w:space="0" w:color="auto"/>
      </w:divBdr>
    </w:div>
    <w:div w:id="318458558">
      <w:bodyDiv w:val="1"/>
      <w:marLeft w:val="0"/>
      <w:marRight w:val="0"/>
      <w:marTop w:val="0"/>
      <w:marBottom w:val="0"/>
      <w:divBdr>
        <w:top w:val="none" w:sz="0" w:space="0" w:color="auto"/>
        <w:left w:val="none" w:sz="0" w:space="0" w:color="auto"/>
        <w:bottom w:val="none" w:sz="0" w:space="0" w:color="auto"/>
        <w:right w:val="none" w:sz="0" w:space="0" w:color="auto"/>
      </w:divBdr>
    </w:div>
    <w:div w:id="417361786">
      <w:bodyDiv w:val="1"/>
      <w:marLeft w:val="0"/>
      <w:marRight w:val="0"/>
      <w:marTop w:val="0"/>
      <w:marBottom w:val="0"/>
      <w:divBdr>
        <w:top w:val="none" w:sz="0" w:space="0" w:color="auto"/>
        <w:left w:val="none" w:sz="0" w:space="0" w:color="auto"/>
        <w:bottom w:val="none" w:sz="0" w:space="0" w:color="auto"/>
        <w:right w:val="none" w:sz="0" w:space="0" w:color="auto"/>
      </w:divBdr>
    </w:div>
    <w:div w:id="489761316">
      <w:bodyDiv w:val="1"/>
      <w:marLeft w:val="0"/>
      <w:marRight w:val="0"/>
      <w:marTop w:val="0"/>
      <w:marBottom w:val="0"/>
      <w:divBdr>
        <w:top w:val="none" w:sz="0" w:space="0" w:color="auto"/>
        <w:left w:val="none" w:sz="0" w:space="0" w:color="auto"/>
        <w:bottom w:val="none" w:sz="0" w:space="0" w:color="auto"/>
        <w:right w:val="none" w:sz="0" w:space="0" w:color="auto"/>
      </w:divBdr>
    </w:div>
    <w:div w:id="569727329">
      <w:bodyDiv w:val="1"/>
      <w:marLeft w:val="0"/>
      <w:marRight w:val="0"/>
      <w:marTop w:val="0"/>
      <w:marBottom w:val="0"/>
      <w:divBdr>
        <w:top w:val="none" w:sz="0" w:space="0" w:color="auto"/>
        <w:left w:val="none" w:sz="0" w:space="0" w:color="auto"/>
        <w:bottom w:val="none" w:sz="0" w:space="0" w:color="auto"/>
        <w:right w:val="none" w:sz="0" w:space="0" w:color="auto"/>
      </w:divBdr>
    </w:div>
    <w:div w:id="571888736">
      <w:bodyDiv w:val="1"/>
      <w:marLeft w:val="0"/>
      <w:marRight w:val="0"/>
      <w:marTop w:val="0"/>
      <w:marBottom w:val="0"/>
      <w:divBdr>
        <w:top w:val="none" w:sz="0" w:space="0" w:color="auto"/>
        <w:left w:val="none" w:sz="0" w:space="0" w:color="auto"/>
        <w:bottom w:val="none" w:sz="0" w:space="0" w:color="auto"/>
        <w:right w:val="none" w:sz="0" w:space="0" w:color="auto"/>
      </w:divBdr>
    </w:div>
    <w:div w:id="595671791">
      <w:bodyDiv w:val="1"/>
      <w:marLeft w:val="0"/>
      <w:marRight w:val="0"/>
      <w:marTop w:val="0"/>
      <w:marBottom w:val="0"/>
      <w:divBdr>
        <w:top w:val="none" w:sz="0" w:space="0" w:color="auto"/>
        <w:left w:val="none" w:sz="0" w:space="0" w:color="auto"/>
        <w:bottom w:val="none" w:sz="0" w:space="0" w:color="auto"/>
        <w:right w:val="none" w:sz="0" w:space="0" w:color="auto"/>
      </w:divBdr>
    </w:div>
    <w:div w:id="796678961">
      <w:bodyDiv w:val="1"/>
      <w:marLeft w:val="0"/>
      <w:marRight w:val="0"/>
      <w:marTop w:val="0"/>
      <w:marBottom w:val="0"/>
      <w:divBdr>
        <w:top w:val="none" w:sz="0" w:space="0" w:color="auto"/>
        <w:left w:val="none" w:sz="0" w:space="0" w:color="auto"/>
        <w:bottom w:val="none" w:sz="0" w:space="0" w:color="auto"/>
        <w:right w:val="none" w:sz="0" w:space="0" w:color="auto"/>
      </w:divBdr>
    </w:div>
    <w:div w:id="907156405">
      <w:bodyDiv w:val="1"/>
      <w:marLeft w:val="0"/>
      <w:marRight w:val="0"/>
      <w:marTop w:val="0"/>
      <w:marBottom w:val="0"/>
      <w:divBdr>
        <w:top w:val="none" w:sz="0" w:space="0" w:color="auto"/>
        <w:left w:val="none" w:sz="0" w:space="0" w:color="auto"/>
        <w:bottom w:val="none" w:sz="0" w:space="0" w:color="auto"/>
        <w:right w:val="none" w:sz="0" w:space="0" w:color="auto"/>
      </w:divBdr>
    </w:div>
    <w:div w:id="1179393046">
      <w:bodyDiv w:val="1"/>
      <w:marLeft w:val="0"/>
      <w:marRight w:val="0"/>
      <w:marTop w:val="0"/>
      <w:marBottom w:val="0"/>
      <w:divBdr>
        <w:top w:val="none" w:sz="0" w:space="0" w:color="auto"/>
        <w:left w:val="none" w:sz="0" w:space="0" w:color="auto"/>
        <w:bottom w:val="none" w:sz="0" w:space="0" w:color="auto"/>
        <w:right w:val="none" w:sz="0" w:space="0" w:color="auto"/>
      </w:divBdr>
    </w:div>
    <w:div w:id="1194148429">
      <w:bodyDiv w:val="1"/>
      <w:marLeft w:val="0"/>
      <w:marRight w:val="0"/>
      <w:marTop w:val="0"/>
      <w:marBottom w:val="0"/>
      <w:divBdr>
        <w:top w:val="none" w:sz="0" w:space="0" w:color="auto"/>
        <w:left w:val="none" w:sz="0" w:space="0" w:color="auto"/>
        <w:bottom w:val="none" w:sz="0" w:space="0" w:color="auto"/>
        <w:right w:val="none" w:sz="0" w:space="0" w:color="auto"/>
      </w:divBdr>
    </w:div>
    <w:div w:id="1296527988">
      <w:bodyDiv w:val="1"/>
      <w:marLeft w:val="0"/>
      <w:marRight w:val="0"/>
      <w:marTop w:val="0"/>
      <w:marBottom w:val="0"/>
      <w:divBdr>
        <w:top w:val="none" w:sz="0" w:space="0" w:color="auto"/>
        <w:left w:val="none" w:sz="0" w:space="0" w:color="auto"/>
        <w:bottom w:val="none" w:sz="0" w:space="0" w:color="auto"/>
        <w:right w:val="none" w:sz="0" w:space="0" w:color="auto"/>
      </w:divBdr>
    </w:div>
    <w:div w:id="1416052855">
      <w:bodyDiv w:val="1"/>
      <w:marLeft w:val="0"/>
      <w:marRight w:val="0"/>
      <w:marTop w:val="0"/>
      <w:marBottom w:val="0"/>
      <w:divBdr>
        <w:top w:val="none" w:sz="0" w:space="0" w:color="auto"/>
        <w:left w:val="none" w:sz="0" w:space="0" w:color="auto"/>
        <w:bottom w:val="none" w:sz="0" w:space="0" w:color="auto"/>
        <w:right w:val="none" w:sz="0" w:space="0" w:color="auto"/>
      </w:divBdr>
    </w:div>
    <w:div w:id="1436635515">
      <w:bodyDiv w:val="1"/>
      <w:marLeft w:val="0"/>
      <w:marRight w:val="0"/>
      <w:marTop w:val="0"/>
      <w:marBottom w:val="0"/>
      <w:divBdr>
        <w:top w:val="none" w:sz="0" w:space="0" w:color="auto"/>
        <w:left w:val="none" w:sz="0" w:space="0" w:color="auto"/>
        <w:bottom w:val="none" w:sz="0" w:space="0" w:color="auto"/>
        <w:right w:val="none" w:sz="0" w:space="0" w:color="auto"/>
      </w:divBdr>
    </w:div>
    <w:div w:id="1799688661">
      <w:bodyDiv w:val="1"/>
      <w:marLeft w:val="0"/>
      <w:marRight w:val="0"/>
      <w:marTop w:val="0"/>
      <w:marBottom w:val="0"/>
      <w:divBdr>
        <w:top w:val="none" w:sz="0" w:space="0" w:color="auto"/>
        <w:left w:val="none" w:sz="0" w:space="0" w:color="auto"/>
        <w:bottom w:val="none" w:sz="0" w:space="0" w:color="auto"/>
        <w:right w:val="none" w:sz="0" w:space="0" w:color="auto"/>
      </w:divBdr>
    </w:div>
    <w:div w:id="1909419918">
      <w:bodyDiv w:val="1"/>
      <w:marLeft w:val="0"/>
      <w:marRight w:val="0"/>
      <w:marTop w:val="0"/>
      <w:marBottom w:val="0"/>
      <w:divBdr>
        <w:top w:val="none" w:sz="0" w:space="0" w:color="auto"/>
        <w:left w:val="none" w:sz="0" w:space="0" w:color="auto"/>
        <w:bottom w:val="none" w:sz="0" w:space="0" w:color="auto"/>
        <w:right w:val="none" w:sz="0" w:space="0" w:color="auto"/>
      </w:divBdr>
    </w:div>
    <w:div w:id="1921593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hswales365.sharepoint.com/:x:/r/sites/SBU_SBUQualityandSafetyImprovementProgramme/Shared%20Documents/General/QS%20Implementation%20Strategy%20Plan%20-%20Apr%202023/Quality%20Strategy%20Implementation%20Plan%20April%2023%20(003).xlsx?d=waac1c7fc0ae2481ebe828f9465c4ab37&amp;csf=1&amp;web=1&amp;e=EasZQz"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948E51-0340-472C-A87B-EB434ED74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1552</Words>
  <Characters>8851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Marr (Swansea Bay UHB - ARCH)</dc:creator>
  <cp:keywords/>
  <dc:description/>
  <cp:lastModifiedBy>Angharad Higgins (Swansea Bay UHB - Corporate Nursing)</cp:lastModifiedBy>
  <cp:revision>3</cp:revision>
  <dcterms:created xsi:type="dcterms:W3CDTF">2023-11-22T11:45:00Z</dcterms:created>
  <dcterms:modified xsi:type="dcterms:W3CDTF">2023-12-05T12:00:00Z</dcterms:modified>
</cp:coreProperties>
</file>