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11341" w:type="dxa"/>
        <w:tblInd w:w="-998" w:type="dxa"/>
        <w:tblLook w:val="04A0" w:firstRow="1" w:lastRow="0" w:firstColumn="1" w:lastColumn="0" w:noHBand="0" w:noVBand="1"/>
      </w:tblPr>
      <w:tblGrid>
        <w:gridCol w:w="2043"/>
        <w:gridCol w:w="3721"/>
        <w:gridCol w:w="1924"/>
        <w:gridCol w:w="3653"/>
      </w:tblGrid>
      <w:tr w:rsidR="00A56D38" w:rsidRPr="00EC53F7" w14:paraId="21C6AC9D" w14:textId="77777777" w:rsidTr="00EC53F7">
        <w:tc>
          <w:tcPr>
            <w:tcW w:w="1530" w:type="dxa"/>
          </w:tcPr>
          <w:p w14:paraId="5E5D110E" w14:textId="7BC46E6B" w:rsidR="00EC53F7" w:rsidRPr="00EC53F7" w:rsidRDefault="00EC53F7">
            <w:pPr>
              <w:rPr>
                <w:rFonts w:ascii="Arial" w:hAnsi="Arial" w:cs="Arial"/>
                <w:b/>
                <w:bCs/>
                <w:sz w:val="24"/>
                <w:szCs w:val="24"/>
              </w:rPr>
            </w:pPr>
            <w:r w:rsidRPr="00EC53F7">
              <w:rPr>
                <w:rFonts w:ascii="Arial" w:hAnsi="Arial" w:cs="Arial"/>
                <w:b/>
                <w:bCs/>
                <w:sz w:val="24"/>
                <w:szCs w:val="24"/>
              </w:rPr>
              <w:t>Complaint ID</w:t>
            </w:r>
          </w:p>
        </w:tc>
        <w:tc>
          <w:tcPr>
            <w:tcW w:w="4062" w:type="dxa"/>
          </w:tcPr>
          <w:p w14:paraId="33643521" w14:textId="3B46589D" w:rsidR="00EC53F7" w:rsidRPr="00EC53F7" w:rsidRDefault="00EC53F7">
            <w:pPr>
              <w:rPr>
                <w:rFonts w:ascii="Arial" w:hAnsi="Arial" w:cs="Arial"/>
                <w:b/>
                <w:bCs/>
                <w:sz w:val="24"/>
                <w:szCs w:val="24"/>
              </w:rPr>
            </w:pPr>
            <w:r w:rsidRPr="00EC53F7">
              <w:rPr>
                <w:rFonts w:ascii="Arial" w:hAnsi="Arial" w:cs="Arial"/>
                <w:b/>
                <w:bCs/>
                <w:sz w:val="24"/>
                <w:szCs w:val="24"/>
              </w:rPr>
              <w:t>Ombudsman Findings</w:t>
            </w:r>
          </w:p>
        </w:tc>
        <w:tc>
          <w:tcPr>
            <w:tcW w:w="1924" w:type="dxa"/>
          </w:tcPr>
          <w:p w14:paraId="2657142C" w14:textId="6E707AFD" w:rsidR="00EC53F7" w:rsidRPr="00EC53F7" w:rsidRDefault="00EC53F7">
            <w:pPr>
              <w:rPr>
                <w:rFonts w:ascii="Arial" w:hAnsi="Arial" w:cs="Arial"/>
                <w:b/>
                <w:bCs/>
                <w:sz w:val="24"/>
                <w:szCs w:val="24"/>
              </w:rPr>
            </w:pPr>
            <w:r w:rsidRPr="00EC53F7">
              <w:rPr>
                <w:rFonts w:ascii="Arial" w:hAnsi="Arial" w:cs="Arial"/>
                <w:b/>
                <w:bCs/>
                <w:sz w:val="24"/>
                <w:szCs w:val="24"/>
              </w:rPr>
              <w:t>Themes</w:t>
            </w:r>
          </w:p>
        </w:tc>
        <w:tc>
          <w:tcPr>
            <w:tcW w:w="3825" w:type="dxa"/>
          </w:tcPr>
          <w:p w14:paraId="0222E980" w14:textId="77777777" w:rsidR="00EC53F7" w:rsidRDefault="00EC53F7">
            <w:pPr>
              <w:rPr>
                <w:rFonts w:ascii="Arial" w:hAnsi="Arial" w:cs="Arial"/>
                <w:b/>
                <w:bCs/>
                <w:sz w:val="24"/>
                <w:szCs w:val="24"/>
              </w:rPr>
            </w:pPr>
            <w:r w:rsidRPr="00EC53F7">
              <w:rPr>
                <w:rFonts w:ascii="Arial" w:hAnsi="Arial" w:cs="Arial"/>
                <w:b/>
                <w:bCs/>
                <w:sz w:val="24"/>
                <w:szCs w:val="24"/>
              </w:rPr>
              <w:t>Learning</w:t>
            </w:r>
          </w:p>
          <w:p w14:paraId="75ADA603" w14:textId="69CF95EE" w:rsidR="00CC6A40" w:rsidRPr="00EC53F7" w:rsidRDefault="00CC6A40">
            <w:pPr>
              <w:rPr>
                <w:rFonts w:ascii="Arial" w:hAnsi="Arial" w:cs="Arial"/>
                <w:b/>
                <w:bCs/>
                <w:sz w:val="24"/>
                <w:szCs w:val="24"/>
              </w:rPr>
            </w:pPr>
          </w:p>
        </w:tc>
      </w:tr>
      <w:tr w:rsidR="00A56D38" w:rsidRPr="00EC53F7" w14:paraId="7CAAB0A0" w14:textId="77777777" w:rsidTr="00EC53F7">
        <w:tc>
          <w:tcPr>
            <w:tcW w:w="1530" w:type="dxa"/>
          </w:tcPr>
          <w:p w14:paraId="15557F6F" w14:textId="77777777" w:rsidR="00EC53F7" w:rsidRDefault="00EC53F7">
            <w:pPr>
              <w:rPr>
                <w:rFonts w:ascii="Arial" w:hAnsi="Arial" w:cs="Arial"/>
                <w:b/>
                <w:bCs/>
                <w:sz w:val="24"/>
                <w:szCs w:val="24"/>
              </w:rPr>
            </w:pPr>
            <w:r w:rsidRPr="00EC53F7">
              <w:rPr>
                <w:rFonts w:ascii="Arial" w:hAnsi="Arial" w:cs="Arial"/>
                <w:b/>
                <w:bCs/>
                <w:sz w:val="24"/>
                <w:szCs w:val="24"/>
              </w:rPr>
              <w:t>ID-930</w:t>
            </w:r>
          </w:p>
          <w:p w14:paraId="7157AAFE" w14:textId="77777777" w:rsidR="00A56D38" w:rsidRDefault="00A56D38">
            <w:pPr>
              <w:rPr>
                <w:rFonts w:ascii="Arial" w:hAnsi="Arial" w:cs="Arial"/>
                <w:b/>
                <w:bCs/>
                <w:sz w:val="24"/>
                <w:szCs w:val="24"/>
              </w:rPr>
            </w:pPr>
          </w:p>
          <w:p w14:paraId="5DD8CFAF" w14:textId="26E657FD" w:rsidR="00A56D38" w:rsidRPr="00EC53F7" w:rsidRDefault="00A56D38">
            <w:pPr>
              <w:rPr>
                <w:rFonts w:ascii="Arial" w:hAnsi="Arial" w:cs="Arial"/>
                <w:b/>
                <w:bCs/>
                <w:sz w:val="24"/>
                <w:szCs w:val="24"/>
              </w:rPr>
            </w:pPr>
            <w:r>
              <w:rPr>
                <w:rFonts w:ascii="Arial" w:hAnsi="Arial" w:cs="Arial"/>
                <w:b/>
                <w:bCs/>
                <w:sz w:val="24"/>
                <w:szCs w:val="24"/>
              </w:rPr>
              <w:t>Singleton &amp; NPT (Rheumatology)</w:t>
            </w:r>
          </w:p>
        </w:tc>
        <w:tc>
          <w:tcPr>
            <w:tcW w:w="4062" w:type="dxa"/>
          </w:tcPr>
          <w:p w14:paraId="61A465CE" w14:textId="7F112666" w:rsidR="00EC53F7" w:rsidRPr="00EC53F7" w:rsidRDefault="00EC53F7">
            <w:pPr>
              <w:rPr>
                <w:rFonts w:ascii="Arial" w:hAnsi="Arial" w:cs="Arial"/>
                <w:sz w:val="24"/>
                <w:szCs w:val="24"/>
              </w:rPr>
            </w:pPr>
            <w:r w:rsidRPr="00EC53F7">
              <w:rPr>
                <w:rFonts w:ascii="Arial" w:hAnsi="Arial" w:cs="Arial"/>
                <w:sz w:val="24"/>
                <w:szCs w:val="24"/>
              </w:rPr>
              <w:t xml:space="preserve">The Health Board acknowledged </w:t>
            </w:r>
            <w:r>
              <w:rPr>
                <w:rFonts w:ascii="Arial" w:hAnsi="Arial" w:cs="Arial"/>
                <w:sz w:val="24"/>
                <w:szCs w:val="24"/>
              </w:rPr>
              <w:t xml:space="preserve">the Ombudsman findings of </w:t>
            </w:r>
            <w:r w:rsidRPr="00EC53F7">
              <w:rPr>
                <w:rFonts w:ascii="Arial" w:hAnsi="Arial" w:cs="Arial"/>
                <w:sz w:val="24"/>
                <w:szCs w:val="24"/>
              </w:rPr>
              <w:t>shortcomings in its handling of the complaint and the complaint response (for example not referring to the Consultant</w:t>
            </w:r>
            <w:r>
              <w:rPr>
                <w:rFonts w:ascii="Arial" w:hAnsi="Arial" w:cs="Arial"/>
                <w:sz w:val="24"/>
                <w:szCs w:val="24"/>
              </w:rPr>
              <w:t>’s</w:t>
            </w:r>
            <w:r w:rsidRPr="00EC53F7">
              <w:rPr>
                <w:rFonts w:ascii="Arial" w:hAnsi="Arial" w:cs="Arial"/>
                <w:sz w:val="24"/>
                <w:szCs w:val="24"/>
              </w:rPr>
              <w:t xml:space="preserve"> comments following his review of the patient’s care</w:t>
            </w:r>
            <w:r>
              <w:rPr>
                <w:rFonts w:ascii="Arial" w:hAnsi="Arial" w:cs="Arial"/>
                <w:sz w:val="24"/>
                <w:szCs w:val="24"/>
              </w:rPr>
              <w:t>).</w:t>
            </w:r>
            <w:r w:rsidRPr="00EC53F7">
              <w:rPr>
                <w:rFonts w:ascii="Arial" w:hAnsi="Arial" w:cs="Arial"/>
                <w:sz w:val="24"/>
                <w:szCs w:val="24"/>
              </w:rPr>
              <w:t xml:space="preserve"> </w:t>
            </w:r>
          </w:p>
        </w:tc>
        <w:tc>
          <w:tcPr>
            <w:tcW w:w="1924" w:type="dxa"/>
          </w:tcPr>
          <w:p w14:paraId="7DE42691" w14:textId="542434C4" w:rsidR="00EC53F7" w:rsidRPr="00EC53F7" w:rsidRDefault="00EC53F7" w:rsidP="00EC53F7">
            <w:pPr>
              <w:rPr>
                <w:rFonts w:ascii="Arial" w:hAnsi="Arial" w:cs="Arial"/>
                <w:sz w:val="24"/>
                <w:szCs w:val="24"/>
              </w:rPr>
            </w:pPr>
            <w:r w:rsidRPr="00EC53F7">
              <w:rPr>
                <w:rFonts w:ascii="Arial" w:hAnsi="Arial" w:cs="Arial"/>
                <w:sz w:val="24"/>
                <w:szCs w:val="24"/>
              </w:rPr>
              <w:t>Robustness of Response</w:t>
            </w:r>
          </w:p>
          <w:p w14:paraId="7AE28BFD" w14:textId="4EF9EB6A" w:rsidR="00EC53F7" w:rsidRPr="00EC53F7" w:rsidRDefault="00EC53F7" w:rsidP="00EC53F7">
            <w:pPr>
              <w:rPr>
                <w:rFonts w:ascii="Arial" w:hAnsi="Arial" w:cs="Arial"/>
                <w:sz w:val="24"/>
                <w:szCs w:val="24"/>
              </w:rPr>
            </w:pPr>
          </w:p>
        </w:tc>
        <w:tc>
          <w:tcPr>
            <w:tcW w:w="3825" w:type="dxa"/>
          </w:tcPr>
          <w:p w14:paraId="21E151F7" w14:textId="77777777" w:rsidR="00EC53F7" w:rsidRDefault="00EC53F7">
            <w:pPr>
              <w:rPr>
                <w:rFonts w:ascii="Arial" w:hAnsi="Arial" w:cs="Arial"/>
                <w:sz w:val="24"/>
                <w:szCs w:val="24"/>
              </w:rPr>
            </w:pPr>
            <w:r>
              <w:rPr>
                <w:rFonts w:ascii="Arial" w:hAnsi="Arial" w:cs="Arial"/>
                <w:sz w:val="24"/>
                <w:szCs w:val="24"/>
              </w:rPr>
              <w:t>The findings have</w:t>
            </w:r>
            <w:r w:rsidRPr="00EC53F7">
              <w:rPr>
                <w:rFonts w:ascii="Arial" w:hAnsi="Arial" w:cs="Arial"/>
                <w:sz w:val="24"/>
                <w:szCs w:val="24"/>
              </w:rPr>
              <w:t xml:space="preserve"> been fed back to the relevant speciality and shared amongst staff to ensure learning and to prevent a recurrence. </w:t>
            </w:r>
          </w:p>
          <w:p w14:paraId="3FDE4D19" w14:textId="77777777" w:rsidR="00EC53F7" w:rsidRDefault="00EC53F7">
            <w:pPr>
              <w:rPr>
                <w:rFonts w:ascii="Arial" w:hAnsi="Arial" w:cs="Arial"/>
                <w:sz w:val="24"/>
                <w:szCs w:val="24"/>
              </w:rPr>
            </w:pPr>
          </w:p>
          <w:p w14:paraId="60216849" w14:textId="6B65534C" w:rsidR="00EC53F7" w:rsidRPr="00EC53F7" w:rsidRDefault="00EC53F7">
            <w:pPr>
              <w:rPr>
                <w:rFonts w:ascii="Arial" w:hAnsi="Arial" w:cs="Arial"/>
                <w:sz w:val="24"/>
                <w:szCs w:val="24"/>
              </w:rPr>
            </w:pPr>
            <w:r w:rsidRPr="00EC53F7">
              <w:rPr>
                <w:rFonts w:ascii="Arial" w:hAnsi="Arial" w:cs="Arial"/>
                <w:sz w:val="24"/>
                <w:szCs w:val="24"/>
              </w:rPr>
              <w:t xml:space="preserve">The Health Board offered an </w:t>
            </w:r>
            <w:r>
              <w:rPr>
                <w:rFonts w:ascii="Arial" w:hAnsi="Arial" w:cs="Arial"/>
                <w:sz w:val="24"/>
                <w:szCs w:val="24"/>
              </w:rPr>
              <w:t xml:space="preserve">apology </w:t>
            </w:r>
            <w:r w:rsidRPr="00EC53F7">
              <w:rPr>
                <w:rFonts w:ascii="Arial" w:hAnsi="Arial" w:cs="Arial"/>
                <w:sz w:val="24"/>
                <w:szCs w:val="24"/>
              </w:rPr>
              <w:t xml:space="preserve">ex-gratia payment to </w:t>
            </w:r>
            <w:r>
              <w:rPr>
                <w:rFonts w:ascii="Arial" w:hAnsi="Arial" w:cs="Arial"/>
                <w:sz w:val="24"/>
                <w:szCs w:val="24"/>
              </w:rPr>
              <w:t>the patient</w:t>
            </w:r>
            <w:r w:rsidRPr="00EC53F7">
              <w:rPr>
                <w:rFonts w:ascii="Arial" w:hAnsi="Arial" w:cs="Arial"/>
                <w:sz w:val="24"/>
                <w:szCs w:val="24"/>
              </w:rPr>
              <w:t xml:space="preserve"> of £500 as an apology for the poor complaint handling.</w:t>
            </w:r>
          </w:p>
        </w:tc>
      </w:tr>
      <w:tr w:rsidR="00A56D38" w:rsidRPr="00EC53F7" w14:paraId="29433AC9" w14:textId="77777777" w:rsidTr="00EC53F7">
        <w:tc>
          <w:tcPr>
            <w:tcW w:w="1530" w:type="dxa"/>
          </w:tcPr>
          <w:p w14:paraId="3E54497D" w14:textId="77777777" w:rsidR="00EC53F7" w:rsidRDefault="00EC53F7">
            <w:pPr>
              <w:rPr>
                <w:rFonts w:ascii="Arial" w:hAnsi="Arial" w:cs="Arial"/>
                <w:b/>
                <w:bCs/>
                <w:sz w:val="24"/>
                <w:szCs w:val="24"/>
              </w:rPr>
            </w:pPr>
            <w:r w:rsidRPr="00EC53F7">
              <w:rPr>
                <w:rFonts w:ascii="Arial" w:hAnsi="Arial" w:cs="Arial"/>
                <w:b/>
                <w:bCs/>
                <w:sz w:val="24"/>
                <w:szCs w:val="24"/>
              </w:rPr>
              <w:t>ID-1981</w:t>
            </w:r>
          </w:p>
          <w:p w14:paraId="482CEA7F" w14:textId="77777777" w:rsidR="008C36DC" w:rsidRDefault="008C36DC">
            <w:pPr>
              <w:rPr>
                <w:rFonts w:ascii="Arial" w:hAnsi="Arial" w:cs="Arial"/>
                <w:b/>
                <w:bCs/>
                <w:sz w:val="24"/>
                <w:szCs w:val="24"/>
              </w:rPr>
            </w:pPr>
          </w:p>
          <w:p w14:paraId="3B46F0D9" w14:textId="66C9298E" w:rsidR="008C36DC" w:rsidRPr="00EC53F7" w:rsidRDefault="008C36DC">
            <w:pPr>
              <w:rPr>
                <w:rFonts w:ascii="Arial" w:hAnsi="Arial" w:cs="Arial"/>
                <w:b/>
                <w:bCs/>
                <w:sz w:val="24"/>
                <w:szCs w:val="24"/>
              </w:rPr>
            </w:pPr>
            <w:r>
              <w:rPr>
                <w:rFonts w:ascii="Arial" w:hAnsi="Arial" w:cs="Arial"/>
                <w:b/>
                <w:bCs/>
                <w:sz w:val="24"/>
                <w:szCs w:val="24"/>
              </w:rPr>
              <w:t xml:space="preserve">Primary Care &amp; Community </w:t>
            </w:r>
          </w:p>
        </w:tc>
        <w:tc>
          <w:tcPr>
            <w:tcW w:w="4062" w:type="dxa"/>
          </w:tcPr>
          <w:p w14:paraId="5C43FD5C" w14:textId="3E0698CE" w:rsidR="00EC53F7" w:rsidRDefault="00EC53F7">
            <w:pPr>
              <w:rPr>
                <w:rFonts w:ascii="Arial" w:hAnsi="Arial" w:cs="Arial"/>
                <w:sz w:val="24"/>
                <w:szCs w:val="24"/>
              </w:rPr>
            </w:pPr>
            <w:r>
              <w:rPr>
                <w:rFonts w:ascii="Arial" w:hAnsi="Arial" w:cs="Arial"/>
                <w:sz w:val="24"/>
                <w:szCs w:val="24"/>
              </w:rPr>
              <w:t xml:space="preserve">The </w:t>
            </w:r>
            <w:r w:rsidRPr="00EC53F7">
              <w:rPr>
                <w:rFonts w:ascii="Arial" w:hAnsi="Arial" w:cs="Arial"/>
                <w:sz w:val="24"/>
                <w:szCs w:val="24"/>
              </w:rPr>
              <w:t xml:space="preserve">Ombudsman could not determine whether the complainant’s allegations that the complaint handler was rude to him </w:t>
            </w:r>
            <w:r>
              <w:rPr>
                <w:rFonts w:ascii="Arial" w:hAnsi="Arial" w:cs="Arial"/>
                <w:sz w:val="24"/>
                <w:szCs w:val="24"/>
              </w:rPr>
              <w:t xml:space="preserve">on the telephone </w:t>
            </w:r>
            <w:r w:rsidRPr="00EC53F7">
              <w:rPr>
                <w:rFonts w:ascii="Arial" w:hAnsi="Arial" w:cs="Arial"/>
                <w:sz w:val="24"/>
                <w:szCs w:val="24"/>
              </w:rPr>
              <w:t xml:space="preserve">was accurate due to conflicting evidence from the complaint handler who advised she had to terminate the call due to the complainant being aggressive, the Ombudsman advised that as the call wasn’t </w:t>
            </w:r>
            <w:r w:rsidRPr="00EC53F7">
              <w:rPr>
                <w:rFonts w:ascii="Arial" w:hAnsi="Arial" w:cs="Arial"/>
                <w:sz w:val="24"/>
                <w:szCs w:val="24"/>
              </w:rPr>
              <w:t>recorded,</w:t>
            </w:r>
            <w:r w:rsidRPr="00EC53F7">
              <w:rPr>
                <w:rFonts w:ascii="Arial" w:hAnsi="Arial" w:cs="Arial"/>
                <w:sz w:val="24"/>
                <w:szCs w:val="24"/>
              </w:rPr>
              <w:t xml:space="preserve"> they could not investigate this further.</w:t>
            </w:r>
            <w:r>
              <w:rPr>
                <w:rFonts w:ascii="Arial" w:hAnsi="Arial" w:cs="Arial"/>
                <w:sz w:val="24"/>
                <w:szCs w:val="24"/>
              </w:rPr>
              <w:t xml:space="preserve">  </w:t>
            </w:r>
          </w:p>
          <w:p w14:paraId="4EFE0E0E" w14:textId="77777777" w:rsidR="00EC53F7" w:rsidRDefault="00EC53F7">
            <w:pPr>
              <w:rPr>
                <w:rFonts w:ascii="Arial" w:hAnsi="Arial" w:cs="Arial"/>
                <w:sz w:val="24"/>
                <w:szCs w:val="24"/>
              </w:rPr>
            </w:pPr>
          </w:p>
          <w:p w14:paraId="2B927F16" w14:textId="47F3F5C8" w:rsidR="00EC53F7" w:rsidRPr="00EC53F7" w:rsidRDefault="00EC53F7">
            <w:pPr>
              <w:rPr>
                <w:rFonts w:ascii="Arial" w:hAnsi="Arial" w:cs="Arial"/>
                <w:sz w:val="24"/>
                <w:szCs w:val="24"/>
              </w:rPr>
            </w:pPr>
            <w:r w:rsidRPr="00EC53F7">
              <w:rPr>
                <w:rFonts w:ascii="Arial" w:hAnsi="Arial" w:cs="Arial"/>
                <w:sz w:val="24"/>
                <w:szCs w:val="24"/>
              </w:rPr>
              <w:t xml:space="preserve">The Ombudsman further advised that as the complainant had to chase the Health Board as to why the response was delayed, they partially upheld that there </w:t>
            </w:r>
            <w:proofErr w:type="gramStart"/>
            <w:r w:rsidRPr="00EC53F7">
              <w:rPr>
                <w:rFonts w:ascii="Arial" w:hAnsi="Arial" w:cs="Arial"/>
                <w:sz w:val="24"/>
                <w:szCs w:val="24"/>
              </w:rPr>
              <w:t>was</w:t>
            </w:r>
            <w:proofErr w:type="gramEnd"/>
            <w:r w:rsidRPr="00EC53F7">
              <w:rPr>
                <w:rFonts w:ascii="Arial" w:hAnsi="Arial" w:cs="Arial"/>
                <w:sz w:val="24"/>
                <w:szCs w:val="24"/>
              </w:rPr>
              <w:t xml:space="preserve"> poor complaints handling as an update should have been provided to the complainant that there was going to be a short delay (of 10 days due to staff sickness) to be compliant with the PTR.  </w:t>
            </w:r>
          </w:p>
        </w:tc>
        <w:tc>
          <w:tcPr>
            <w:tcW w:w="1924" w:type="dxa"/>
          </w:tcPr>
          <w:p w14:paraId="2E22490F" w14:textId="1D24E39C" w:rsidR="00EC53F7" w:rsidRPr="00EC53F7" w:rsidRDefault="00EC53F7">
            <w:pPr>
              <w:rPr>
                <w:rFonts w:ascii="Arial" w:hAnsi="Arial" w:cs="Arial"/>
                <w:sz w:val="24"/>
                <w:szCs w:val="24"/>
              </w:rPr>
            </w:pPr>
            <w:r>
              <w:rPr>
                <w:rFonts w:ascii="Arial" w:hAnsi="Arial" w:cs="Arial"/>
                <w:sz w:val="24"/>
                <w:szCs w:val="24"/>
              </w:rPr>
              <w:t>Failure to keep the complainant updated in relation to the delay in providing the response, which led to the frustration of the complainant having to chase the Health Board for an update.</w:t>
            </w:r>
          </w:p>
        </w:tc>
        <w:tc>
          <w:tcPr>
            <w:tcW w:w="3825" w:type="dxa"/>
          </w:tcPr>
          <w:p w14:paraId="6A3D51B6" w14:textId="77777777" w:rsidR="00EC53F7" w:rsidRDefault="00EC53F7">
            <w:pPr>
              <w:rPr>
                <w:rFonts w:ascii="Arial" w:hAnsi="Arial" w:cs="Arial"/>
                <w:sz w:val="24"/>
                <w:szCs w:val="24"/>
              </w:rPr>
            </w:pPr>
            <w:r>
              <w:rPr>
                <w:rFonts w:ascii="Arial" w:hAnsi="Arial" w:cs="Arial"/>
                <w:sz w:val="24"/>
                <w:szCs w:val="24"/>
              </w:rPr>
              <w:t>The importance of keeping complainants fully updated when a response is going to be delayed.</w:t>
            </w:r>
          </w:p>
          <w:p w14:paraId="0FABB280" w14:textId="77777777" w:rsidR="00EC53F7" w:rsidRDefault="00EC53F7">
            <w:pPr>
              <w:rPr>
                <w:rFonts w:ascii="Arial" w:hAnsi="Arial" w:cs="Arial"/>
                <w:sz w:val="24"/>
                <w:szCs w:val="24"/>
              </w:rPr>
            </w:pPr>
          </w:p>
          <w:p w14:paraId="1AC05BB4" w14:textId="77777777" w:rsidR="00EC53F7" w:rsidRDefault="00EC53F7">
            <w:pPr>
              <w:rPr>
                <w:rFonts w:ascii="Arial" w:hAnsi="Arial" w:cs="Arial"/>
                <w:sz w:val="24"/>
                <w:szCs w:val="24"/>
              </w:rPr>
            </w:pPr>
            <w:r>
              <w:rPr>
                <w:rFonts w:ascii="Arial" w:hAnsi="Arial" w:cs="Arial"/>
                <w:sz w:val="24"/>
                <w:szCs w:val="24"/>
              </w:rPr>
              <w:t>The importance of good communication with complainants.</w:t>
            </w:r>
          </w:p>
          <w:p w14:paraId="3C1BE6D2" w14:textId="77777777" w:rsidR="00EC53F7" w:rsidRDefault="00EC53F7">
            <w:pPr>
              <w:rPr>
                <w:rFonts w:ascii="Arial" w:hAnsi="Arial" w:cs="Arial"/>
                <w:sz w:val="24"/>
                <w:szCs w:val="24"/>
              </w:rPr>
            </w:pPr>
          </w:p>
          <w:p w14:paraId="70BFDE2B" w14:textId="0775DC47" w:rsidR="00EC53F7" w:rsidRDefault="00EC53F7">
            <w:pPr>
              <w:rPr>
                <w:rFonts w:ascii="Arial" w:hAnsi="Arial" w:cs="Arial"/>
                <w:sz w:val="24"/>
                <w:szCs w:val="24"/>
              </w:rPr>
            </w:pPr>
            <w:r>
              <w:rPr>
                <w:rFonts w:ascii="Arial" w:hAnsi="Arial" w:cs="Arial"/>
                <w:sz w:val="24"/>
                <w:szCs w:val="24"/>
              </w:rPr>
              <w:t>Being compliant with the PTR Policy by providing holding letters/emails/telephone updates to complainants.</w:t>
            </w:r>
          </w:p>
          <w:p w14:paraId="45DD1F3E" w14:textId="77777777" w:rsidR="00EC53F7" w:rsidRDefault="00EC53F7">
            <w:pPr>
              <w:rPr>
                <w:rFonts w:ascii="Arial" w:hAnsi="Arial" w:cs="Arial"/>
                <w:sz w:val="24"/>
                <w:szCs w:val="24"/>
              </w:rPr>
            </w:pPr>
          </w:p>
          <w:p w14:paraId="745984A9" w14:textId="1BC6FA4B" w:rsidR="00EC53F7" w:rsidRPr="00EC53F7" w:rsidRDefault="00EC53F7">
            <w:pPr>
              <w:rPr>
                <w:rFonts w:ascii="Arial" w:hAnsi="Arial" w:cs="Arial"/>
                <w:sz w:val="24"/>
                <w:szCs w:val="24"/>
              </w:rPr>
            </w:pPr>
            <w:r w:rsidRPr="00EC53F7">
              <w:rPr>
                <w:rFonts w:ascii="Arial" w:hAnsi="Arial" w:cs="Arial"/>
                <w:sz w:val="24"/>
                <w:szCs w:val="24"/>
              </w:rPr>
              <w:t>Apology provided</w:t>
            </w:r>
            <w:r>
              <w:rPr>
                <w:rFonts w:ascii="Arial" w:hAnsi="Arial" w:cs="Arial"/>
                <w:sz w:val="24"/>
                <w:szCs w:val="24"/>
              </w:rPr>
              <w:t>.</w:t>
            </w:r>
          </w:p>
        </w:tc>
      </w:tr>
      <w:tr w:rsidR="00A56D38" w:rsidRPr="00EC53F7" w14:paraId="1FE8E8A6" w14:textId="77777777" w:rsidTr="00EC53F7">
        <w:tc>
          <w:tcPr>
            <w:tcW w:w="1530" w:type="dxa"/>
          </w:tcPr>
          <w:p w14:paraId="70D82B4D" w14:textId="77777777" w:rsidR="00EC53F7" w:rsidRDefault="00EC53F7">
            <w:pPr>
              <w:rPr>
                <w:rFonts w:ascii="Arial" w:hAnsi="Arial" w:cs="Arial"/>
                <w:b/>
                <w:bCs/>
                <w:sz w:val="24"/>
                <w:szCs w:val="24"/>
              </w:rPr>
            </w:pPr>
            <w:r w:rsidRPr="00EC53F7">
              <w:rPr>
                <w:rFonts w:ascii="Arial" w:hAnsi="Arial" w:cs="Arial"/>
                <w:b/>
                <w:bCs/>
                <w:sz w:val="24"/>
                <w:szCs w:val="24"/>
              </w:rPr>
              <w:t>ID-4607</w:t>
            </w:r>
          </w:p>
          <w:p w14:paraId="5BD2D65E" w14:textId="77777777" w:rsidR="00493AA7" w:rsidRDefault="00493AA7">
            <w:pPr>
              <w:rPr>
                <w:rFonts w:ascii="Arial" w:hAnsi="Arial" w:cs="Arial"/>
                <w:b/>
                <w:bCs/>
                <w:sz w:val="24"/>
                <w:szCs w:val="24"/>
              </w:rPr>
            </w:pPr>
          </w:p>
          <w:p w14:paraId="1333005F" w14:textId="4CD3628D" w:rsidR="00493AA7" w:rsidRPr="00EC53F7" w:rsidRDefault="00493AA7">
            <w:pPr>
              <w:rPr>
                <w:rFonts w:ascii="Arial" w:hAnsi="Arial" w:cs="Arial"/>
                <w:b/>
                <w:bCs/>
                <w:sz w:val="24"/>
                <w:szCs w:val="24"/>
              </w:rPr>
            </w:pPr>
            <w:r>
              <w:rPr>
                <w:rFonts w:ascii="Arial" w:hAnsi="Arial" w:cs="Arial"/>
                <w:b/>
                <w:bCs/>
                <w:sz w:val="24"/>
                <w:szCs w:val="24"/>
              </w:rPr>
              <w:t xml:space="preserve">Mental Health &amp; Learning Disabilities </w:t>
            </w:r>
          </w:p>
        </w:tc>
        <w:tc>
          <w:tcPr>
            <w:tcW w:w="4062" w:type="dxa"/>
          </w:tcPr>
          <w:p w14:paraId="26A1FDB4" w14:textId="45A2680A" w:rsidR="00EC53F7" w:rsidRPr="00EC53F7" w:rsidRDefault="00EC53F7">
            <w:pPr>
              <w:rPr>
                <w:rFonts w:ascii="Arial" w:hAnsi="Arial" w:cs="Arial"/>
                <w:sz w:val="24"/>
                <w:szCs w:val="24"/>
              </w:rPr>
            </w:pPr>
            <w:r>
              <w:rPr>
                <w:rFonts w:ascii="Arial" w:hAnsi="Arial" w:cs="Arial"/>
                <w:sz w:val="24"/>
                <w:szCs w:val="24"/>
              </w:rPr>
              <w:t>The Ombudsman advised that t</w:t>
            </w:r>
            <w:r w:rsidRPr="00EC53F7">
              <w:rPr>
                <w:rFonts w:ascii="Arial" w:hAnsi="Arial" w:cs="Arial"/>
                <w:sz w:val="24"/>
                <w:szCs w:val="24"/>
              </w:rPr>
              <w:t xml:space="preserve">he Health Board’s response to the complaint did not provide sufficient evidence to support its conclusion that there was no breach in the duty of care owed to the patient.  With reference to this conclusion, it relied upon </w:t>
            </w:r>
            <w:proofErr w:type="gramStart"/>
            <w:r w:rsidRPr="00EC53F7">
              <w:rPr>
                <w:rFonts w:ascii="Arial" w:hAnsi="Arial" w:cs="Arial"/>
                <w:sz w:val="24"/>
                <w:szCs w:val="24"/>
              </w:rPr>
              <w:t>a number of</w:t>
            </w:r>
            <w:proofErr w:type="gramEnd"/>
            <w:r w:rsidRPr="00EC53F7">
              <w:rPr>
                <w:rFonts w:ascii="Arial" w:hAnsi="Arial" w:cs="Arial"/>
                <w:sz w:val="24"/>
                <w:szCs w:val="24"/>
              </w:rPr>
              <w:t xml:space="preserve"> inaccurate and irrelevant statements</w:t>
            </w:r>
            <w:r>
              <w:rPr>
                <w:rFonts w:ascii="Arial" w:hAnsi="Arial" w:cs="Arial"/>
                <w:sz w:val="24"/>
                <w:szCs w:val="24"/>
              </w:rPr>
              <w:t>.</w:t>
            </w:r>
          </w:p>
        </w:tc>
        <w:tc>
          <w:tcPr>
            <w:tcW w:w="1924" w:type="dxa"/>
          </w:tcPr>
          <w:p w14:paraId="1DC7D620" w14:textId="77777777" w:rsidR="00EC53F7" w:rsidRDefault="00EC53F7">
            <w:pPr>
              <w:rPr>
                <w:rFonts w:ascii="Arial" w:hAnsi="Arial" w:cs="Arial"/>
                <w:sz w:val="24"/>
                <w:szCs w:val="24"/>
              </w:rPr>
            </w:pPr>
            <w:r>
              <w:rPr>
                <w:rFonts w:ascii="Arial" w:hAnsi="Arial" w:cs="Arial"/>
                <w:sz w:val="24"/>
                <w:szCs w:val="24"/>
              </w:rPr>
              <w:t>Robustness of response.</w:t>
            </w:r>
          </w:p>
          <w:p w14:paraId="2F8E96EB" w14:textId="31789E0E" w:rsidR="00EC53F7" w:rsidRPr="00EC53F7" w:rsidRDefault="00EC53F7">
            <w:pPr>
              <w:rPr>
                <w:rFonts w:ascii="Arial" w:hAnsi="Arial" w:cs="Arial"/>
                <w:sz w:val="24"/>
                <w:szCs w:val="24"/>
              </w:rPr>
            </w:pPr>
            <w:r>
              <w:rPr>
                <w:rFonts w:ascii="Arial" w:hAnsi="Arial" w:cs="Arial"/>
                <w:sz w:val="24"/>
                <w:szCs w:val="24"/>
              </w:rPr>
              <w:br/>
              <w:t>Accuracy of response/failure to fully respond to all issues raised.</w:t>
            </w:r>
          </w:p>
        </w:tc>
        <w:tc>
          <w:tcPr>
            <w:tcW w:w="3825" w:type="dxa"/>
          </w:tcPr>
          <w:p w14:paraId="34350B20" w14:textId="3AA5EDF5" w:rsidR="00EC53F7" w:rsidRPr="00EC53F7" w:rsidRDefault="00EC53F7" w:rsidP="00EC53F7">
            <w:pPr>
              <w:spacing w:after="0" w:line="240" w:lineRule="auto"/>
              <w:rPr>
                <w:rFonts w:ascii="Arial" w:hAnsi="Arial" w:cs="Arial"/>
                <w:sz w:val="24"/>
                <w:szCs w:val="24"/>
              </w:rPr>
            </w:pPr>
            <w:r w:rsidRPr="00EC53F7">
              <w:rPr>
                <w:rFonts w:ascii="Arial" w:hAnsi="Arial" w:cs="Arial"/>
                <w:sz w:val="24"/>
                <w:szCs w:val="24"/>
              </w:rPr>
              <w:t xml:space="preserve">Share the report for the purpose of reflection in the </w:t>
            </w:r>
          </w:p>
          <w:p w14:paraId="14AF5D9A" w14:textId="36B4B64E" w:rsidR="00EC53F7" w:rsidRDefault="00EC53F7">
            <w:pPr>
              <w:rPr>
                <w:rFonts w:ascii="Arial" w:hAnsi="Arial" w:cs="Arial"/>
                <w:sz w:val="24"/>
                <w:szCs w:val="24"/>
              </w:rPr>
            </w:pPr>
            <w:r w:rsidRPr="00EC53F7">
              <w:rPr>
                <w:rFonts w:ascii="Arial" w:hAnsi="Arial" w:cs="Arial"/>
                <w:sz w:val="24"/>
                <w:szCs w:val="24"/>
              </w:rPr>
              <w:t>context of continued professional development.</w:t>
            </w:r>
          </w:p>
          <w:p w14:paraId="62A866BF" w14:textId="77777777" w:rsidR="00EC53F7" w:rsidRDefault="00EC53F7">
            <w:pPr>
              <w:rPr>
                <w:rFonts w:ascii="Arial" w:hAnsi="Arial" w:cs="Arial"/>
                <w:sz w:val="24"/>
                <w:szCs w:val="24"/>
              </w:rPr>
            </w:pPr>
          </w:p>
          <w:p w14:paraId="4C76D683" w14:textId="77777777" w:rsidR="00EC53F7" w:rsidRDefault="00EC53F7">
            <w:pPr>
              <w:rPr>
                <w:rFonts w:ascii="Arial" w:hAnsi="Arial" w:cs="Arial"/>
                <w:sz w:val="24"/>
                <w:szCs w:val="24"/>
              </w:rPr>
            </w:pPr>
            <w:r w:rsidRPr="00EC53F7">
              <w:rPr>
                <w:rFonts w:ascii="Arial" w:hAnsi="Arial" w:cs="Arial"/>
                <w:sz w:val="24"/>
                <w:szCs w:val="24"/>
              </w:rPr>
              <w:t xml:space="preserve">Ombudsman recommendation for </w:t>
            </w:r>
            <w:r>
              <w:rPr>
                <w:rFonts w:ascii="Arial" w:hAnsi="Arial" w:cs="Arial"/>
                <w:sz w:val="24"/>
                <w:szCs w:val="24"/>
              </w:rPr>
              <w:t xml:space="preserve">and apology to be provided along with </w:t>
            </w:r>
            <w:r w:rsidRPr="00EC53F7">
              <w:rPr>
                <w:rFonts w:ascii="Arial" w:hAnsi="Arial" w:cs="Arial"/>
                <w:sz w:val="24"/>
                <w:szCs w:val="24"/>
              </w:rPr>
              <w:t>£250 payment for poor complaints handling</w:t>
            </w:r>
            <w:r>
              <w:rPr>
                <w:rFonts w:ascii="Arial" w:hAnsi="Arial" w:cs="Arial"/>
                <w:sz w:val="24"/>
                <w:szCs w:val="24"/>
              </w:rPr>
              <w:t>.</w:t>
            </w:r>
          </w:p>
          <w:p w14:paraId="35A097D8" w14:textId="77777777" w:rsidR="00CC6A40" w:rsidRDefault="00CC6A40">
            <w:pPr>
              <w:rPr>
                <w:rFonts w:ascii="Arial" w:hAnsi="Arial" w:cs="Arial"/>
                <w:sz w:val="24"/>
                <w:szCs w:val="24"/>
              </w:rPr>
            </w:pPr>
          </w:p>
          <w:p w14:paraId="0C407583" w14:textId="20035C2E" w:rsidR="00CC6A40" w:rsidRPr="00EC53F7" w:rsidRDefault="00CC6A40">
            <w:pPr>
              <w:rPr>
                <w:rFonts w:ascii="Arial" w:hAnsi="Arial" w:cs="Arial"/>
                <w:sz w:val="24"/>
                <w:szCs w:val="24"/>
              </w:rPr>
            </w:pPr>
          </w:p>
        </w:tc>
      </w:tr>
      <w:tr w:rsidR="00A56D38" w:rsidRPr="00EC53F7" w14:paraId="58BD6F8A" w14:textId="77777777" w:rsidTr="00EC53F7">
        <w:tc>
          <w:tcPr>
            <w:tcW w:w="1530" w:type="dxa"/>
          </w:tcPr>
          <w:p w14:paraId="5F523289" w14:textId="77777777" w:rsidR="00EC53F7" w:rsidRDefault="00EC53F7">
            <w:pPr>
              <w:rPr>
                <w:rFonts w:ascii="Arial" w:hAnsi="Arial" w:cs="Arial"/>
                <w:b/>
                <w:bCs/>
                <w:sz w:val="24"/>
                <w:szCs w:val="24"/>
              </w:rPr>
            </w:pPr>
            <w:r w:rsidRPr="00EC53F7">
              <w:rPr>
                <w:rFonts w:ascii="Arial" w:hAnsi="Arial" w:cs="Arial"/>
                <w:b/>
                <w:bCs/>
                <w:sz w:val="24"/>
                <w:szCs w:val="24"/>
              </w:rPr>
              <w:lastRenderedPageBreak/>
              <w:t>ID-7430</w:t>
            </w:r>
          </w:p>
          <w:p w14:paraId="41A19460" w14:textId="77777777" w:rsidR="00931EA7" w:rsidRDefault="00931EA7">
            <w:pPr>
              <w:rPr>
                <w:rFonts w:ascii="Arial" w:hAnsi="Arial" w:cs="Arial"/>
                <w:b/>
                <w:bCs/>
                <w:sz w:val="24"/>
                <w:szCs w:val="24"/>
              </w:rPr>
            </w:pPr>
          </w:p>
          <w:p w14:paraId="4531FBC6" w14:textId="4EBF6392" w:rsidR="00931EA7" w:rsidRPr="00EC53F7" w:rsidRDefault="00931EA7">
            <w:pPr>
              <w:rPr>
                <w:rFonts w:ascii="Arial" w:hAnsi="Arial" w:cs="Arial"/>
                <w:b/>
                <w:bCs/>
                <w:sz w:val="24"/>
                <w:szCs w:val="24"/>
              </w:rPr>
            </w:pPr>
            <w:r>
              <w:rPr>
                <w:rFonts w:ascii="Arial" w:hAnsi="Arial" w:cs="Arial"/>
                <w:b/>
                <w:bCs/>
                <w:sz w:val="24"/>
                <w:szCs w:val="24"/>
              </w:rPr>
              <w:t xml:space="preserve">Morriston </w:t>
            </w:r>
            <w:r w:rsidR="00E9150E">
              <w:rPr>
                <w:rFonts w:ascii="Arial" w:hAnsi="Arial" w:cs="Arial"/>
                <w:b/>
                <w:bCs/>
                <w:sz w:val="24"/>
                <w:szCs w:val="24"/>
              </w:rPr>
              <w:t>(Surgical)</w:t>
            </w:r>
          </w:p>
        </w:tc>
        <w:tc>
          <w:tcPr>
            <w:tcW w:w="4062" w:type="dxa"/>
          </w:tcPr>
          <w:p w14:paraId="2994C21C" w14:textId="280616DE" w:rsidR="00EC53F7" w:rsidRPr="00EC53F7" w:rsidRDefault="00EC53F7">
            <w:pPr>
              <w:rPr>
                <w:rFonts w:ascii="Arial" w:hAnsi="Arial" w:cs="Arial"/>
                <w:sz w:val="24"/>
                <w:szCs w:val="24"/>
              </w:rPr>
            </w:pPr>
            <w:r w:rsidRPr="00EC53F7">
              <w:rPr>
                <w:rFonts w:ascii="Arial" w:hAnsi="Arial" w:cs="Arial"/>
                <w:sz w:val="24"/>
                <w:szCs w:val="24"/>
              </w:rPr>
              <w:t>Th</w:t>
            </w:r>
            <w:r>
              <w:rPr>
                <w:rFonts w:ascii="Arial" w:hAnsi="Arial" w:cs="Arial"/>
                <w:sz w:val="24"/>
                <w:szCs w:val="24"/>
              </w:rPr>
              <w:t>e</w:t>
            </w:r>
            <w:r w:rsidRPr="00EC53F7">
              <w:rPr>
                <w:rFonts w:ascii="Arial" w:hAnsi="Arial" w:cs="Arial"/>
                <w:sz w:val="24"/>
                <w:szCs w:val="24"/>
              </w:rPr>
              <w:t xml:space="preserve"> poor complaints handling element of the complaint was settled at the commencement of the investigation</w:t>
            </w:r>
            <w:r>
              <w:rPr>
                <w:rFonts w:ascii="Arial" w:hAnsi="Arial" w:cs="Arial"/>
                <w:sz w:val="24"/>
                <w:szCs w:val="24"/>
              </w:rPr>
              <w:t>, via early resolution,</w:t>
            </w:r>
            <w:r w:rsidRPr="00EC53F7">
              <w:rPr>
                <w:rFonts w:ascii="Arial" w:hAnsi="Arial" w:cs="Arial"/>
                <w:sz w:val="24"/>
                <w:szCs w:val="24"/>
              </w:rPr>
              <w:t xml:space="preserve"> when the Health Board apologised to the complainant for the handling of her complaint, including a complaint meeting not being arranged</w:t>
            </w:r>
            <w:r>
              <w:rPr>
                <w:rFonts w:ascii="Arial" w:hAnsi="Arial" w:cs="Arial"/>
                <w:sz w:val="24"/>
                <w:szCs w:val="24"/>
              </w:rPr>
              <w:t>.</w:t>
            </w:r>
          </w:p>
        </w:tc>
        <w:tc>
          <w:tcPr>
            <w:tcW w:w="1924" w:type="dxa"/>
          </w:tcPr>
          <w:p w14:paraId="00001501" w14:textId="77777777" w:rsidR="00EC53F7" w:rsidRDefault="00EC53F7">
            <w:pPr>
              <w:rPr>
                <w:rFonts w:ascii="Arial" w:hAnsi="Arial" w:cs="Arial"/>
                <w:sz w:val="24"/>
                <w:szCs w:val="24"/>
              </w:rPr>
            </w:pPr>
            <w:r>
              <w:rPr>
                <w:rFonts w:ascii="Arial" w:hAnsi="Arial" w:cs="Arial"/>
                <w:sz w:val="24"/>
                <w:szCs w:val="24"/>
              </w:rPr>
              <w:t>Failure to arrange a meeting with the complainant in a timely manner, in-line with the PTR Policy.</w:t>
            </w:r>
          </w:p>
          <w:p w14:paraId="131DAA95" w14:textId="77777777" w:rsidR="00EC53F7" w:rsidRDefault="00EC53F7">
            <w:pPr>
              <w:rPr>
                <w:rFonts w:ascii="Arial" w:hAnsi="Arial" w:cs="Arial"/>
                <w:sz w:val="24"/>
                <w:szCs w:val="24"/>
              </w:rPr>
            </w:pPr>
          </w:p>
          <w:p w14:paraId="4AE76438" w14:textId="0D3E934A" w:rsidR="00EC53F7" w:rsidRPr="00EC53F7" w:rsidRDefault="00EC53F7">
            <w:pPr>
              <w:rPr>
                <w:rFonts w:ascii="Arial" w:hAnsi="Arial" w:cs="Arial"/>
                <w:sz w:val="24"/>
                <w:szCs w:val="24"/>
              </w:rPr>
            </w:pPr>
            <w:r>
              <w:rPr>
                <w:rFonts w:ascii="Arial" w:hAnsi="Arial" w:cs="Arial"/>
                <w:sz w:val="24"/>
                <w:szCs w:val="24"/>
              </w:rPr>
              <w:t>Delayed response.</w:t>
            </w:r>
          </w:p>
        </w:tc>
        <w:tc>
          <w:tcPr>
            <w:tcW w:w="3825" w:type="dxa"/>
          </w:tcPr>
          <w:p w14:paraId="11D48D5D" w14:textId="3646D9D2" w:rsidR="00EC53F7" w:rsidRDefault="00EC53F7">
            <w:pPr>
              <w:rPr>
                <w:rFonts w:ascii="Arial" w:hAnsi="Arial" w:cs="Arial"/>
                <w:sz w:val="24"/>
                <w:szCs w:val="24"/>
              </w:rPr>
            </w:pPr>
            <w:r>
              <w:rPr>
                <w:rFonts w:ascii="Arial" w:hAnsi="Arial" w:cs="Arial"/>
                <w:sz w:val="24"/>
                <w:szCs w:val="24"/>
              </w:rPr>
              <w:t xml:space="preserve">Early resolution to arrange meeting within a prescribed timescale – along with the importance of arranging timely meetings with complainants and clinicians. </w:t>
            </w:r>
          </w:p>
          <w:p w14:paraId="0805BB9A" w14:textId="77777777" w:rsidR="00EC53F7" w:rsidRDefault="00EC53F7">
            <w:pPr>
              <w:rPr>
                <w:rFonts w:ascii="Arial" w:hAnsi="Arial" w:cs="Arial"/>
                <w:sz w:val="24"/>
                <w:szCs w:val="24"/>
              </w:rPr>
            </w:pPr>
          </w:p>
          <w:p w14:paraId="29FC8D17" w14:textId="223FE375" w:rsidR="00EC53F7" w:rsidRPr="00EC53F7" w:rsidRDefault="00EC53F7">
            <w:pPr>
              <w:rPr>
                <w:rFonts w:ascii="Arial" w:hAnsi="Arial" w:cs="Arial"/>
                <w:sz w:val="24"/>
                <w:szCs w:val="24"/>
              </w:rPr>
            </w:pPr>
            <w:r>
              <w:rPr>
                <w:rFonts w:ascii="Arial" w:hAnsi="Arial" w:cs="Arial"/>
                <w:sz w:val="24"/>
                <w:szCs w:val="24"/>
              </w:rPr>
              <w:t>A</w:t>
            </w:r>
            <w:r w:rsidRPr="00EC53F7">
              <w:rPr>
                <w:rFonts w:ascii="Arial" w:hAnsi="Arial" w:cs="Arial"/>
                <w:sz w:val="24"/>
                <w:szCs w:val="24"/>
              </w:rPr>
              <w:t xml:space="preserve">pology </w:t>
            </w:r>
            <w:r>
              <w:rPr>
                <w:rFonts w:ascii="Arial" w:hAnsi="Arial" w:cs="Arial"/>
                <w:sz w:val="24"/>
                <w:szCs w:val="24"/>
              </w:rPr>
              <w:t xml:space="preserve">provided for the delay experienced by the complainant, </w:t>
            </w:r>
            <w:r w:rsidRPr="00EC53F7">
              <w:rPr>
                <w:rFonts w:ascii="Arial" w:hAnsi="Arial" w:cs="Arial"/>
                <w:sz w:val="24"/>
                <w:szCs w:val="24"/>
              </w:rPr>
              <w:t xml:space="preserve">and </w:t>
            </w:r>
            <w:r>
              <w:rPr>
                <w:rFonts w:ascii="Arial" w:hAnsi="Arial" w:cs="Arial"/>
                <w:sz w:val="24"/>
                <w:szCs w:val="24"/>
              </w:rPr>
              <w:t xml:space="preserve">a </w:t>
            </w:r>
            <w:r w:rsidRPr="00EC53F7">
              <w:rPr>
                <w:rFonts w:ascii="Arial" w:hAnsi="Arial" w:cs="Arial"/>
                <w:sz w:val="24"/>
                <w:szCs w:val="24"/>
              </w:rPr>
              <w:t>payment of £250 for the delay and distress caused by th</w:t>
            </w:r>
            <w:r>
              <w:rPr>
                <w:rFonts w:ascii="Arial" w:hAnsi="Arial" w:cs="Arial"/>
                <w:sz w:val="24"/>
                <w:szCs w:val="24"/>
              </w:rPr>
              <w:t>e delay.</w:t>
            </w:r>
          </w:p>
        </w:tc>
      </w:tr>
      <w:tr w:rsidR="00A56D38" w:rsidRPr="00EC53F7" w14:paraId="312B7455" w14:textId="77777777" w:rsidTr="00EC53F7">
        <w:tc>
          <w:tcPr>
            <w:tcW w:w="1530" w:type="dxa"/>
          </w:tcPr>
          <w:p w14:paraId="1F1F4FBE" w14:textId="77777777" w:rsidR="00EC53F7" w:rsidRDefault="00EC53F7">
            <w:pPr>
              <w:rPr>
                <w:rFonts w:ascii="Arial" w:hAnsi="Arial" w:cs="Arial"/>
                <w:b/>
                <w:bCs/>
                <w:sz w:val="24"/>
                <w:szCs w:val="24"/>
              </w:rPr>
            </w:pPr>
            <w:r w:rsidRPr="00EC53F7">
              <w:rPr>
                <w:rFonts w:ascii="Arial" w:hAnsi="Arial" w:cs="Arial"/>
                <w:b/>
                <w:bCs/>
                <w:sz w:val="24"/>
                <w:szCs w:val="24"/>
              </w:rPr>
              <w:t>ID-8025 &amp; ID-8027</w:t>
            </w:r>
          </w:p>
          <w:p w14:paraId="188429A0" w14:textId="77777777" w:rsidR="00E9150E" w:rsidRDefault="00E9150E">
            <w:pPr>
              <w:rPr>
                <w:rFonts w:ascii="Arial" w:hAnsi="Arial" w:cs="Arial"/>
                <w:b/>
                <w:bCs/>
                <w:sz w:val="24"/>
                <w:szCs w:val="24"/>
              </w:rPr>
            </w:pPr>
          </w:p>
          <w:p w14:paraId="766CE635" w14:textId="6C35B365" w:rsidR="00E9150E" w:rsidRPr="00EC53F7" w:rsidRDefault="00E9150E">
            <w:pPr>
              <w:rPr>
                <w:rFonts w:ascii="Arial" w:hAnsi="Arial" w:cs="Arial"/>
                <w:b/>
                <w:bCs/>
                <w:sz w:val="24"/>
                <w:szCs w:val="24"/>
              </w:rPr>
            </w:pPr>
            <w:r>
              <w:rPr>
                <w:rFonts w:ascii="Arial" w:hAnsi="Arial" w:cs="Arial"/>
                <w:b/>
                <w:bCs/>
                <w:sz w:val="24"/>
                <w:szCs w:val="24"/>
              </w:rPr>
              <w:t>Morriston (T&amp;O)</w:t>
            </w:r>
          </w:p>
        </w:tc>
        <w:tc>
          <w:tcPr>
            <w:tcW w:w="4062" w:type="dxa"/>
          </w:tcPr>
          <w:p w14:paraId="60AF1527" w14:textId="77777777" w:rsidR="00EC53F7" w:rsidRDefault="00EC53F7">
            <w:pPr>
              <w:rPr>
                <w:rFonts w:ascii="Arial" w:hAnsi="Arial" w:cs="Arial"/>
                <w:sz w:val="24"/>
                <w:szCs w:val="24"/>
              </w:rPr>
            </w:pPr>
            <w:r w:rsidRPr="00EC53F7">
              <w:rPr>
                <w:rFonts w:ascii="Arial" w:hAnsi="Arial" w:cs="Arial"/>
                <w:sz w:val="24"/>
                <w:szCs w:val="24"/>
              </w:rPr>
              <w:t xml:space="preserve">The </w:t>
            </w:r>
            <w:r>
              <w:rPr>
                <w:rFonts w:ascii="Arial" w:hAnsi="Arial" w:cs="Arial"/>
                <w:sz w:val="24"/>
                <w:szCs w:val="24"/>
              </w:rPr>
              <w:t xml:space="preserve">Ombudsman advised that the </w:t>
            </w:r>
            <w:r w:rsidRPr="00EC53F7">
              <w:rPr>
                <w:rFonts w:ascii="Arial" w:hAnsi="Arial" w:cs="Arial"/>
                <w:sz w:val="24"/>
                <w:szCs w:val="24"/>
              </w:rPr>
              <w:t xml:space="preserve">Health Board’s complaint handling was clearly confused - it dealt with </w:t>
            </w:r>
            <w:r>
              <w:rPr>
                <w:rFonts w:ascii="Arial" w:hAnsi="Arial" w:cs="Arial"/>
                <w:sz w:val="24"/>
                <w:szCs w:val="24"/>
              </w:rPr>
              <w:t>the patient’s</w:t>
            </w:r>
            <w:r w:rsidRPr="00EC53F7">
              <w:rPr>
                <w:rFonts w:ascii="Arial" w:hAnsi="Arial" w:cs="Arial"/>
                <w:sz w:val="24"/>
                <w:szCs w:val="24"/>
              </w:rPr>
              <w:t xml:space="preserve"> first letter of complaint, but when it subsequently received a further letter of complaint it referred that to the Private Hospital </w:t>
            </w:r>
            <w:r>
              <w:rPr>
                <w:rFonts w:ascii="Arial" w:hAnsi="Arial" w:cs="Arial"/>
                <w:sz w:val="24"/>
                <w:szCs w:val="24"/>
              </w:rPr>
              <w:t xml:space="preserve">(patient was outsourced) </w:t>
            </w:r>
            <w:r w:rsidRPr="00EC53F7">
              <w:rPr>
                <w:rFonts w:ascii="Arial" w:hAnsi="Arial" w:cs="Arial"/>
                <w:sz w:val="24"/>
                <w:szCs w:val="24"/>
              </w:rPr>
              <w:t xml:space="preserve">to deal with. </w:t>
            </w:r>
          </w:p>
          <w:p w14:paraId="131BCD46" w14:textId="77777777" w:rsidR="00EC53F7" w:rsidRDefault="00EC53F7">
            <w:pPr>
              <w:rPr>
                <w:rFonts w:ascii="Arial" w:hAnsi="Arial" w:cs="Arial"/>
                <w:sz w:val="24"/>
                <w:szCs w:val="24"/>
              </w:rPr>
            </w:pPr>
          </w:p>
          <w:p w14:paraId="5A835D17" w14:textId="77777777" w:rsidR="00EC53F7" w:rsidRDefault="00EC53F7">
            <w:pPr>
              <w:rPr>
                <w:rFonts w:ascii="Arial" w:hAnsi="Arial" w:cs="Arial"/>
                <w:sz w:val="24"/>
                <w:szCs w:val="24"/>
              </w:rPr>
            </w:pPr>
            <w:r>
              <w:rPr>
                <w:rFonts w:ascii="Arial" w:hAnsi="Arial" w:cs="Arial"/>
                <w:sz w:val="24"/>
                <w:szCs w:val="24"/>
              </w:rPr>
              <w:t>The Ombudsman was</w:t>
            </w:r>
            <w:r w:rsidRPr="00EC53F7">
              <w:rPr>
                <w:rFonts w:ascii="Arial" w:hAnsi="Arial" w:cs="Arial"/>
                <w:sz w:val="24"/>
                <w:szCs w:val="24"/>
              </w:rPr>
              <w:t xml:space="preserve"> satisfied by the Health Board’s explanation to the Ombudsman that, in line with its contract with the Private Hospital, it was for the Private Hospital to deal with </w:t>
            </w:r>
            <w:r>
              <w:rPr>
                <w:rFonts w:ascii="Arial" w:hAnsi="Arial" w:cs="Arial"/>
                <w:sz w:val="24"/>
                <w:szCs w:val="24"/>
              </w:rPr>
              <w:t>the</w:t>
            </w:r>
            <w:r w:rsidRPr="00EC53F7">
              <w:rPr>
                <w:rFonts w:ascii="Arial" w:hAnsi="Arial" w:cs="Arial"/>
                <w:sz w:val="24"/>
                <w:szCs w:val="24"/>
              </w:rPr>
              <w:t xml:space="preserve"> complaint under PTR. </w:t>
            </w:r>
          </w:p>
          <w:p w14:paraId="4E2B6D45" w14:textId="77777777" w:rsidR="00EC53F7" w:rsidRDefault="00EC53F7">
            <w:pPr>
              <w:rPr>
                <w:rFonts w:ascii="Arial" w:hAnsi="Arial" w:cs="Arial"/>
                <w:sz w:val="24"/>
                <w:szCs w:val="24"/>
              </w:rPr>
            </w:pPr>
          </w:p>
          <w:p w14:paraId="159E34ED" w14:textId="77777777" w:rsidR="00EC53F7" w:rsidRDefault="00EC53F7">
            <w:pPr>
              <w:rPr>
                <w:rFonts w:ascii="Arial" w:hAnsi="Arial" w:cs="Arial"/>
                <w:sz w:val="24"/>
                <w:szCs w:val="24"/>
              </w:rPr>
            </w:pPr>
            <w:r w:rsidRPr="00EC53F7">
              <w:rPr>
                <w:rFonts w:ascii="Arial" w:hAnsi="Arial" w:cs="Arial"/>
                <w:sz w:val="24"/>
                <w:szCs w:val="24"/>
              </w:rPr>
              <w:t xml:space="preserve">However, the </w:t>
            </w:r>
            <w:r>
              <w:rPr>
                <w:rFonts w:ascii="Arial" w:hAnsi="Arial" w:cs="Arial"/>
                <w:sz w:val="24"/>
                <w:szCs w:val="24"/>
              </w:rPr>
              <w:t xml:space="preserve">Ombudsman further advised that the </w:t>
            </w:r>
            <w:r w:rsidRPr="00EC53F7">
              <w:rPr>
                <w:rFonts w:ascii="Arial" w:hAnsi="Arial" w:cs="Arial"/>
                <w:sz w:val="24"/>
                <w:szCs w:val="24"/>
              </w:rPr>
              <w:t xml:space="preserve">Health Board should have referred the first letter to the Private Hospital, which would have avoided the subsequent confusion, and the necessity for the </w:t>
            </w:r>
            <w:r>
              <w:rPr>
                <w:rFonts w:ascii="Arial" w:hAnsi="Arial" w:cs="Arial"/>
                <w:sz w:val="24"/>
                <w:szCs w:val="24"/>
              </w:rPr>
              <w:t xml:space="preserve">Community Health Council </w:t>
            </w:r>
            <w:r w:rsidRPr="00EC53F7">
              <w:rPr>
                <w:rFonts w:ascii="Arial" w:hAnsi="Arial" w:cs="Arial"/>
                <w:sz w:val="24"/>
                <w:szCs w:val="24"/>
              </w:rPr>
              <w:t>advocate to challenge the Health Board’s handling of the complaint.</w:t>
            </w:r>
          </w:p>
          <w:p w14:paraId="4AC880BB" w14:textId="7EAC96DC" w:rsidR="00EC53F7" w:rsidRPr="00EC53F7" w:rsidRDefault="00EC53F7">
            <w:pPr>
              <w:rPr>
                <w:rFonts w:ascii="Arial" w:hAnsi="Arial" w:cs="Arial"/>
                <w:sz w:val="24"/>
                <w:szCs w:val="24"/>
              </w:rPr>
            </w:pPr>
          </w:p>
        </w:tc>
        <w:tc>
          <w:tcPr>
            <w:tcW w:w="1924" w:type="dxa"/>
          </w:tcPr>
          <w:p w14:paraId="08FF5AFB" w14:textId="334FFC24" w:rsidR="00EC53F7" w:rsidRPr="00EC53F7" w:rsidRDefault="00EC53F7">
            <w:pPr>
              <w:rPr>
                <w:rFonts w:ascii="Arial" w:hAnsi="Arial" w:cs="Arial"/>
                <w:sz w:val="24"/>
                <w:szCs w:val="24"/>
              </w:rPr>
            </w:pPr>
            <w:r>
              <w:rPr>
                <w:rFonts w:ascii="Arial" w:hAnsi="Arial" w:cs="Arial"/>
                <w:sz w:val="24"/>
                <w:szCs w:val="24"/>
              </w:rPr>
              <w:t>Failure to allocate/forward the complaint to the Private Hospital from the outset.</w:t>
            </w:r>
          </w:p>
        </w:tc>
        <w:tc>
          <w:tcPr>
            <w:tcW w:w="3825" w:type="dxa"/>
          </w:tcPr>
          <w:p w14:paraId="6AF659E6" w14:textId="77777777" w:rsidR="00EC53F7" w:rsidRDefault="00EC53F7">
            <w:pPr>
              <w:rPr>
                <w:rFonts w:ascii="Arial" w:hAnsi="Arial" w:cs="Arial"/>
                <w:sz w:val="24"/>
                <w:szCs w:val="24"/>
              </w:rPr>
            </w:pPr>
            <w:r>
              <w:rPr>
                <w:rFonts w:ascii="Arial" w:hAnsi="Arial" w:cs="Arial"/>
                <w:sz w:val="24"/>
                <w:szCs w:val="24"/>
              </w:rPr>
              <w:t>The importance of ensuring that private/outsourced patients’ complaints are appropriately allocated by the Health Board from the outset.</w:t>
            </w:r>
          </w:p>
          <w:p w14:paraId="49837C9A" w14:textId="77777777" w:rsidR="00EC53F7" w:rsidRDefault="00EC53F7">
            <w:pPr>
              <w:rPr>
                <w:rFonts w:ascii="Arial" w:hAnsi="Arial" w:cs="Arial"/>
                <w:sz w:val="24"/>
                <w:szCs w:val="24"/>
              </w:rPr>
            </w:pPr>
          </w:p>
          <w:p w14:paraId="475208E1" w14:textId="5E29C283" w:rsidR="00EC53F7" w:rsidRPr="00EC53F7" w:rsidRDefault="00EC53F7">
            <w:pPr>
              <w:rPr>
                <w:rFonts w:ascii="Arial" w:hAnsi="Arial" w:cs="Arial"/>
                <w:sz w:val="24"/>
                <w:szCs w:val="24"/>
              </w:rPr>
            </w:pPr>
            <w:r w:rsidRPr="00EC53F7">
              <w:rPr>
                <w:rFonts w:ascii="Arial" w:hAnsi="Arial" w:cs="Arial"/>
                <w:sz w:val="24"/>
                <w:szCs w:val="24"/>
              </w:rPr>
              <w:t>Apology provided by Health Board and Private Hospital, payment of £250 made by the private hospital.</w:t>
            </w:r>
          </w:p>
        </w:tc>
      </w:tr>
    </w:tbl>
    <w:p w14:paraId="4CEF35FB" w14:textId="77777777" w:rsidR="005D3B67" w:rsidRDefault="005D3B67"/>
    <w:sectPr w:rsidR="005D3B67">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21C64" w14:textId="77777777" w:rsidR="00EC53F7" w:rsidRDefault="00EC53F7" w:rsidP="00EC53F7">
      <w:pPr>
        <w:spacing w:after="0" w:line="240" w:lineRule="auto"/>
      </w:pPr>
      <w:r>
        <w:separator/>
      </w:r>
    </w:p>
  </w:endnote>
  <w:endnote w:type="continuationSeparator" w:id="0">
    <w:p w14:paraId="7DE99B10" w14:textId="77777777" w:rsidR="00EC53F7" w:rsidRDefault="00EC53F7" w:rsidP="00EC53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9ECD52" w14:textId="77777777" w:rsidR="00EC53F7" w:rsidRDefault="00EC53F7" w:rsidP="00EC53F7">
      <w:pPr>
        <w:spacing w:after="0" w:line="240" w:lineRule="auto"/>
      </w:pPr>
      <w:r>
        <w:separator/>
      </w:r>
    </w:p>
  </w:footnote>
  <w:footnote w:type="continuationSeparator" w:id="0">
    <w:p w14:paraId="0EB9E2FD" w14:textId="77777777" w:rsidR="00EC53F7" w:rsidRDefault="00EC53F7" w:rsidP="00EC53F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91A78" w14:textId="544F074E" w:rsidR="00EC53F7" w:rsidRPr="00EC53F7" w:rsidRDefault="00EC53F7">
    <w:pPr>
      <w:pStyle w:val="Header"/>
      <w:rPr>
        <w:rFonts w:ascii="Arial" w:hAnsi="Arial" w:cs="Arial"/>
      </w:rPr>
    </w:pPr>
    <w:r w:rsidRPr="00EC53F7">
      <w:rPr>
        <w:rFonts w:ascii="Arial" w:hAnsi="Arial" w:cs="Arial"/>
      </w:rPr>
      <w:t xml:space="preserve">Review of Ombudsman cases where </w:t>
    </w:r>
    <w:r>
      <w:rPr>
        <w:rFonts w:ascii="Arial" w:hAnsi="Arial" w:cs="Arial"/>
      </w:rPr>
      <w:t>p</w:t>
    </w:r>
    <w:r w:rsidRPr="00EC53F7">
      <w:rPr>
        <w:rFonts w:ascii="Arial" w:hAnsi="Arial" w:cs="Arial"/>
      </w:rPr>
      <w:t xml:space="preserve">oor </w:t>
    </w:r>
    <w:r>
      <w:rPr>
        <w:rFonts w:ascii="Arial" w:hAnsi="Arial" w:cs="Arial"/>
      </w:rPr>
      <w:t>c</w:t>
    </w:r>
    <w:r w:rsidRPr="00EC53F7">
      <w:rPr>
        <w:rFonts w:ascii="Arial" w:hAnsi="Arial" w:cs="Arial"/>
      </w:rPr>
      <w:t xml:space="preserve">omplaints </w:t>
    </w:r>
    <w:r>
      <w:rPr>
        <w:rFonts w:ascii="Arial" w:hAnsi="Arial" w:cs="Arial"/>
      </w:rPr>
      <w:t>h</w:t>
    </w:r>
    <w:r w:rsidRPr="00EC53F7">
      <w:rPr>
        <w:rFonts w:ascii="Arial" w:hAnsi="Arial" w:cs="Arial"/>
      </w:rPr>
      <w:t xml:space="preserve">andling </w:t>
    </w:r>
    <w:r w:rsidR="0012511A">
      <w:rPr>
        <w:rFonts w:ascii="Arial" w:hAnsi="Arial" w:cs="Arial"/>
      </w:rPr>
      <w:t>is</w:t>
    </w:r>
    <w:r w:rsidRPr="00EC53F7">
      <w:rPr>
        <w:rFonts w:ascii="Arial" w:hAnsi="Arial" w:cs="Arial"/>
      </w:rPr>
      <w:t xml:space="preserve"> </w:t>
    </w:r>
    <w:r>
      <w:rPr>
        <w:rFonts w:ascii="Arial" w:hAnsi="Arial" w:cs="Arial"/>
      </w:rPr>
      <w:t>u</w:t>
    </w:r>
    <w:r w:rsidRPr="00EC53F7">
      <w:rPr>
        <w:rFonts w:ascii="Arial" w:hAnsi="Arial" w:cs="Arial"/>
      </w:rPr>
      <w:t>pheld.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17EB6"/>
    <w:multiLevelType w:val="hybridMultilevel"/>
    <w:tmpl w:val="62A4CC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20F86"/>
    <w:multiLevelType w:val="hybridMultilevel"/>
    <w:tmpl w:val="55E00D6E"/>
    <w:lvl w:ilvl="0" w:tplc="FD6EEE3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DD6721"/>
    <w:multiLevelType w:val="hybridMultilevel"/>
    <w:tmpl w:val="09F458AA"/>
    <w:lvl w:ilvl="0" w:tplc="5AEC8D1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5B126A"/>
    <w:multiLevelType w:val="hybridMultilevel"/>
    <w:tmpl w:val="D1BE0CBC"/>
    <w:lvl w:ilvl="0" w:tplc="EE68C512">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8800B1"/>
    <w:multiLevelType w:val="hybridMultilevel"/>
    <w:tmpl w:val="DC5EAFF6"/>
    <w:lvl w:ilvl="0" w:tplc="02DC2CA4">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69749368">
    <w:abstractNumId w:val="3"/>
  </w:num>
  <w:num w:numId="2" w16cid:durableId="1542788540">
    <w:abstractNumId w:val="1"/>
  </w:num>
  <w:num w:numId="3" w16cid:durableId="1087573437">
    <w:abstractNumId w:val="2"/>
  </w:num>
  <w:num w:numId="4" w16cid:durableId="2030251301">
    <w:abstractNumId w:val="0"/>
  </w:num>
  <w:num w:numId="5" w16cid:durableId="7189805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3F7"/>
    <w:rsid w:val="0012511A"/>
    <w:rsid w:val="00493AA7"/>
    <w:rsid w:val="005D3B67"/>
    <w:rsid w:val="008C36DC"/>
    <w:rsid w:val="00931EA7"/>
    <w:rsid w:val="00A56D38"/>
    <w:rsid w:val="00CC6A40"/>
    <w:rsid w:val="00E9150E"/>
    <w:rsid w:val="00EC53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8320ED"/>
  <w15:chartTrackingRefBased/>
  <w15:docId w15:val="{44775DFF-1515-456C-8605-4C4E40EE6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C53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C53F7"/>
    <w:pPr>
      <w:ind w:left="720"/>
      <w:contextualSpacing/>
    </w:pPr>
  </w:style>
  <w:style w:type="paragraph" w:styleId="Header">
    <w:name w:val="header"/>
    <w:basedOn w:val="Normal"/>
    <w:link w:val="HeaderChar"/>
    <w:uiPriority w:val="99"/>
    <w:unhideWhenUsed/>
    <w:rsid w:val="00EC53F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C53F7"/>
  </w:style>
  <w:style w:type="paragraph" w:styleId="Footer">
    <w:name w:val="footer"/>
    <w:basedOn w:val="Normal"/>
    <w:link w:val="FooterChar"/>
    <w:uiPriority w:val="99"/>
    <w:unhideWhenUsed/>
    <w:rsid w:val="00EC53F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C5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157</TotalTime>
  <Pages>2</Pages>
  <Words>649</Words>
  <Characters>3705</Characters>
  <Application>Microsoft Office Word</Application>
  <DocSecurity>0</DocSecurity>
  <Lines>30</Lines>
  <Paragraphs>8</Paragraphs>
  <ScaleCrop>false</ScaleCrop>
  <Company>SBU</Company>
  <LinksUpToDate>false</LinksUpToDate>
  <CharactersWithSpaces>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Erica Thomas-Howells (Swansea Bay UHB - Complaints Team - Patient Feedback Department)</dc:creator>
  <cp:keywords/>
  <dc:description/>
  <cp:lastModifiedBy>Erica Thomas-Howells</cp:lastModifiedBy>
  <cp:revision>11</cp:revision>
  <dcterms:created xsi:type="dcterms:W3CDTF">2023-11-16T08:41:00Z</dcterms:created>
  <dcterms:modified xsi:type="dcterms:W3CDTF">2023-11-16T12:01:00Z</dcterms:modified>
</cp:coreProperties>
</file>