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E56B32" w14:textId="77777777" w:rsidR="00C90582" w:rsidRPr="000927C0" w:rsidRDefault="00C90582" w:rsidP="00C90582">
      <w:pPr>
        <w:spacing w:after="0" w:line="240" w:lineRule="auto"/>
        <w:rPr>
          <w:rFonts w:ascii="Verdana" w:hAnsi="Verdana"/>
          <w:b/>
          <w:bCs/>
          <w:sz w:val="24"/>
          <w:szCs w:val="24"/>
          <w:lang w:eastAsia="en-GB"/>
        </w:rPr>
      </w:pPr>
      <w:r w:rsidRPr="000927C0">
        <w:rPr>
          <w:rFonts w:ascii="Verdana" w:hAnsi="Verdana" w:cs="Arial"/>
          <w:b/>
          <w:sz w:val="24"/>
          <w:szCs w:val="24"/>
        </w:rPr>
        <w:t xml:space="preserve">Appendix 1: </w:t>
      </w:r>
      <w:r w:rsidRPr="000927C0">
        <w:rPr>
          <w:rFonts w:ascii="Verdana" w:hAnsi="Verdana"/>
          <w:b/>
          <w:bCs/>
          <w:sz w:val="24"/>
          <w:szCs w:val="24"/>
          <w:lang w:eastAsia="en-GB"/>
        </w:rPr>
        <w:t xml:space="preserve">SBUHB Implementation Plan Listening to People: NHS Complaints, Incidents and Redress Process </w:t>
      </w:r>
    </w:p>
    <w:p w14:paraId="524E42D8" w14:textId="77777777" w:rsidR="00C90582" w:rsidRPr="000927C0" w:rsidRDefault="00C90582" w:rsidP="00C90582">
      <w:pPr>
        <w:spacing w:after="0" w:line="240" w:lineRule="auto"/>
        <w:rPr>
          <w:rFonts w:ascii="Verdana" w:hAnsi="Verdana"/>
          <w:b/>
          <w:bCs/>
          <w:sz w:val="24"/>
          <w:szCs w:val="24"/>
          <w:lang w:eastAsia="en-GB"/>
        </w:rPr>
      </w:pPr>
    </w:p>
    <w:p w14:paraId="1F67359B" w14:textId="77777777" w:rsidR="00C90582" w:rsidRPr="000927C0" w:rsidRDefault="00C90582" w:rsidP="00C90582">
      <w:pPr>
        <w:rPr>
          <w:rFonts w:ascii="Verdana" w:hAnsi="Verdana"/>
          <w:b/>
          <w:bCs/>
          <w:kern w:val="36"/>
          <w:sz w:val="24"/>
          <w:szCs w:val="24"/>
          <w:lang w:eastAsia="en-GB"/>
        </w:rPr>
      </w:pPr>
      <w:r w:rsidRPr="000927C0">
        <w:rPr>
          <w:rFonts w:ascii="Verdana" w:eastAsia="Times New Roman" w:hAnsi="Verdana" w:cs="Times New Roman"/>
          <w:b/>
          <w:bCs/>
          <w:sz w:val="24"/>
          <w:szCs w:val="24"/>
          <w:lang w:eastAsia="en-GB"/>
        </w:rPr>
        <w:t>1. Programme Aim</w:t>
      </w:r>
    </w:p>
    <w:p w14:paraId="55804CAE" w14:textId="7C1BF341" w:rsidR="00C90582" w:rsidRDefault="00C90582" w:rsidP="00C90582">
      <w:p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Implementation of an integrated Listening to People (LTP) Process for Complaints, Incidents and Redress within Swansea Bay University Health B</w:t>
      </w:r>
      <w:r w:rsidR="00385261">
        <w:rPr>
          <w:rFonts w:ascii="Verdana" w:eastAsia="Times New Roman" w:hAnsi="Verdana" w:cs="Times New Roman"/>
          <w:sz w:val="24"/>
          <w:szCs w:val="24"/>
          <w:lang w:eastAsia="en-GB"/>
        </w:rPr>
        <w:t>o</w:t>
      </w:r>
      <w:r w:rsidRPr="000927C0">
        <w:rPr>
          <w:rFonts w:ascii="Verdana" w:eastAsia="Times New Roman" w:hAnsi="Verdana" w:cs="Times New Roman"/>
          <w:sz w:val="24"/>
          <w:szCs w:val="24"/>
          <w:lang w:eastAsia="en-GB"/>
        </w:rPr>
        <w:t>ard</w:t>
      </w:r>
      <w:r w:rsidR="00DF0F31">
        <w:rPr>
          <w:rFonts w:ascii="Verdana" w:eastAsia="Times New Roman" w:hAnsi="Verdana" w:cs="Times New Roman"/>
          <w:sz w:val="24"/>
          <w:szCs w:val="24"/>
          <w:lang w:eastAsia="en-GB"/>
        </w:rPr>
        <w:t xml:space="preserve"> (SBUHB)</w:t>
      </w:r>
      <w:r w:rsidR="003771D0">
        <w:rPr>
          <w:rFonts w:ascii="Verdana" w:eastAsia="Times New Roman" w:hAnsi="Verdana" w:cs="Times New Roman"/>
          <w:sz w:val="24"/>
          <w:szCs w:val="24"/>
          <w:lang w:eastAsia="en-GB"/>
        </w:rPr>
        <w:t>.</w:t>
      </w:r>
    </w:p>
    <w:p w14:paraId="360A9317" w14:textId="77777777" w:rsidR="00C90582" w:rsidRDefault="00C90582" w:rsidP="00C90582">
      <w:pPr>
        <w:spacing w:after="0" w:line="240" w:lineRule="auto"/>
        <w:rPr>
          <w:rFonts w:ascii="Verdana" w:hAnsi="Verdana" w:cs="Arial"/>
          <w:b/>
          <w:sz w:val="24"/>
          <w:szCs w:val="24"/>
        </w:rPr>
      </w:pPr>
      <w:r w:rsidRPr="000927C0">
        <w:rPr>
          <w:rFonts w:ascii="Verdana" w:hAnsi="Verdana" w:cs="Arial"/>
          <w:b/>
          <w:sz w:val="24"/>
          <w:szCs w:val="24"/>
        </w:rPr>
        <w:t>2. Scope</w:t>
      </w:r>
    </w:p>
    <w:p w14:paraId="0E3D95DC" w14:textId="77777777" w:rsidR="003771D0" w:rsidRPr="000927C0" w:rsidRDefault="003771D0" w:rsidP="00C90582">
      <w:pPr>
        <w:spacing w:after="0" w:line="240" w:lineRule="auto"/>
        <w:rPr>
          <w:rFonts w:ascii="Verdana" w:hAnsi="Verdana" w:cs="Arial"/>
          <w:b/>
          <w:sz w:val="24"/>
          <w:szCs w:val="24"/>
        </w:rPr>
      </w:pPr>
    </w:p>
    <w:p w14:paraId="4EB9B810" w14:textId="40770274" w:rsidR="00C90582" w:rsidRDefault="003771D0" w:rsidP="00C90582">
      <w:pPr>
        <w:spacing w:after="0" w:line="240" w:lineRule="auto"/>
        <w:rPr>
          <w:rStyle w:val="eop"/>
          <w:rFonts w:ascii="Verdana" w:hAnsi="Verdana"/>
          <w:color w:val="000000"/>
          <w:sz w:val="24"/>
          <w:szCs w:val="24"/>
          <w:shd w:val="clear" w:color="auto" w:fill="FFFFFF"/>
        </w:rPr>
      </w:pPr>
      <w:r w:rsidRPr="003771D0">
        <w:rPr>
          <w:rStyle w:val="normaltextrun"/>
          <w:rFonts w:ascii="Verdana" w:hAnsi="Verdana"/>
          <w:color w:val="000000"/>
          <w:sz w:val="24"/>
          <w:szCs w:val="24"/>
          <w:shd w:val="clear" w:color="auto" w:fill="FFFFFF"/>
          <w:lang w:val="en-US"/>
        </w:rPr>
        <w:t xml:space="preserve">This </w:t>
      </w:r>
      <w:proofErr w:type="spellStart"/>
      <w:r w:rsidRPr="003771D0">
        <w:rPr>
          <w:rStyle w:val="normaltextrun"/>
          <w:rFonts w:ascii="Verdana" w:hAnsi="Verdana"/>
          <w:color w:val="000000"/>
          <w:sz w:val="24"/>
          <w:szCs w:val="24"/>
          <w:shd w:val="clear" w:color="auto" w:fill="FFFFFF"/>
          <w:lang w:val="en-US"/>
        </w:rPr>
        <w:t>programme</w:t>
      </w:r>
      <w:proofErr w:type="spellEnd"/>
      <w:r w:rsidRPr="003771D0">
        <w:rPr>
          <w:rStyle w:val="normaltextrun"/>
          <w:rFonts w:ascii="Verdana" w:hAnsi="Verdana"/>
          <w:color w:val="000000"/>
          <w:sz w:val="24"/>
          <w:szCs w:val="24"/>
          <w:shd w:val="clear" w:color="auto" w:fill="FFFFFF"/>
          <w:lang w:val="en-US"/>
        </w:rPr>
        <w:t xml:space="preserve"> focuses on improving how we listen, respond and learn from people who raise concerns.</w:t>
      </w:r>
      <w:r w:rsidRPr="003771D0">
        <w:rPr>
          <w:rStyle w:val="eop"/>
          <w:rFonts w:ascii="Verdana" w:hAnsi="Verdana"/>
          <w:color w:val="000000"/>
          <w:sz w:val="24"/>
          <w:szCs w:val="24"/>
          <w:shd w:val="clear" w:color="auto" w:fill="FFFFFF"/>
        </w:rPr>
        <w:t> </w:t>
      </w:r>
    </w:p>
    <w:p w14:paraId="3BBBC72F" w14:textId="77777777" w:rsidR="003771D0" w:rsidRPr="003771D0" w:rsidRDefault="003771D0" w:rsidP="00C90582">
      <w:pPr>
        <w:spacing w:after="0" w:line="240" w:lineRule="auto"/>
        <w:rPr>
          <w:rFonts w:ascii="Verdana" w:hAnsi="Verdana" w:cs="Arial"/>
          <w:b/>
          <w:sz w:val="28"/>
          <w:szCs w:val="28"/>
        </w:rPr>
      </w:pPr>
    </w:p>
    <w:p w14:paraId="45D72E6E" w14:textId="77777777" w:rsidR="00C90582" w:rsidRPr="000927C0" w:rsidRDefault="00C90582" w:rsidP="00C90582">
      <w:pPr>
        <w:spacing w:after="0" w:line="240" w:lineRule="auto"/>
        <w:rPr>
          <w:rFonts w:ascii="Verdana" w:hAnsi="Verdana" w:cs="Arial"/>
          <w:bCs/>
          <w:sz w:val="24"/>
          <w:szCs w:val="24"/>
        </w:rPr>
      </w:pPr>
      <w:r w:rsidRPr="000927C0">
        <w:rPr>
          <w:rFonts w:ascii="Verdana" w:hAnsi="Verdana" w:cs="Arial"/>
          <w:bCs/>
          <w:sz w:val="24"/>
          <w:szCs w:val="24"/>
        </w:rPr>
        <w:t>Table 1 confirms workstreams within and outside of the scope of this implementation plan.</w:t>
      </w:r>
    </w:p>
    <w:p w14:paraId="6B1D0C06" w14:textId="77777777" w:rsidR="00C90582" w:rsidRPr="000927C0" w:rsidRDefault="00C90582" w:rsidP="00C90582">
      <w:pPr>
        <w:spacing w:after="0" w:line="240" w:lineRule="auto"/>
        <w:rPr>
          <w:rFonts w:ascii="Verdana" w:hAnsi="Verdana" w:cs="Arial"/>
          <w:bCs/>
          <w:sz w:val="24"/>
          <w:szCs w:val="24"/>
        </w:rPr>
      </w:pPr>
    </w:p>
    <w:p w14:paraId="546328C1" w14:textId="77777777" w:rsidR="00C90582" w:rsidRDefault="00C90582" w:rsidP="00C90582">
      <w:pPr>
        <w:spacing w:after="0" w:line="240" w:lineRule="auto"/>
        <w:rPr>
          <w:rFonts w:ascii="Verdana" w:hAnsi="Verdana" w:cs="Arial"/>
          <w:b/>
          <w:sz w:val="24"/>
          <w:szCs w:val="24"/>
        </w:rPr>
      </w:pPr>
      <w:r w:rsidRPr="000927C0">
        <w:rPr>
          <w:rFonts w:ascii="Verdana" w:hAnsi="Verdana" w:cs="Arial"/>
          <w:b/>
          <w:sz w:val="24"/>
          <w:szCs w:val="24"/>
        </w:rPr>
        <w:t>Table 1.</w:t>
      </w:r>
    </w:p>
    <w:p w14:paraId="48A6F109" w14:textId="77777777" w:rsidR="00385261" w:rsidRPr="000927C0" w:rsidRDefault="00385261" w:rsidP="00C90582">
      <w:pPr>
        <w:spacing w:after="0" w:line="240" w:lineRule="auto"/>
        <w:rPr>
          <w:rFonts w:ascii="Verdana" w:hAnsi="Verdana" w:cs="Arial"/>
          <w:b/>
          <w:sz w:val="24"/>
          <w:szCs w:val="24"/>
        </w:rPr>
      </w:pPr>
    </w:p>
    <w:tbl>
      <w:tblPr>
        <w:tblStyle w:val="TableGrid"/>
        <w:tblW w:w="0" w:type="auto"/>
        <w:tblLook w:val="04A0" w:firstRow="1" w:lastRow="0" w:firstColumn="1" w:lastColumn="0" w:noHBand="0" w:noVBand="1"/>
      </w:tblPr>
      <w:tblGrid>
        <w:gridCol w:w="4508"/>
        <w:gridCol w:w="4508"/>
      </w:tblGrid>
      <w:tr w:rsidR="00C90582" w:rsidRPr="000927C0" w14:paraId="5D135C0F" w14:textId="77777777" w:rsidTr="007A5CD2">
        <w:tc>
          <w:tcPr>
            <w:tcW w:w="4508" w:type="dxa"/>
            <w:shd w:val="clear" w:color="auto" w:fill="E7E6E6" w:themeFill="background2"/>
          </w:tcPr>
          <w:p w14:paraId="7B1F6793" w14:textId="77777777" w:rsidR="00C90582" w:rsidRPr="000927C0" w:rsidRDefault="00C90582" w:rsidP="007A5CD2">
            <w:pPr>
              <w:rPr>
                <w:rFonts w:ascii="Verdana" w:hAnsi="Verdana" w:cs="Arial"/>
                <w:b/>
                <w:sz w:val="24"/>
                <w:szCs w:val="24"/>
              </w:rPr>
            </w:pPr>
            <w:r w:rsidRPr="000927C0">
              <w:rPr>
                <w:rFonts w:ascii="Verdana" w:hAnsi="Verdana" w:cs="Arial"/>
                <w:b/>
                <w:sz w:val="24"/>
                <w:szCs w:val="24"/>
              </w:rPr>
              <w:t>Within Scope</w:t>
            </w:r>
          </w:p>
        </w:tc>
        <w:tc>
          <w:tcPr>
            <w:tcW w:w="4508" w:type="dxa"/>
            <w:shd w:val="clear" w:color="auto" w:fill="E7E6E6" w:themeFill="background2"/>
          </w:tcPr>
          <w:p w14:paraId="7ED56F14" w14:textId="77777777" w:rsidR="00C90582" w:rsidRPr="000927C0" w:rsidRDefault="00C90582" w:rsidP="007A5CD2">
            <w:pPr>
              <w:rPr>
                <w:rFonts w:ascii="Verdana" w:hAnsi="Verdana" w:cs="Arial"/>
                <w:b/>
                <w:sz w:val="24"/>
                <w:szCs w:val="24"/>
              </w:rPr>
            </w:pPr>
            <w:r w:rsidRPr="000927C0">
              <w:rPr>
                <w:rFonts w:ascii="Verdana" w:hAnsi="Verdana" w:cs="Arial"/>
                <w:b/>
                <w:sz w:val="24"/>
                <w:szCs w:val="24"/>
              </w:rPr>
              <w:t>Outside of Scope</w:t>
            </w:r>
          </w:p>
        </w:tc>
      </w:tr>
      <w:tr w:rsidR="00C90582" w:rsidRPr="000927C0" w14:paraId="6D521BC9" w14:textId="77777777" w:rsidTr="007A5CD2">
        <w:tc>
          <w:tcPr>
            <w:tcW w:w="4508" w:type="dxa"/>
          </w:tcPr>
          <w:p w14:paraId="4ABF86C9" w14:textId="17286285" w:rsidR="00C90582" w:rsidRPr="000927C0" w:rsidRDefault="00C90582" w:rsidP="007A5CD2">
            <w:pPr>
              <w:spacing w:before="100" w:beforeAutospacing="1" w:after="100" w:afterAutospacing="1"/>
              <w:rPr>
                <w:rFonts w:ascii="Verdana" w:hAnsi="Verdana" w:cs="Arial"/>
                <w:bCs/>
                <w:sz w:val="24"/>
                <w:szCs w:val="24"/>
              </w:rPr>
            </w:pPr>
            <w:r w:rsidRPr="000927C0">
              <w:rPr>
                <w:rFonts w:ascii="Verdana" w:hAnsi="Verdana" w:cs="Arial"/>
                <w:bCs/>
                <w:sz w:val="24"/>
                <w:szCs w:val="24"/>
              </w:rPr>
              <w:t>NHS Concerns managed under LTP</w:t>
            </w:r>
            <w:r w:rsidR="00D80AE1">
              <w:rPr>
                <w:rFonts w:ascii="Verdana" w:hAnsi="Verdana" w:cs="Arial"/>
                <w:bCs/>
                <w:sz w:val="24"/>
                <w:szCs w:val="24"/>
              </w:rPr>
              <w:t xml:space="preserve">, </w:t>
            </w:r>
            <w:r w:rsidRPr="000927C0">
              <w:rPr>
                <w:rFonts w:ascii="Verdana" w:hAnsi="Verdana" w:cs="Arial"/>
                <w:bCs/>
                <w:sz w:val="24"/>
                <w:szCs w:val="24"/>
              </w:rPr>
              <w:t>including early resolution</w:t>
            </w:r>
          </w:p>
        </w:tc>
        <w:tc>
          <w:tcPr>
            <w:tcW w:w="4508" w:type="dxa"/>
          </w:tcPr>
          <w:p w14:paraId="30A2B6F8" w14:textId="77777777" w:rsidR="00C90582" w:rsidRPr="000927C0" w:rsidRDefault="00C90582" w:rsidP="007A5CD2">
            <w:pPr>
              <w:rPr>
                <w:rFonts w:ascii="Verdana" w:hAnsi="Verdana" w:cs="Arial"/>
                <w:bCs/>
                <w:sz w:val="24"/>
                <w:szCs w:val="24"/>
              </w:rPr>
            </w:pPr>
            <w:r w:rsidRPr="000927C0">
              <w:rPr>
                <w:rFonts w:ascii="Verdana" w:hAnsi="Verdana" w:cs="Arial"/>
                <w:bCs/>
                <w:sz w:val="24"/>
                <w:szCs w:val="24"/>
              </w:rPr>
              <w:t>Primary care contractor concerns (unless escalated)</w:t>
            </w:r>
          </w:p>
        </w:tc>
      </w:tr>
      <w:tr w:rsidR="00C90582" w:rsidRPr="000927C0" w14:paraId="40D5ECA5" w14:textId="77777777" w:rsidTr="007A5CD2">
        <w:tc>
          <w:tcPr>
            <w:tcW w:w="4508" w:type="dxa"/>
          </w:tcPr>
          <w:p w14:paraId="0200EA1B" w14:textId="77777777" w:rsidR="00C90582" w:rsidRPr="000927C0" w:rsidRDefault="00C90582" w:rsidP="007A5CD2">
            <w:pPr>
              <w:rPr>
                <w:rFonts w:ascii="Verdana" w:hAnsi="Verdana" w:cs="Arial"/>
                <w:bCs/>
                <w:sz w:val="24"/>
                <w:szCs w:val="24"/>
              </w:rPr>
            </w:pPr>
            <w:r w:rsidRPr="000927C0">
              <w:rPr>
                <w:rFonts w:ascii="Verdana" w:hAnsi="Verdana" w:cs="Arial"/>
                <w:bCs/>
                <w:sz w:val="24"/>
                <w:szCs w:val="24"/>
              </w:rPr>
              <w:t>Listening discussions</w:t>
            </w:r>
          </w:p>
        </w:tc>
        <w:tc>
          <w:tcPr>
            <w:tcW w:w="4508" w:type="dxa"/>
          </w:tcPr>
          <w:p w14:paraId="7821B97D" w14:textId="77777777" w:rsidR="00C90582" w:rsidRPr="000927C0" w:rsidRDefault="00C90582" w:rsidP="007A5CD2">
            <w:pPr>
              <w:rPr>
                <w:rFonts w:ascii="Verdana" w:hAnsi="Verdana" w:cs="Arial"/>
                <w:bCs/>
                <w:sz w:val="24"/>
                <w:szCs w:val="24"/>
              </w:rPr>
            </w:pPr>
            <w:r w:rsidRPr="000927C0">
              <w:rPr>
                <w:rFonts w:ascii="Verdana" w:hAnsi="Verdana" w:cs="Arial"/>
                <w:bCs/>
                <w:sz w:val="24"/>
                <w:szCs w:val="24"/>
              </w:rPr>
              <w:t>Employment matters</w:t>
            </w:r>
          </w:p>
        </w:tc>
      </w:tr>
      <w:tr w:rsidR="00C90582" w:rsidRPr="000927C0" w14:paraId="69A7623E" w14:textId="77777777" w:rsidTr="007A5CD2">
        <w:tc>
          <w:tcPr>
            <w:tcW w:w="4508" w:type="dxa"/>
          </w:tcPr>
          <w:p w14:paraId="69E446A3" w14:textId="77777777" w:rsidR="00C90582" w:rsidRPr="000927C0" w:rsidRDefault="00C90582" w:rsidP="007A5CD2">
            <w:pPr>
              <w:rPr>
                <w:rFonts w:ascii="Verdana" w:hAnsi="Verdana" w:cs="Arial"/>
                <w:bCs/>
                <w:sz w:val="24"/>
                <w:szCs w:val="24"/>
              </w:rPr>
            </w:pPr>
            <w:r w:rsidRPr="000927C0">
              <w:rPr>
                <w:rFonts w:ascii="Verdana" w:hAnsi="Verdana" w:cs="Arial"/>
                <w:bCs/>
                <w:sz w:val="24"/>
                <w:szCs w:val="24"/>
              </w:rPr>
              <w:t>Patient safety incident interface</w:t>
            </w:r>
          </w:p>
        </w:tc>
        <w:tc>
          <w:tcPr>
            <w:tcW w:w="4508" w:type="dxa"/>
          </w:tcPr>
          <w:p w14:paraId="7576CD1A" w14:textId="6071BD45" w:rsidR="00C90582" w:rsidRPr="000927C0" w:rsidRDefault="00C90582" w:rsidP="007A5CD2">
            <w:pPr>
              <w:rPr>
                <w:rFonts w:ascii="Verdana" w:hAnsi="Verdana" w:cs="Arial"/>
                <w:bCs/>
                <w:sz w:val="24"/>
                <w:szCs w:val="24"/>
              </w:rPr>
            </w:pPr>
            <w:r w:rsidRPr="000927C0">
              <w:rPr>
                <w:rFonts w:ascii="Verdana" w:hAnsi="Verdana" w:cs="Arial"/>
                <w:bCs/>
                <w:sz w:val="24"/>
                <w:szCs w:val="24"/>
              </w:rPr>
              <w:t>Safeguarding (except interface)</w:t>
            </w:r>
          </w:p>
        </w:tc>
      </w:tr>
      <w:tr w:rsidR="00C90582" w:rsidRPr="000927C0" w14:paraId="7FCB3876" w14:textId="77777777" w:rsidTr="007A5CD2">
        <w:tc>
          <w:tcPr>
            <w:tcW w:w="4508" w:type="dxa"/>
          </w:tcPr>
          <w:p w14:paraId="5570D1D8" w14:textId="03584B3B" w:rsidR="00C90582" w:rsidRPr="000927C0" w:rsidRDefault="00C90582" w:rsidP="007A5CD2">
            <w:pPr>
              <w:rPr>
                <w:rFonts w:ascii="Verdana" w:hAnsi="Verdana" w:cs="Arial"/>
                <w:bCs/>
                <w:sz w:val="24"/>
                <w:szCs w:val="24"/>
              </w:rPr>
            </w:pPr>
            <w:r w:rsidRPr="000927C0">
              <w:rPr>
                <w:rFonts w:ascii="Verdana" w:hAnsi="Verdana" w:cs="Arial"/>
                <w:bCs/>
                <w:sz w:val="24"/>
                <w:szCs w:val="24"/>
              </w:rPr>
              <w:t xml:space="preserve">Redress </w:t>
            </w:r>
          </w:p>
        </w:tc>
        <w:tc>
          <w:tcPr>
            <w:tcW w:w="4508" w:type="dxa"/>
          </w:tcPr>
          <w:p w14:paraId="642F25D5" w14:textId="0676DC75" w:rsidR="00C90582" w:rsidRPr="000927C0" w:rsidRDefault="00C90582" w:rsidP="007A5CD2">
            <w:pPr>
              <w:rPr>
                <w:rFonts w:ascii="Verdana" w:hAnsi="Verdana" w:cs="Arial"/>
                <w:bCs/>
                <w:sz w:val="24"/>
                <w:szCs w:val="24"/>
              </w:rPr>
            </w:pPr>
            <w:r w:rsidRPr="000927C0">
              <w:rPr>
                <w:rFonts w:ascii="Verdana" w:hAnsi="Verdana" w:cs="Arial"/>
                <w:bCs/>
                <w:sz w:val="24"/>
                <w:szCs w:val="24"/>
              </w:rPr>
              <w:t>Legal claims (except Redress interface)</w:t>
            </w:r>
          </w:p>
        </w:tc>
      </w:tr>
      <w:tr w:rsidR="00C90582" w:rsidRPr="000927C0" w14:paraId="4A9A70C7" w14:textId="77777777" w:rsidTr="007A5CD2">
        <w:tc>
          <w:tcPr>
            <w:tcW w:w="4508" w:type="dxa"/>
          </w:tcPr>
          <w:p w14:paraId="32421023" w14:textId="6D4AD1C6" w:rsidR="00C90582" w:rsidRPr="000927C0" w:rsidRDefault="00C90582" w:rsidP="007A5CD2">
            <w:pPr>
              <w:rPr>
                <w:rFonts w:ascii="Verdana" w:hAnsi="Verdana" w:cs="Arial"/>
                <w:bCs/>
                <w:sz w:val="24"/>
                <w:szCs w:val="24"/>
              </w:rPr>
            </w:pPr>
            <w:r w:rsidRPr="000927C0">
              <w:rPr>
                <w:rFonts w:ascii="Verdana" w:hAnsi="Verdana" w:cs="Arial"/>
                <w:bCs/>
                <w:sz w:val="24"/>
                <w:szCs w:val="24"/>
              </w:rPr>
              <w:t xml:space="preserve">Duty of Candour </w:t>
            </w:r>
          </w:p>
        </w:tc>
        <w:tc>
          <w:tcPr>
            <w:tcW w:w="4508" w:type="dxa"/>
          </w:tcPr>
          <w:p w14:paraId="2B71DF90" w14:textId="18F4268F" w:rsidR="00C90582" w:rsidRPr="000927C0" w:rsidRDefault="00C90582" w:rsidP="007A5CD2">
            <w:pPr>
              <w:rPr>
                <w:rFonts w:ascii="Verdana" w:hAnsi="Verdana" w:cs="Arial"/>
                <w:bCs/>
                <w:sz w:val="24"/>
                <w:szCs w:val="24"/>
              </w:rPr>
            </w:pPr>
            <w:r w:rsidRPr="000927C0">
              <w:rPr>
                <w:rFonts w:ascii="Verdana" w:hAnsi="Verdana" w:cs="Arial"/>
                <w:bCs/>
                <w:sz w:val="24"/>
                <w:szCs w:val="24"/>
              </w:rPr>
              <w:t>General enquiries outside of the scope of LTP</w:t>
            </w:r>
          </w:p>
        </w:tc>
      </w:tr>
      <w:tr w:rsidR="00C90582" w:rsidRPr="000927C0" w14:paraId="7A3F5858" w14:textId="77777777" w:rsidTr="007A5CD2">
        <w:tc>
          <w:tcPr>
            <w:tcW w:w="4508" w:type="dxa"/>
          </w:tcPr>
          <w:p w14:paraId="21E5577D" w14:textId="6A5E93BC" w:rsidR="00C90582" w:rsidRPr="000927C0" w:rsidRDefault="00C90582" w:rsidP="007A5CD2">
            <w:pPr>
              <w:rPr>
                <w:rFonts w:ascii="Verdana" w:hAnsi="Verdana" w:cs="Arial"/>
                <w:bCs/>
                <w:sz w:val="24"/>
                <w:szCs w:val="24"/>
              </w:rPr>
            </w:pPr>
            <w:r w:rsidRPr="000927C0">
              <w:rPr>
                <w:rFonts w:ascii="Verdana" w:hAnsi="Verdana" w:cs="Arial"/>
                <w:bCs/>
                <w:sz w:val="24"/>
                <w:szCs w:val="24"/>
              </w:rPr>
              <w:t xml:space="preserve">Single point of access </w:t>
            </w:r>
          </w:p>
        </w:tc>
        <w:tc>
          <w:tcPr>
            <w:tcW w:w="4508" w:type="dxa"/>
            <w:vMerge w:val="restart"/>
            <w:shd w:val="clear" w:color="auto" w:fill="E7E6E6" w:themeFill="background2"/>
          </w:tcPr>
          <w:p w14:paraId="765A1E0A" w14:textId="77777777" w:rsidR="00C90582" w:rsidRPr="000927C0" w:rsidRDefault="00C90582" w:rsidP="007A5CD2">
            <w:pPr>
              <w:rPr>
                <w:rFonts w:ascii="Verdana" w:hAnsi="Verdana" w:cs="Arial"/>
                <w:bCs/>
                <w:sz w:val="24"/>
                <w:szCs w:val="24"/>
              </w:rPr>
            </w:pPr>
          </w:p>
        </w:tc>
      </w:tr>
      <w:tr w:rsidR="00C90582" w:rsidRPr="000927C0" w14:paraId="54FC4E1E" w14:textId="77777777" w:rsidTr="007A5CD2">
        <w:tc>
          <w:tcPr>
            <w:tcW w:w="4508" w:type="dxa"/>
          </w:tcPr>
          <w:p w14:paraId="6B2D2BC4" w14:textId="77777777" w:rsidR="00C90582" w:rsidRPr="000927C0" w:rsidRDefault="00C90582" w:rsidP="007A5CD2">
            <w:pPr>
              <w:rPr>
                <w:rFonts w:ascii="Verdana" w:hAnsi="Verdana" w:cs="Arial"/>
                <w:bCs/>
                <w:sz w:val="24"/>
                <w:szCs w:val="24"/>
              </w:rPr>
            </w:pPr>
            <w:r w:rsidRPr="000927C0">
              <w:rPr>
                <w:rFonts w:ascii="Verdana" w:hAnsi="Verdana" w:cs="Arial"/>
                <w:bCs/>
                <w:sz w:val="24"/>
                <w:szCs w:val="24"/>
              </w:rPr>
              <w:t>Advocacy and accessibility pathways</w:t>
            </w:r>
          </w:p>
        </w:tc>
        <w:tc>
          <w:tcPr>
            <w:tcW w:w="4508" w:type="dxa"/>
            <w:vMerge/>
            <w:shd w:val="clear" w:color="auto" w:fill="E7E6E6" w:themeFill="background2"/>
          </w:tcPr>
          <w:p w14:paraId="3EF4EB86" w14:textId="77777777" w:rsidR="00C90582" w:rsidRPr="000927C0" w:rsidRDefault="00C90582" w:rsidP="007A5CD2">
            <w:pPr>
              <w:rPr>
                <w:rFonts w:ascii="Verdana" w:hAnsi="Verdana" w:cs="Arial"/>
                <w:bCs/>
                <w:sz w:val="24"/>
                <w:szCs w:val="24"/>
              </w:rPr>
            </w:pPr>
          </w:p>
        </w:tc>
      </w:tr>
      <w:tr w:rsidR="00C90582" w:rsidRPr="000927C0" w14:paraId="56AC28E5" w14:textId="77777777" w:rsidTr="007A5CD2">
        <w:tc>
          <w:tcPr>
            <w:tcW w:w="4508" w:type="dxa"/>
          </w:tcPr>
          <w:p w14:paraId="6E4DB7F3" w14:textId="144554CC" w:rsidR="00C90582" w:rsidRPr="000927C0" w:rsidRDefault="00D80AE1" w:rsidP="007A5CD2">
            <w:pPr>
              <w:rPr>
                <w:rFonts w:ascii="Verdana" w:hAnsi="Verdana" w:cs="Arial"/>
                <w:bCs/>
                <w:sz w:val="24"/>
                <w:szCs w:val="24"/>
              </w:rPr>
            </w:pPr>
            <w:r>
              <w:rPr>
                <w:rFonts w:ascii="Verdana" w:hAnsi="Verdana" w:cs="Arial"/>
                <w:bCs/>
                <w:sz w:val="24"/>
                <w:szCs w:val="24"/>
              </w:rPr>
              <w:t>Organisational</w:t>
            </w:r>
            <w:r w:rsidR="00C90582" w:rsidRPr="000927C0">
              <w:rPr>
                <w:rFonts w:ascii="Verdana" w:hAnsi="Verdana" w:cs="Arial"/>
                <w:bCs/>
                <w:sz w:val="24"/>
                <w:szCs w:val="24"/>
              </w:rPr>
              <w:t xml:space="preserve"> implementatio</w:t>
            </w:r>
            <w:r>
              <w:rPr>
                <w:rFonts w:ascii="Verdana" w:hAnsi="Verdana" w:cs="Arial"/>
                <w:bCs/>
                <w:sz w:val="24"/>
                <w:szCs w:val="24"/>
              </w:rPr>
              <w:t>n</w:t>
            </w:r>
          </w:p>
        </w:tc>
        <w:tc>
          <w:tcPr>
            <w:tcW w:w="4508" w:type="dxa"/>
            <w:vMerge/>
            <w:shd w:val="clear" w:color="auto" w:fill="E7E6E6" w:themeFill="background2"/>
          </w:tcPr>
          <w:p w14:paraId="3696EA6D" w14:textId="77777777" w:rsidR="00C90582" w:rsidRPr="000927C0" w:rsidRDefault="00C90582" w:rsidP="007A5CD2">
            <w:pPr>
              <w:rPr>
                <w:rFonts w:ascii="Verdana" w:hAnsi="Verdana" w:cs="Arial"/>
                <w:bCs/>
                <w:sz w:val="24"/>
                <w:szCs w:val="24"/>
              </w:rPr>
            </w:pPr>
          </w:p>
        </w:tc>
      </w:tr>
      <w:tr w:rsidR="00C90582" w:rsidRPr="000927C0" w14:paraId="157DFBAD" w14:textId="77777777" w:rsidTr="007A5CD2">
        <w:tc>
          <w:tcPr>
            <w:tcW w:w="4508" w:type="dxa"/>
          </w:tcPr>
          <w:p w14:paraId="25A9B61B" w14:textId="77777777" w:rsidR="00C90582" w:rsidRPr="000927C0" w:rsidRDefault="00C90582" w:rsidP="007A5CD2">
            <w:pPr>
              <w:rPr>
                <w:rFonts w:ascii="Verdana" w:hAnsi="Verdana" w:cs="Arial"/>
                <w:bCs/>
                <w:sz w:val="24"/>
                <w:szCs w:val="24"/>
              </w:rPr>
            </w:pPr>
            <w:r w:rsidRPr="000927C0">
              <w:rPr>
                <w:rFonts w:ascii="Verdana" w:hAnsi="Verdana" w:cs="Arial"/>
                <w:bCs/>
                <w:sz w:val="24"/>
                <w:szCs w:val="24"/>
              </w:rPr>
              <w:t>Workforce skills and training</w:t>
            </w:r>
          </w:p>
        </w:tc>
        <w:tc>
          <w:tcPr>
            <w:tcW w:w="4508" w:type="dxa"/>
            <w:vMerge/>
            <w:shd w:val="clear" w:color="auto" w:fill="E7E6E6" w:themeFill="background2"/>
          </w:tcPr>
          <w:p w14:paraId="7ABBE646" w14:textId="77777777" w:rsidR="00C90582" w:rsidRPr="000927C0" w:rsidRDefault="00C90582" w:rsidP="007A5CD2">
            <w:pPr>
              <w:rPr>
                <w:rFonts w:ascii="Verdana" w:hAnsi="Verdana" w:cs="Arial"/>
                <w:bCs/>
                <w:sz w:val="24"/>
                <w:szCs w:val="24"/>
              </w:rPr>
            </w:pPr>
          </w:p>
        </w:tc>
      </w:tr>
      <w:tr w:rsidR="00C90582" w:rsidRPr="000927C0" w14:paraId="074E1E5C" w14:textId="77777777" w:rsidTr="007A5CD2">
        <w:tc>
          <w:tcPr>
            <w:tcW w:w="4508" w:type="dxa"/>
          </w:tcPr>
          <w:p w14:paraId="1D2CD339" w14:textId="42D2C8D6" w:rsidR="00C90582" w:rsidRPr="000927C0" w:rsidRDefault="00C90582" w:rsidP="007A5CD2">
            <w:pPr>
              <w:rPr>
                <w:rFonts w:ascii="Verdana" w:hAnsi="Verdana" w:cs="Arial"/>
                <w:bCs/>
                <w:sz w:val="24"/>
                <w:szCs w:val="24"/>
              </w:rPr>
            </w:pPr>
            <w:r w:rsidRPr="000927C0">
              <w:rPr>
                <w:rFonts w:ascii="Verdana" w:hAnsi="Verdana" w:cs="Arial"/>
                <w:bCs/>
                <w:sz w:val="24"/>
                <w:szCs w:val="24"/>
              </w:rPr>
              <w:t xml:space="preserve">Performance reporting </w:t>
            </w:r>
          </w:p>
        </w:tc>
        <w:tc>
          <w:tcPr>
            <w:tcW w:w="4508" w:type="dxa"/>
            <w:vMerge/>
            <w:shd w:val="clear" w:color="auto" w:fill="E7E6E6" w:themeFill="background2"/>
          </w:tcPr>
          <w:p w14:paraId="5BAFEE19" w14:textId="77777777" w:rsidR="00C90582" w:rsidRPr="000927C0" w:rsidRDefault="00C90582" w:rsidP="007A5CD2">
            <w:pPr>
              <w:rPr>
                <w:rFonts w:ascii="Verdana" w:hAnsi="Verdana" w:cs="Arial"/>
                <w:bCs/>
                <w:sz w:val="24"/>
                <w:szCs w:val="24"/>
              </w:rPr>
            </w:pPr>
          </w:p>
        </w:tc>
      </w:tr>
    </w:tbl>
    <w:p w14:paraId="5AEF6AC4" w14:textId="77777777" w:rsidR="00C90582" w:rsidRPr="000927C0" w:rsidRDefault="00C90582" w:rsidP="00C90582">
      <w:pPr>
        <w:spacing w:after="0" w:line="240" w:lineRule="auto"/>
        <w:rPr>
          <w:rFonts w:ascii="Verdana" w:hAnsi="Verdana" w:cs="Arial"/>
          <w:bCs/>
          <w:sz w:val="24"/>
          <w:szCs w:val="24"/>
        </w:rPr>
      </w:pPr>
    </w:p>
    <w:p w14:paraId="2DDFB5A6" w14:textId="77777777" w:rsidR="00C90582" w:rsidRPr="000927C0" w:rsidRDefault="00C90582" w:rsidP="00C90582">
      <w:pPr>
        <w:spacing w:after="0" w:line="240" w:lineRule="auto"/>
        <w:rPr>
          <w:rFonts w:ascii="Verdana" w:hAnsi="Verdana" w:cs="Arial"/>
          <w:b/>
          <w:sz w:val="24"/>
          <w:szCs w:val="24"/>
        </w:rPr>
      </w:pPr>
      <w:r w:rsidRPr="000927C0">
        <w:rPr>
          <w:rFonts w:ascii="Verdana" w:hAnsi="Verdana" w:cs="Arial"/>
          <w:b/>
          <w:sz w:val="24"/>
          <w:szCs w:val="24"/>
        </w:rPr>
        <w:t>3. Roles and Responsibilities</w:t>
      </w:r>
    </w:p>
    <w:p w14:paraId="47FCBF62" w14:textId="77777777" w:rsidR="00C90582" w:rsidRDefault="00C90582" w:rsidP="00C90582">
      <w:pPr>
        <w:spacing w:after="0" w:line="240" w:lineRule="auto"/>
        <w:rPr>
          <w:rFonts w:ascii="Verdana" w:hAnsi="Verdana" w:cs="Arial"/>
          <w:bCs/>
          <w:sz w:val="24"/>
          <w:szCs w:val="24"/>
        </w:rPr>
      </w:pPr>
    </w:p>
    <w:p w14:paraId="756624A3" w14:textId="10A81DFD" w:rsidR="00857DEC" w:rsidRPr="00857DEC" w:rsidRDefault="00857DEC" w:rsidP="00857DEC">
      <w:pPr>
        <w:pStyle w:val="ListParagraph"/>
        <w:numPr>
          <w:ilvl w:val="0"/>
          <w:numId w:val="9"/>
        </w:numPr>
        <w:spacing w:after="0" w:line="240" w:lineRule="auto"/>
        <w:rPr>
          <w:rFonts w:ascii="Verdana" w:hAnsi="Verdana" w:cs="Arial"/>
          <w:bCs/>
          <w:sz w:val="24"/>
          <w:szCs w:val="24"/>
        </w:rPr>
      </w:pPr>
      <w:r w:rsidRPr="00857DEC">
        <w:rPr>
          <w:rFonts w:ascii="Verdana" w:hAnsi="Verdana" w:cs="Arial"/>
          <w:bCs/>
          <w:sz w:val="24"/>
          <w:szCs w:val="24"/>
        </w:rPr>
        <w:t>Executive sponsor- Executive Director of Nursing and Patient Experience</w:t>
      </w:r>
    </w:p>
    <w:p w14:paraId="7681A4DC" w14:textId="510E0C48" w:rsidR="00857DEC" w:rsidRPr="00857DEC" w:rsidRDefault="00857DEC" w:rsidP="00857DEC">
      <w:pPr>
        <w:pStyle w:val="ListParagraph"/>
        <w:numPr>
          <w:ilvl w:val="0"/>
          <w:numId w:val="9"/>
        </w:numPr>
        <w:spacing w:after="0" w:line="240" w:lineRule="auto"/>
        <w:rPr>
          <w:rFonts w:ascii="Verdana" w:hAnsi="Verdana" w:cs="Arial"/>
          <w:bCs/>
          <w:sz w:val="24"/>
          <w:szCs w:val="24"/>
        </w:rPr>
      </w:pPr>
      <w:r w:rsidRPr="00857DEC">
        <w:rPr>
          <w:rFonts w:ascii="Verdana" w:hAnsi="Verdana" w:cs="Arial"/>
          <w:bCs/>
          <w:sz w:val="24"/>
          <w:szCs w:val="24"/>
        </w:rPr>
        <w:t xml:space="preserve">Senior Responsible Officer- Deputy Director of </w:t>
      </w:r>
      <w:r w:rsidR="00BF3D93">
        <w:rPr>
          <w:rFonts w:ascii="Verdana" w:hAnsi="Verdana" w:cs="Arial"/>
          <w:bCs/>
          <w:sz w:val="24"/>
          <w:szCs w:val="24"/>
        </w:rPr>
        <w:t>N</w:t>
      </w:r>
      <w:r w:rsidRPr="00857DEC">
        <w:rPr>
          <w:rFonts w:ascii="Verdana" w:hAnsi="Verdana" w:cs="Arial"/>
          <w:bCs/>
          <w:sz w:val="24"/>
          <w:szCs w:val="24"/>
        </w:rPr>
        <w:t>ursing and Patien</w:t>
      </w:r>
      <w:r w:rsidR="00BF3D93">
        <w:rPr>
          <w:rFonts w:ascii="Verdana" w:hAnsi="Verdana" w:cs="Arial"/>
          <w:bCs/>
          <w:sz w:val="24"/>
          <w:szCs w:val="24"/>
        </w:rPr>
        <w:t>t</w:t>
      </w:r>
      <w:r w:rsidRPr="00857DEC">
        <w:rPr>
          <w:rFonts w:ascii="Verdana" w:hAnsi="Verdana" w:cs="Arial"/>
          <w:bCs/>
          <w:sz w:val="24"/>
          <w:szCs w:val="24"/>
        </w:rPr>
        <w:t xml:space="preserve"> Experience</w:t>
      </w:r>
    </w:p>
    <w:p w14:paraId="5FEBCFB6" w14:textId="75FF08D1" w:rsidR="00857DEC" w:rsidRDefault="00857DEC" w:rsidP="00857DEC">
      <w:pPr>
        <w:pStyle w:val="ListParagraph"/>
        <w:numPr>
          <w:ilvl w:val="0"/>
          <w:numId w:val="9"/>
        </w:numPr>
        <w:spacing w:after="0" w:line="240" w:lineRule="auto"/>
        <w:rPr>
          <w:rFonts w:ascii="Verdana" w:hAnsi="Verdana" w:cs="Arial"/>
          <w:bCs/>
          <w:sz w:val="24"/>
          <w:szCs w:val="24"/>
        </w:rPr>
      </w:pPr>
      <w:r w:rsidRPr="00857DEC">
        <w:rPr>
          <w:rFonts w:ascii="Verdana" w:hAnsi="Verdana" w:cs="Arial"/>
          <w:bCs/>
          <w:sz w:val="24"/>
          <w:szCs w:val="24"/>
        </w:rPr>
        <w:t>Programme Leads- Associate Director of Nursing and Patient Experience, Corporate Head of Quality and Safety</w:t>
      </w:r>
    </w:p>
    <w:p w14:paraId="6E828C1B" w14:textId="3781160A" w:rsidR="006E4B2F" w:rsidRDefault="006E4B2F" w:rsidP="00857DEC">
      <w:pPr>
        <w:pStyle w:val="ListParagraph"/>
        <w:numPr>
          <w:ilvl w:val="0"/>
          <w:numId w:val="9"/>
        </w:numPr>
        <w:spacing w:after="0" w:line="240" w:lineRule="auto"/>
        <w:rPr>
          <w:rFonts w:ascii="Verdana" w:hAnsi="Verdana" w:cs="Arial"/>
          <w:bCs/>
          <w:sz w:val="24"/>
          <w:szCs w:val="24"/>
        </w:rPr>
      </w:pPr>
      <w:r>
        <w:rPr>
          <w:rFonts w:ascii="Verdana" w:hAnsi="Verdana" w:cs="Arial"/>
          <w:bCs/>
          <w:sz w:val="24"/>
          <w:szCs w:val="24"/>
        </w:rPr>
        <w:t>Service Group Delivery Leads- Service Group Directors</w:t>
      </w:r>
    </w:p>
    <w:p w14:paraId="5B68B709" w14:textId="080A4341" w:rsidR="006E4B2F" w:rsidRPr="00857DEC" w:rsidRDefault="006E4B2F" w:rsidP="00857DEC">
      <w:pPr>
        <w:pStyle w:val="ListParagraph"/>
        <w:numPr>
          <w:ilvl w:val="0"/>
          <w:numId w:val="9"/>
        </w:numPr>
        <w:spacing w:after="0" w:line="240" w:lineRule="auto"/>
        <w:rPr>
          <w:rFonts w:ascii="Verdana" w:hAnsi="Verdana" w:cs="Arial"/>
          <w:bCs/>
          <w:sz w:val="24"/>
          <w:szCs w:val="24"/>
        </w:rPr>
      </w:pPr>
      <w:r>
        <w:rPr>
          <w:rFonts w:ascii="Verdana" w:hAnsi="Verdana" w:cs="Arial"/>
          <w:bCs/>
          <w:sz w:val="24"/>
          <w:szCs w:val="24"/>
        </w:rPr>
        <w:t xml:space="preserve">Operational Delivery Leads- </w:t>
      </w:r>
      <w:r w:rsidR="00C10833">
        <w:rPr>
          <w:rFonts w:ascii="Verdana" w:hAnsi="Verdana" w:cs="Arial"/>
          <w:bCs/>
          <w:sz w:val="24"/>
          <w:szCs w:val="24"/>
        </w:rPr>
        <w:t xml:space="preserve">Corporate Head of </w:t>
      </w:r>
      <w:r w:rsidR="00296518">
        <w:rPr>
          <w:rFonts w:ascii="Verdana" w:hAnsi="Verdana" w:cs="Arial"/>
          <w:bCs/>
          <w:sz w:val="24"/>
          <w:szCs w:val="24"/>
        </w:rPr>
        <w:t>C</w:t>
      </w:r>
      <w:r w:rsidR="00C10833">
        <w:rPr>
          <w:rFonts w:ascii="Verdana" w:hAnsi="Verdana" w:cs="Arial"/>
          <w:bCs/>
          <w:sz w:val="24"/>
          <w:szCs w:val="24"/>
        </w:rPr>
        <w:t>oncerns Assurance, Corporate Head of Quality and Safety, Service Group Quality and Safety Leads.</w:t>
      </w:r>
    </w:p>
    <w:p w14:paraId="6602563B" w14:textId="77777777" w:rsidR="00C90582" w:rsidRPr="000927C0" w:rsidRDefault="00C90582" w:rsidP="00C90582">
      <w:pPr>
        <w:spacing w:after="0" w:line="240" w:lineRule="auto"/>
        <w:rPr>
          <w:rFonts w:ascii="Verdana" w:hAnsi="Verdana" w:cs="Arial"/>
          <w:b/>
          <w:bCs/>
          <w:sz w:val="24"/>
          <w:szCs w:val="24"/>
        </w:rPr>
      </w:pPr>
    </w:p>
    <w:p w14:paraId="02B3150A" w14:textId="70C4A71C" w:rsidR="00C90582" w:rsidRPr="00B2595E" w:rsidRDefault="00C90582" w:rsidP="00C90582">
      <w:pPr>
        <w:spacing w:after="0" w:line="240" w:lineRule="auto"/>
        <w:rPr>
          <w:rFonts w:ascii="Verdana" w:hAnsi="Verdana" w:cs="Arial"/>
          <w:b/>
          <w:bCs/>
          <w:sz w:val="24"/>
          <w:szCs w:val="24"/>
        </w:rPr>
      </w:pPr>
      <w:r w:rsidRPr="00B2595E">
        <w:rPr>
          <w:rFonts w:ascii="Verdana" w:hAnsi="Verdana"/>
          <w:b/>
          <w:bCs/>
          <w:sz w:val="24"/>
          <w:szCs w:val="24"/>
        </w:rPr>
        <w:t xml:space="preserve">4. </w:t>
      </w:r>
      <w:r w:rsidR="002C3D24" w:rsidRPr="00B2595E">
        <w:rPr>
          <w:rFonts w:ascii="Verdana" w:hAnsi="Verdana" w:cs="Arial"/>
          <w:b/>
          <w:bCs/>
          <w:sz w:val="24"/>
          <w:szCs w:val="24"/>
        </w:rPr>
        <w:t>Implementation Approach</w:t>
      </w:r>
    </w:p>
    <w:p w14:paraId="501C81C2" w14:textId="77777777" w:rsidR="002C3D24" w:rsidRDefault="002C3D24" w:rsidP="00C90582">
      <w:pPr>
        <w:spacing w:after="0" w:line="240" w:lineRule="auto"/>
        <w:rPr>
          <w:rFonts w:ascii="Verdana" w:hAnsi="Verdana" w:cs="Arial"/>
          <w:b/>
          <w:bCs/>
          <w:sz w:val="24"/>
          <w:szCs w:val="24"/>
        </w:rPr>
      </w:pPr>
    </w:p>
    <w:p w14:paraId="4F534742" w14:textId="60C690BA" w:rsidR="00DF0F31" w:rsidRPr="00DF0F31" w:rsidRDefault="00DF0F31" w:rsidP="00DF0F31">
      <w:pPr>
        <w:spacing w:after="0" w:line="300" w:lineRule="atLeast"/>
        <w:rPr>
          <w:rFonts w:ascii="Verdana" w:eastAsia="Times New Roman" w:hAnsi="Verdana" w:cs="Segoe UI"/>
          <w:sz w:val="24"/>
          <w:szCs w:val="24"/>
          <w:lang w:eastAsia="en-GB"/>
        </w:rPr>
      </w:pPr>
      <w:r>
        <w:rPr>
          <w:rFonts w:ascii="Verdana" w:eastAsia="Times New Roman" w:hAnsi="Verdana" w:cs="Segoe UI"/>
          <w:sz w:val="24"/>
          <w:szCs w:val="24"/>
          <w:lang w:eastAsia="en-GB"/>
        </w:rPr>
        <w:t>S</w:t>
      </w:r>
      <w:r w:rsidRPr="00DF0F31">
        <w:rPr>
          <w:rFonts w:ascii="Verdana" w:eastAsia="Times New Roman" w:hAnsi="Verdana" w:cs="Segoe UI"/>
          <w:sz w:val="24"/>
          <w:szCs w:val="24"/>
          <w:lang w:eastAsia="en-GB"/>
        </w:rPr>
        <w:t xml:space="preserve">BUHB will implement </w:t>
      </w:r>
      <w:r w:rsidRPr="00DF0F31">
        <w:rPr>
          <w:rFonts w:ascii="Verdana" w:eastAsia="Times New Roman" w:hAnsi="Verdana" w:cs="Segoe UI"/>
          <w:i/>
          <w:iCs/>
          <w:sz w:val="24"/>
          <w:szCs w:val="24"/>
          <w:lang w:eastAsia="en-GB"/>
        </w:rPr>
        <w:t>Listening to People</w:t>
      </w:r>
      <w:r w:rsidRPr="00DF0F31">
        <w:rPr>
          <w:rFonts w:ascii="Verdana" w:eastAsia="Times New Roman" w:hAnsi="Verdana" w:cs="Segoe UI"/>
          <w:sz w:val="24"/>
          <w:szCs w:val="24"/>
          <w:lang w:eastAsia="en-GB"/>
        </w:rPr>
        <w:t xml:space="preserve"> through a five</w:t>
      </w:r>
      <w:r w:rsidRPr="00DF0F31">
        <w:rPr>
          <w:rFonts w:ascii="Verdana" w:eastAsia="Times New Roman" w:hAnsi="Verdana" w:cs="Segoe UI"/>
          <w:sz w:val="24"/>
          <w:szCs w:val="24"/>
          <w:lang w:eastAsia="en-GB"/>
        </w:rPr>
        <w:noBreakHyphen/>
        <w:t>phase programme aligned to the national roadmap</w:t>
      </w:r>
    </w:p>
    <w:p w14:paraId="42531884" w14:textId="77777777" w:rsidR="00B2595E" w:rsidRPr="00B2595E" w:rsidRDefault="00B2595E" w:rsidP="00B2595E">
      <w:pPr>
        <w:spacing w:before="100" w:beforeAutospacing="1" w:after="100" w:afterAutospacing="1" w:line="300" w:lineRule="atLeast"/>
        <w:outlineLvl w:val="2"/>
        <w:rPr>
          <w:rFonts w:ascii="Verdana" w:eastAsia="Times New Roman" w:hAnsi="Verdana" w:cs="Segoe UI"/>
          <w:b/>
          <w:bCs/>
          <w:sz w:val="24"/>
          <w:szCs w:val="24"/>
          <w:lang w:eastAsia="en-GB"/>
        </w:rPr>
      </w:pPr>
      <w:r w:rsidRPr="00B2595E">
        <w:rPr>
          <w:rFonts w:ascii="Verdana" w:eastAsia="Times New Roman" w:hAnsi="Verdana" w:cs="Segoe UI"/>
          <w:b/>
          <w:bCs/>
          <w:sz w:val="24"/>
          <w:szCs w:val="24"/>
          <w:lang w:eastAsia="en-GB"/>
        </w:rPr>
        <w:t xml:space="preserve">Phase 1 — Initiate &amp; Assess </w:t>
      </w:r>
      <w:r w:rsidRPr="00B2595E">
        <w:rPr>
          <w:rFonts w:ascii="Verdana" w:eastAsia="Times New Roman" w:hAnsi="Verdana" w:cs="Segoe UI"/>
          <w:b/>
          <w:bCs/>
          <w:i/>
          <w:iCs/>
          <w:sz w:val="24"/>
          <w:szCs w:val="24"/>
          <w:lang w:eastAsia="en-GB"/>
        </w:rPr>
        <w:t>(Q4 2025/26)</w:t>
      </w:r>
    </w:p>
    <w:p w14:paraId="08E04D82" w14:textId="77777777" w:rsidR="00B2595E" w:rsidRPr="00B2595E" w:rsidRDefault="00B2595E" w:rsidP="00B2595E">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Board approval and executive leadership confirmed</w:t>
      </w:r>
    </w:p>
    <w:p w14:paraId="200A27A1" w14:textId="77777777" w:rsidR="00B2595E" w:rsidRPr="00B2595E" w:rsidRDefault="00B2595E" w:rsidP="00B2595E">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Corporate, Service Group and stakeholder engagement</w:t>
      </w:r>
    </w:p>
    <w:p w14:paraId="409F1631" w14:textId="77777777" w:rsidR="00B2595E" w:rsidRPr="00B2595E" w:rsidRDefault="00B2595E" w:rsidP="00B2595E">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Accessibility, advocacy and early resolution review</w:t>
      </w:r>
    </w:p>
    <w:p w14:paraId="32233350" w14:textId="77777777" w:rsidR="00B2595E" w:rsidRPr="00B2595E" w:rsidRDefault="00B2595E" w:rsidP="00B2595E">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Gap analysis against the seven LTP standards</w:t>
      </w:r>
    </w:p>
    <w:p w14:paraId="0B7451EB" w14:textId="77777777" w:rsidR="00B2595E" w:rsidRPr="00B2595E" w:rsidRDefault="00B2595E" w:rsidP="00B2595E">
      <w:pPr>
        <w:numPr>
          <w:ilvl w:val="0"/>
          <w:numId w:val="13"/>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Baseline data and reporting established</w:t>
      </w:r>
    </w:p>
    <w:p w14:paraId="08774D49" w14:textId="77777777" w:rsidR="00B2595E" w:rsidRPr="00B2595E" w:rsidRDefault="00B2595E" w:rsidP="00B2595E">
      <w:pPr>
        <w:spacing w:before="100" w:beforeAutospacing="1" w:after="100" w:afterAutospacing="1" w:line="300" w:lineRule="atLeast"/>
        <w:outlineLvl w:val="2"/>
        <w:rPr>
          <w:rFonts w:ascii="Verdana" w:eastAsia="Times New Roman" w:hAnsi="Verdana" w:cs="Segoe UI"/>
          <w:b/>
          <w:bCs/>
          <w:sz w:val="24"/>
          <w:szCs w:val="24"/>
          <w:lang w:eastAsia="en-GB"/>
        </w:rPr>
      </w:pPr>
      <w:r w:rsidRPr="00B2595E">
        <w:rPr>
          <w:rFonts w:ascii="Verdana" w:eastAsia="Times New Roman" w:hAnsi="Verdana" w:cs="Segoe UI"/>
          <w:b/>
          <w:bCs/>
          <w:sz w:val="24"/>
          <w:szCs w:val="24"/>
          <w:lang w:eastAsia="en-GB"/>
        </w:rPr>
        <w:t xml:space="preserve">Phase 2 — Design &amp; Plan </w:t>
      </w:r>
      <w:r w:rsidRPr="00B2595E">
        <w:rPr>
          <w:rFonts w:ascii="Verdana" w:eastAsia="Times New Roman" w:hAnsi="Verdana" w:cs="Segoe UI"/>
          <w:b/>
          <w:bCs/>
          <w:i/>
          <w:iCs/>
          <w:sz w:val="24"/>
          <w:szCs w:val="24"/>
          <w:lang w:eastAsia="en-GB"/>
        </w:rPr>
        <w:t>(Q4 2025/26)</w:t>
      </w:r>
    </w:p>
    <w:p w14:paraId="63DCA3BD" w14:textId="77777777" w:rsidR="00B2595E" w:rsidRPr="00B2595E" w:rsidRDefault="00B2595E" w:rsidP="00B2595E">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Co</w:t>
      </w:r>
      <w:r w:rsidRPr="00B2595E">
        <w:rPr>
          <w:rFonts w:ascii="Verdana" w:eastAsia="Times New Roman" w:hAnsi="Verdana" w:cs="Segoe UI"/>
          <w:sz w:val="24"/>
          <w:szCs w:val="24"/>
          <w:lang w:eastAsia="en-GB"/>
        </w:rPr>
        <w:noBreakHyphen/>
        <w:t>design operating model with Service Groups</w:t>
      </w:r>
    </w:p>
    <w:p w14:paraId="7FF64E3F" w14:textId="77777777" w:rsidR="00B2595E" w:rsidRPr="00B2595E" w:rsidRDefault="00B2595E" w:rsidP="00B2595E">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Develop implementation, change and communications plans</w:t>
      </w:r>
    </w:p>
    <w:p w14:paraId="2724B6D5" w14:textId="5A68613F" w:rsidR="00B2595E" w:rsidRPr="00B2595E" w:rsidRDefault="00B2595E" w:rsidP="00B2595E">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Finalise policy, S</w:t>
      </w:r>
      <w:r w:rsidR="00340D0B">
        <w:rPr>
          <w:rFonts w:ascii="Verdana" w:eastAsia="Times New Roman" w:hAnsi="Verdana" w:cs="Segoe UI"/>
          <w:sz w:val="24"/>
          <w:szCs w:val="24"/>
          <w:lang w:eastAsia="en-GB"/>
        </w:rPr>
        <w:t xml:space="preserve">tandard </w:t>
      </w:r>
      <w:r w:rsidRPr="00B2595E">
        <w:rPr>
          <w:rFonts w:ascii="Verdana" w:eastAsia="Times New Roman" w:hAnsi="Verdana" w:cs="Segoe UI"/>
          <w:sz w:val="24"/>
          <w:szCs w:val="24"/>
          <w:lang w:eastAsia="en-GB"/>
        </w:rPr>
        <w:t>O</w:t>
      </w:r>
      <w:r w:rsidR="00340D0B">
        <w:rPr>
          <w:rFonts w:ascii="Verdana" w:eastAsia="Times New Roman" w:hAnsi="Verdana" w:cs="Segoe UI"/>
          <w:sz w:val="24"/>
          <w:szCs w:val="24"/>
          <w:lang w:eastAsia="en-GB"/>
        </w:rPr>
        <w:t xml:space="preserve">perating </w:t>
      </w:r>
      <w:r w:rsidRPr="00B2595E">
        <w:rPr>
          <w:rFonts w:ascii="Verdana" w:eastAsia="Times New Roman" w:hAnsi="Verdana" w:cs="Segoe UI"/>
          <w:sz w:val="24"/>
          <w:szCs w:val="24"/>
          <w:lang w:eastAsia="en-GB"/>
        </w:rPr>
        <w:t>P</w:t>
      </w:r>
      <w:r w:rsidR="00340D0B">
        <w:rPr>
          <w:rFonts w:ascii="Verdana" w:eastAsia="Times New Roman" w:hAnsi="Verdana" w:cs="Segoe UI"/>
          <w:sz w:val="24"/>
          <w:szCs w:val="24"/>
          <w:lang w:eastAsia="en-GB"/>
        </w:rPr>
        <w:t>rocedure</w:t>
      </w:r>
      <w:r w:rsidRPr="00B2595E">
        <w:rPr>
          <w:rFonts w:ascii="Verdana" w:eastAsia="Times New Roman" w:hAnsi="Verdana" w:cs="Segoe UI"/>
          <w:sz w:val="24"/>
          <w:szCs w:val="24"/>
          <w:lang w:eastAsia="en-GB"/>
        </w:rPr>
        <w:t>s, templates and advocacy pathways</w:t>
      </w:r>
    </w:p>
    <w:p w14:paraId="4686CB3E" w14:textId="1BCB84F9" w:rsidR="00B2595E" w:rsidRPr="00B2595E" w:rsidRDefault="00B2595E" w:rsidP="00B2595E">
      <w:pPr>
        <w:numPr>
          <w:ilvl w:val="0"/>
          <w:numId w:val="14"/>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 xml:space="preserve">Design central </w:t>
      </w:r>
      <w:r w:rsidR="00340D0B">
        <w:rPr>
          <w:rFonts w:ascii="Verdana" w:eastAsia="Times New Roman" w:hAnsi="Verdana" w:cs="Segoe UI"/>
          <w:sz w:val="24"/>
          <w:szCs w:val="24"/>
          <w:lang w:eastAsia="en-GB"/>
        </w:rPr>
        <w:t>First Contact</w:t>
      </w:r>
      <w:r w:rsidRPr="00B2595E">
        <w:rPr>
          <w:rFonts w:ascii="Verdana" w:eastAsia="Times New Roman" w:hAnsi="Verdana" w:cs="Segoe UI"/>
          <w:sz w:val="24"/>
          <w:szCs w:val="24"/>
          <w:lang w:eastAsia="en-GB"/>
        </w:rPr>
        <w:t xml:space="preserve"> triage hub</w:t>
      </w:r>
    </w:p>
    <w:p w14:paraId="3C2FD667" w14:textId="77777777" w:rsidR="00B2595E" w:rsidRPr="00B2595E" w:rsidRDefault="00B2595E" w:rsidP="00B2595E">
      <w:pPr>
        <w:spacing w:before="100" w:beforeAutospacing="1" w:after="100" w:afterAutospacing="1" w:line="300" w:lineRule="atLeast"/>
        <w:outlineLvl w:val="2"/>
        <w:rPr>
          <w:rFonts w:ascii="Verdana" w:eastAsia="Times New Roman" w:hAnsi="Verdana" w:cs="Segoe UI"/>
          <w:b/>
          <w:bCs/>
          <w:sz w:val="24"/>
          <w:szCs w:val="24"/>
          <w:lang w:eastAsia="en-GB"/>
        </w:rPr>
      </w:pPr>
      <w:r w:rsidRPr="00B2595E">
        <w:rPr>
          <w:rFonts w:ascii="Verdana" w:eastAsia="Times New Roman" w:hAnsi="Verdana" w:cs="Segoe UI"/>
          <w:b/>
          <w:bCs/>
          <w:sz w:val="24"/>
          <w:szCs w:val="24"/>
          <w:lang w:eastAsia="en-GB"/>
        </w:rPr>
        <w:t xml:space="preserve">Phase 3 — Embed </w:t>
      </w:r>
      <w:r w:rsidRPr="00B2595E">
        <w:rPr>
          <w:rFonts w:ascii="Verdana" w:eastAsia="Times New Roman" w:hAnsi="Verdana" w:cs="Segoe UI"/>
          <w:b/>
          <w:bCs/>
          <w:i/>
          <w:iCs/>
          <w:sz w:val="24"/>
          <w:szCs w:val="24"/>
          <w:lang w:eastAsia="en-GB"/>
        </w:rPr>
        <w:t>(Late Q4 2025/26)</w:t>
      </w:r>
    </w:p>
    <w:p w14:paraId="1240EED5" w14:textId="77777777" w:rsidR="00B2595E" w:rsidRPr="00B2595E" w:rsidRDefault="00B2595E" w:rsidP="00B2595E">
      <w:pPr>
        <w:numPr>
          <w:ilvl w:val="0"/>
          <w:numId w:val="15"/>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Workforce training and communications rollout</w:t>
      </w:r>
    </w:p>
    <w:p w14:paraId="60172ACF" w14:textId="77777777" w:rsidR="00B2595E" w:rsidRPr="00B2595E" w:rsidRDefault="00B2595E" w:rsidP="00B2595E">
      <w:pPr>
        <w:numPr>
          <w:ilvl w:val="0"/>
          <w:numId w:val="15"/>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Pilot operating model and central hub</w:t>
      </w:r>
    </w:p>
    <w:p w14:paraId="73D22156" w14:textId="77777777" w:rsidR="00B2595E" w:rsidRPr="00B2595E" w:rsidRDefault="00B2595E" w:rsidP="00B2595E">
      <w:pPr>
        <w:numPr>
          <w:ilvl w:val="0"/>
          <w:numId w:val="15"/>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Embed early resolution and listening discussions</w:t>
      </w:r>
    </w:p>
    <w:p w14:paraId="5F55CDC9" w14:textId="77777777" w:rsidR="00B2595E" w:rsidRPr="00B2595E" w:rsidRDefault="00B2595E" w:rsidP="00B2595E">
      <w:pPr>
        <w:numPr>
          <w:ilvl w:val="0"/>
          <w:numId w:val="15"/>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Establish communities of practice and refine processes</w:t>
      </w:r>
    </w:p>
    <w:p w14:paraId="79C4876F" w14:textId="5D40BA2A" w:rsidR="00B2595E" w:rsidRPr="00B2595E" w:rsidRDefault="00B2595E" w:rsidP="00B2595E">
      <w:pPr>
        <w:spacing w:before="100" w:beforeAutospacing="1" w:after="100" w:afterAutospacing="1" w:line="300" w:lineRule="atLeast"/>
        <w:outlineLvl w:val="2"/>
        <w:rPr>
          <w:rFonts w:ascii="Verdana" w:eastAsia="Times New Roman" w:hAnsi="Verdana" w:cs="Segoe UI"/>
          <w:b/>
          <w:bCs/>
          <w:sz w:val="24"/>
          <w:szCs w:val="24"/>
          <w:lang w:eastAsia="en-GB"/>
        </w:rPr>
      </w:pPr>
      <w:r w:rsidRPr="00B2595E">
        <w:rPr>
          <w:rFonts w:ascii="Verdana" w:eastAsia="Times New Roman" w:hAnsi="Verdana" w:cs="Segoe UI"/>
          <w:b/>
          <w:bCs/>
          <w:sz w:val="24"/>
          <w:szCs w:val="24"/>
          <w:lang w:eastAsia="en-GB"/>
        </w:rPr>
        <w:t xml:space="preserve">Phase 4 — Operate &amp; Assure </w:t>
      </w:r>
      <w:r w:rsidRPr="00B2595E">
        <w:rPr>
          <w:rFonts w:ascii="Verdana" w:eastAsia="Times New Roman" w:hAnsi="Verdana" w:cs="Segoe UI"/>
          <w:b/>
          <w:bCs/>
          <w:i/>
          <w:iCs/>
          <w:sz w:val="24"/>
          <w:szCs w:val="24"/>
          <w:lang w:eastAsia="en-GB"/>
        </w:rPr>
        <w:t>(Q1–Q2 2026</w:t>
      </w:r>
      <w:r w:rsidR="001F38A1">
        <w:rPr>
          <w:rFonts w:ascii="Verdana" w:eastAsia="Times New Roman" w:hAnsi="Verdana" w:cs="Segoe UI"/>
          <w:b/>
          <w:bCs/>
          <w:i/>
          <w:iCs/>
          <w:sz w:val="24"/>
          <w:szCs w:val="24"/>
          <w:lang w:eastAsia="en-GB"/>
        </w:rPr>
        <w:t>/27</w:t>
      </w:r>
      <w:r w:rsidRPr="00B2595E">
        <w:rPr>
          <w:rFonts w:ascii="Verdana" w:eastAsia="Times New Roman" w:hAnsi="Verdana" w:cs="Segoe UI"/>
          <w:b/>
          <w:bCs/>
          <w:i/>
          <w:iCs/>
          <w:sz w:val="24"/>
          <w:szCs w:val="24"/>
          <w:lang w:eastAsia="en-GB"/>
        </w:rPr>
        <w:t>)</w:t>
      </w:r>
    </w:p>
    <w:p w14:paraId="038CB15A" w14:textId="77777777" w:rsidR="00B2595E" w:rsidRPr="00B2595E" w:rsidRDefault="00B2595E" w:rsidP="00B2595E">
      <w:pPr>
        <w:numPr>
          <w:ilvl w:val="0"/>
          <w:numId w:val="16"/>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Single point of access fully live</w:t>
      </w:r>
    </w:p>
    <w:p w14:paraId="477C7F45" w14:textId="77777777" w:rsidR="00B2595E" w:rsidRPr="00B2595E" w:rsidRDefault="00B2595E" w:rsidP="00B2595E">
      <w:pPr>
        <w:numPr>
          <w:ilvl w:val="0"/>
          <w:numId w:val="16"/>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Performance dashboard operational</w:t>
      </w:r>
    </w:p>
    <w:p w14:paraId="0E2B4F0A" w14:textId="77777777" w:rsidR="00B2595E" w:rsidRPr="00B2595E" w:rsidRDefault="00B2595E" w:rsidP="00B2595E">
      <w:pPr>
        <w:numPr>
          <w:ilvl w:val="0"/>
          <w:numId w:val="16"/>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Independent advice pathways in place</w:t>
      </w:r>
    </w:p>
    <w:p w14:paraId="2E83E55C" w14:textId="39568F6B" w:rsidR="00B2595E" w:rsidRPr="00B2595E" w:rsidRDefault="00B2595E" w:rsidP="00B2595E">
      <w:pPr>
        <w:numPr>
          <w:ilvl w:val="0"/>
          <w:numId w:val="16"/>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 xml:space="preserve">Quarterly </w:t>
      </w:r>
      <w:r w:rsidR="007F6793">
        <w:rPr>
          <w:rFonts w:ascii="Verdana" w:eastAsia="Times New Roman" w:hAnsi="Verdana" w:cs="Segoe UI"/>
          <w:sz w:val="24"/>
          <w:szCs w:val="24"/>
          <w:lang w:eastAsia="en-GB"/>
        </w:rPr>
        <w:t>b</w:t>
      </w:r>
      <w:r w:rsidRPr="00B2595E">
        <w:rPr>
          <w:rFonts w:ascii="Verdana" w:eastAsia="Times New Roman" w:hAnsi="Verdana" w:cs="Segoe UI"/>
          <w:sz w:val="24"/>
          <w:szCs w:val="24"/>
          <w:lang w:eastAsia="en-GB"/>
        </w:rPr>
        <w:t>oard assurance reporting established</w:t>
      </w:r>
    </w:p>
    <w:p w14:paraId="1502D324" w14:textId="5ADEA757" w:rsidR="00B2595E" w:rsidRPr="00B2595E" w:rsidRDefault="00B2595E" w:rsidP="00B2595E">
      <w:pPr>
        <w:spacing w:before="100" w:beforeAutospacing="1" w:after="100" w:afterAutospacing="1" w:line="300" w:lineRule="atLeast"/>
        <w:outlineLvl w:val="2"/>
        <w:rPr>
          <w:rFonts w:ascii="Verdana" w:eastAsia="Times New Roman" w:hAnsi="Verdana" w:cs="Segoe UI"/>
          <w:b/>
          <w:bCs/>
          <w:sz w:val="24"/>
          <w:szCs w:val="24"/>
          <w:lang w:eastAsia="en-GB"/>
        </w:rPr>
      </w:pPr>
      <w:r w:rsidRPr="00B2595E">
        <w:rPr>
          <w:rFonts w:ascii="Verdana" w:eastAsia="Times New Roman" w:hAnsi="Verdana" w:cs="Segoe UI"/>
          <w:b/>
          <w:bCs/>
          <w:sz w:val="24"/>
          <w:szCs w:val="24"/>
          <w:lang w:eastAsia="en-GB"/>
        </w:rPr>
        <w:t xml:space="preserve">Phase 5 — Review &amp; Improve </w:t>
      </w:r>
      <w:r w:rsidRPr="00B2595E">
        <w:rPr>
          <w:rFonts w:ascii="Verdana" w:eastAsia="Times New Roman" w:hAnsi="Verdana" w:cs="Segoe UI"/>
          <w:b/>
          <w:bCs/>
          <w:i/>
          <w:iCs/>
          <w:sz w:val="24"/>
          <w:szCs w:val="24"/>
          <w:lang w:eastAsia="en-GB"/>
        </w:rPr>
        <w:t>(Q3–Q4 2026</w:t>
      </w:r>
      <w:r w:rsidR="001F38A1">
        <w:rPr>
          <w:rFonts w:ascii="Verdana" w:eastAsia="Times New Roman" w:hAnsi="Verdana" w:cs="Segoe UI"/>
          <w:b/>
          <w:bCs/>
          <w:i/>
          <w:iCs/>
          <w:sz w:val="24"/>
          <w:szCs w:val="24"/>
          <w:lang w:eastAsia="en-GB"/>
        </w:rPr>
        <w:t>/27</w:t>
      </w:r>
      <w:r w:rsidRPr="00B2595E">
        <w:rPr>
          <w:rFonts w:ascii="Verdana" w:eastAsia="Times New Roman" w:hAnsi="Verdana" w:cs="Segoe UI"/>
          <w:b/>
          <w:bCs/>
          <w:i/>
          <w:iCs/>
          <w:sz w:val="24"/>
          <w:szCs w:val="24"/>
          <w:lang w:eastAsia="en-GB"/>
        </w:rPr>
        <w:t>)</w:t>
      </w:r>
    </w:p>
    <w:p w14:paraId="286AC1F4" w14:textId="77777777" w:rsidR="00B2595E" w:rsidRPr="00B2595E" w:rsidRDefault="00B2595E" w:rsidP="00B2595E">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Audit and independent scrutiny</w:t>
      </w:r>
    </w:p>
    <w:p w14:paraId="229F781F" w14:textId="77777777" w:rsidR="00B2595E" w:rsidRPr="00B2595E" w:rsidRDefault="00B2595E" w:rsidP="00B2595E">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Review of serious harm and death cases</w:t>
      </w:r>
    </w:p>
    <w:p w14:paraId="5AD005DE" w14:textId="439404B2" w:rsidR="00B2595E" w:rsidRPr="00B2595E" w:rsidRDefault="00B2595E" w:rsidP="00B2595E">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Benefits realisation (</w:t>
      </w:r>
      <w:proofErr w:type="gramStart"/>
      <w:r w:rsidRPr="00B2595E">
        <w:rPr>
          <w:rFonts w:ascii="Verdana" w:eastAsia="Times New Roman" w:hAnsi="Verdana" w:cs="Segoe UI"/>
          <w:sz w:val="24"/>
          <w:szCs w:val="24"/>
          <w:lang w:eastAsia="en-GB"/>
        </w:rPr>
        <w:t>3 and 6</w:t>
      </w:r>
      <w:r w:rsidR="004D432A">
        <w:rPr>
          <w:rFonts w:ascii="Verdana" w:eastAsia="Times New Roman" w:hAnsi="Verdana" w:cs="Segoe UI"/>
          <w:sz w:val="24"/>
          <w:szCs w:val="24"/>
          <w:lang w:eastAsia="en-GB"/>
        </w:rPr>
        <w:t xml:space="preserve"> </w:t>
      </w:r>
      <w:r w:rsidRPr="00B2595E">
        <w:rPr>
          <w:rFonts w:ascii="Verdana" w:eastAsia="Times New Roman" w:hAnsi="Verdana" w:cs="Segoe UI"/>
          <w:sz w:val="24"/>
          <w:szCs w:val="24"/>
          <w:lang w:eastAsia="en-GB"/>
        </w:rPr>
        <w:t>month</w:t>
      </w:r>
      <w:proofErr w:type="gramEnd"/>
      <w:r w:rsidRPr="00B2595E">
        <w:rPr>
          <w:rFonts w:ascii="Verdana" w:eastAsia="Times New Roman" w:hAnsi="Verdana" w:cs="Segoe UI"/>
          <w:sz w:val="24"/>
          <w:szCs w:val="24"/>
          <w:lang w:eastAsia="en-GB"/>
        </w:rPr>
        <w:t xml:space="preserve"> reviews)</w:t>
      </w:r>
    </w:p>
    <w:p w14:paraId="797DEFDC" w14:textId="77777777" w:rsidR="00B2595E" w:rsidRPr="00B2595E" w:rsidRDefault="00B2595E" w:rsidP="00B2595E">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Annual Concerns and Learning Report published</w:t>
      </w:r>
    </w:p>
    <w:p w14:paraId="6F67BF6F" w14:textId="4B16E834" w:rsidR="00B2595E" w:rsidRPr="00B2595E" w:rsidRDefault="00B2595E" w:rsidP="00B2595E">
      <w:pPr>
        <w:numPr>
          <w:ilvl w:val="0"/>
          <w:numId w:val="17"/>
        </w:numPr>
        <w:spacing w:before="100" w:beforeAutospacing="1" w:after="100" w:afterAutospacing="1" w:line="300" w:lineRule="atLeast"/>
        <w:rPr>
          <w:rFonts w:ascii="Verdana" w:eastAsia="Times New Roman" w:hAnsi="Verdana" w:cs="Segoe UI"/>
          <w:sz w:val="24"/>
          <w:szCs w:val="24"/>
          <w:lang w:eastAsia="en-GB"/>
        </w:rPr>
      </w:pPr>
      <w:r w:rsidRPr="00B2595E">
        <w:rPr>
          <w:rFonts w:ascii="Verdana" w:eastAsia="Times New Roman" w:hAnsi="Verdana" w:cs="Segoe UI"/>
          <w:sz w:val="24"/>
          <w:szCs w:val="24"/>
          <w:lang w:eastAsia="en-GB"/>
        </w:rPr>
        <w:t>2027 improvement plan agreed</w:t>
      </w:r>
    </w:p>
    <w:p w14:paraId="6677F1E0" w14:textId="77777777" w:rsidR="002C3D24" w:rsidRPr="000A5D09" w:rsidRDefault="002C3D24" w:rsidP="00C90582">
      <w:pPr>
        <w:spacing w:after="0" w:line="240" w:lineRule="auto"/>
        <w:rPr>
          <w:rFonts w:ascii="Verdana" w:hAnsi="Verdana" w:cs="Arial"/>
          <w:b/>
          <w:bCs/>
          <w:sz w:val="24"/>
          <w:szCs w:val="24"/>
        </w:rPr>
      </w:pPr>
    </w:p>
    <w:p w14:paraId="799A9CB0" w14:textId="77777777" w:rsidR="002C3D24" w:rsidRPr="000A5D09" w:rsidRDefault="002C3D24" w:rsidP="00C90582">
      <w:pPr>
        <w:spacing w:after="0" w:line="240" w:lineRule="auto"/>
        <w:rPr>
          <w:rFonts w:ascii="Verdana" w:hAnsi="Verdana" w:cs="Arial"/>
          <w:b/>
          <w:bCs/>
          <w:sz w:val="24"/>
          <w:szCs w:val="24"/>
        </w:rPr>
      </w:pPr>
    </w:p>
    <w:p w14:paraId="0E31BDBB" w14:textId="14995887" w:rsidR="000A5D09" w:rsidRDefault="000A5D09" w:rsidP="00E12B21">
      <w:pPr>
        <w:spacing w:before="100" w:beforeAutospacing="1" w:after="100" w:afterAutospacing="1" w:line="300" w:lineRule="atLeast"/>
        <w:outlineLvl w:val="2"/>
        <w:rPr>
          <w:rFonts w:ascii="Verdana" w:eastAsia="Times New Roman" w:hAnsi="Verdana" w:cs="Segoe UI"/>
          <w:b/>
          <w:bCs/>
          <w:sz w:val="24"/>
          <w:szCs w:val="24"/>
          <w:lang w:eastAsia="en-GB"/>
        </w:rPr>
      </w:pPr>
      <w:r>
        <w:rPr>
          <w:rFonts w:ascii="Verdana" w:eastAsia="Times New Roman" w:hAnsi="Verdana" w:cs="Segoe UI"/>
          <w:b/>
          <w:bCs/>
          <w:sz w:val="24"/>
          <w:szCs w:val="24"/>
          <w:lang w:eastAsia="en-GB"/>
        </w:rPr>
        <w:t>5. Outcomes and Benefits</w:t>
      </w:r>
    </w:p>
    <w:p w14:paraId="473EFAFC" w14:textId="674A25A3" w:rsidR="00E12B21" w:rsidRPr="00E12B21" w:rsidRDefault="00E12B21" w:rsidP="00E12B21">
      <w:pPr>
        <w:spacing w:before="100" w:beforeAutospacing="1" w:after="100" w:afterAutospacing="1" w:line="300" w:lineRule="atLeast"/>
        <w:outlineLvl w:val="2"/>
        <w:rPr>
          <w:rFonts w:ascii="Verdana" w:eastAsia="Times New Roman" w:hAnsi="Verdana" w:cs="Segoe UI"/>
          <w:b/>
          <w:bCs/>
          <w:sz w:val="24"/>
          <w:szCs w:val="24"/>
          <w:lang w:eastAsia="en-GB"/>
        </w:rPr>
      </w:pPr>
      <w:r w:rsidRPr="00E12B21">
        <w:rPr>
          <w:rFonts w:ascii="Verdana" w:eastAsia="Times New Roman" w:hAnsi="Verdana" w:cs="Segoe UI"/>
          <w:b/>
          <w:bCs/>
          <w:sz w:val="24"/>
          <w:szCs w:val="24"/>
          <w:lang w:eastAsia="en-GB"/>
        </w:rPr>
        <w:t>For People Using Our Services</w:t>
      </w:r>
    </w:p>
    <w:p w14:paraId="562F6D36" w14:textId="47A00EF5" w:rsidR="00E12B21" w:rsidRPr="00E12B21" w:rsidRDefault="00E12B21" w:rsidP="00E12B21">
      <w:pPr>
        <w:spacing w:before="100" w:beforeAutospacing="1" w:after="100" w:afterAutospacing="1" w:line="300" w:lineRule="atLeast"/>
        <w:rPr>
          <w:rFonts w:ascii="Verdana" w:eastAsia="Times New Roman" w:hAnsi="Verdana" w:cs="Segoe UI"/>
          <w:sz w:val="24"/>
          <w:szCs w:val="24"/>
          <w:lang w:eastAsia="en-GB"/>
        </w:rPr>
      </w:pPr>
      <w:r w:rsidRPr="00E12B21">
        <w:rPr>
          <w:rFonts w:ascii="Verdana" w:eastAsia="Times New Roman" w:hAnsi="Verdana" w:cs="Segoe UI"/>
          <w:sz w:val="24"/>
          <w:szCs w:val="24"/>
          <w:lang w:eastAsia="en-GB"/>
        </w:rPr>
        <w:t>By Q4 202</w:t>
      </w:r>
      <w:r w:rsidR="00CA2DC7">
        <w:rPr>
          <w:rFonts w:ascii="Verdana" w:eastAsia="Times New Roman" w:hAnsi="Verdana" w:cs="Segoe UI"/>
          <w:sz w:val="24"/>
          <w:szCs w:val="24"/>
          <w:lang w:eastAsia="en-GB"/>
        </w:rPr>
        <w:t>6/27</w:t>
      </w:r>
      <w:r w:rsidRPr="00E12B21">
        <w:rPr>
          <w:rFonts w:ascii="Verdana" w:eastAsia="Times New Roman" w:hAnsi="Verdana" w:cs="Segoe UI"/>
          <w:sz w:val="24"/>
          <w:szCs w:val="24"/>
          <w:lang w:eastAsia="en-GB"/>
        </w:rPr>
        <w:t>, people will experience:</w:t>
      </w:r>
    </w:p>
    <w:p w14:paraId="747D9E62" w14:textId="77777777" w:rsidR="00E12B21" w:rsidRPr="00E12B21" w:rsidRDefault="00E12B21" w:rsidP="00E12B2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Timely, compassionate responses</w:t>
      </w:r>
      <w:r w:rsidRPr="00E12B21">
        <w:rPr>
          <w:rFonts w:ascii="Verdana" w:eastAsia="Times New Roman" w:hAnsi="Verdana" w:cs="Segoe UI"/>
          <w:sz w:val="24"/>
          <w:szCs w:val="24"/>
          <w:lang w:eastAsia="en-GB"/>
        </w:rPr>
        <w:t xml:space="preserve"> — at least </w:t>
      </w:r>
      <w:r w:rsidRPr="00854947">
        <w:rPr>
          <w:rFonts w:ascii="Verdana" w:eastAsia="Times New Roman" w:hAnsi="Verdana" w:cs="Segoe UI"/>
          <w:sz w:val="24"/>
          <w:szCs w:val="24"/>
          <w:lang w:eastAsia="en-GB"/>
        </w:rPr>
        <w:t>75% of LTP responses within timescales</w:t>
      </w:r>
    </w:p>
    <w:p w14:paraId="123219C7" w14:textId="77777777" w:rsidR="00E12B21" w:rsidRPr="00854947" w:rsidRDefault="00E12B21" w:rsidP="00E12B2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Clear, open communication — ≥90% Duty of Candour compliance</w:t>
      </w:r>
    </w:p>
    <w:p w14:paraId="2713AAA8" w14:textId="77777777" w:rsidR="00E12B21" w:rsidRPr="00854947" w:rsidRDefault="00E12B21" w:rsidP="00E12B2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Faster resolution of concerns — ≥50% reduction in overdue complaints</w:t>
      </w:r>
    </w:p>
    <w:p w14:paraId="3886ADD2" w14:textId="77777777" w:rsidR="00E12B21" w:rsidRPr="00E12B21" w:rsidRDefault="00E12B21" w:rsidP="00E12B2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Easier access and advocacy</w:t>
      </w:r>
      <w:r w:rsidRPr="00E12B21">
        <w:rPr>
          <w:rFonts w:ascii="Verdana" w:eastAsia="Times New Roman" w:hAnsi="Verdana" w:cs="Segoe UI"/>
          <w:sz w:val="24"/>
          <w:szCs w:val="24"/>
          <w:lang w:eastAsia="en-GB"/>
        </w:rPr>
        <w:t xml:space="preserve"> — a single point of access and clear independent advice pathways</w:t>
      </w:r>
    </w:p>
    <w:p w14:paraId="21C7335F" w14:textId="77777777" w:rsidR="00E12B21" w:rsidRPr="00854947" w:rsidRDefault="00E12B21" w:rsidP="00E12B2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A consistent and equitable experience across all Service Groups</w:t>
      </w:r>
    </w:p>
    <w:p w14:paraId="720A946E" w14:textId="77777777" w:rsidR="00E12B21" w:rsidRPr="00854947" w:rsidRDefault="00E12B21" w:rsidP="00E12B21">
      <w:pPr>
        <w:numPr>
          <w:ilvl w:val="0"/>
          <w:numId w:val="18"/>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Feeling heard and respected, with responses that are meaningful and personalised</w:t>
      </w:r>
    </w:p>
    <w:p w14:paraId="1BC051A0" w14:textId="1C839505" w:rsidR="00E12B21" w:rsidRPr="00E12B21" w:rsidRDefault="00E12B21" w:rsidP="00E12B21">
      <w:pPr>
        <w:spacing w:before="100" w:beforeAutospacing="1" w:after="100" w:afterAutospacing="1" w:line="300" w:lineRule="atLeast"/>
        <w:outlineLvl w:val="2"/>
        <w:rPr>
          <w:rFonts w:ascii="Verdana" w:eastAsia="Times New Roman" w:hAnsi="Verdana" w:cs="Segoe UI"/>
          <w:b/>
          <w:bCs/>
          <w:sz w:val="24"/>
          <w:szCs w:val="24"/>
          <w:lang w:eastAsia="en-GB"/>
        </w:rPr>
      </w:pPr>
      <w:r w:rsidRPr="00E12B21">
        <w:rPr>
          <w:rFonts w:ascii="Verdana" w:eastAsia="Times New Roman" w:hAnsi="Verdana" w:cs="Segoe UI"/>
          <w:b/>
          <w:bCs/>
          <w:sz w:val="24"/>
          <w:szCs w:val="24"/>
          <w:lang w:eastAsia="en-GB"/>
        </w:rPr>
        <w:t>For Staff</w:t>
      </w:r>
    </w:p>
    <w:p w14:paraId="3C08361A" w14:textId="77777777" w:rsidR="00E12B21" w:rsidRPr="00E12B21" w:rsidRDefault="00E12B21" w:rsidP="00E12B21">
      <w:pPr>
        <w:spacing w:before="100" w:beforeAutospacing="1" w:after="100" w:afterAutospacing="1" w:line="300" w:lineRule="atLeast"/>
        <w:rPr>
          <w:rFonts w:ascii="Verdana" w:eastAsia="Times New Roman" w:hAnsi="Verdana" w:cs="Segoe UI"/>
          <w:sz w:val="24"/>
          <w:szCs w:val="24"/>
          <w:lang w:eastAsia="en-GB"/>
        </w:rPr>
      </w:pPr>
      <w:r w:rsidRPr="00E12B21">
        <w:rPr>
          <w:rFonts w:ascii="Verdana" w:eastAsia="Times New Roman" w:hAnsi="Verdana" w:cs="Segoe UI"/>
          <w:sz w:val="24"/>
          <w:szCs w:val="24"/>
          <w:lang w:eastAsia="en-GB"/>
        </w:rPr>
        <w:t>Staff will be supported to listen, respond and learn effectively through:</w:t>
      </w:r>
    </w:p>
    <w:p w14:paraId="22104828" w14:textId="77777777" w:rsidR="00E12B21" w:rsidRPr="00854947" w:rsidRDefault="00E12B21" w:rsidP="00E12B21">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Clear, standardised processes that reduce ambiguity and re</w:t>
      </w:r>
      <w:r w:rsidRPr="00854947">
        <w:rPr>
          <w:rFonts w:ascii="Verdana" w:eastAsia="Times New Roman" w:hAnsi="Verdana" w:cs="Segoe UI"/>
          <w:sz w:val="24"/>
          <w:szCs w:val="24"/>
          <w:lang w:eastAsia="en-GB"/>
        </w:rPr>
        <w:noBreakHyphen/>
        <w:t>work</w:t>
      </w:r>
    </w:p>
    <w:p w14:paraId="65ACEFA9" w14:textId="77777777" w:rsidR="00E12B21" w:rsidRPr="00854947" w:rsidRDefault="00E12B21" w:rsidP="00E12B21">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Reduced backlog pressure and more manageable workloads</w:t>
      </w:r>
    </w:p>
    <w:p w14:paraId="36730B06" w14:textId="77777777" w:rsidR="00E12B21" w:rsidRPr="00854947" w:rsidRDefault="00E12B21" w:rsidP="00E12B21">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Improved confidence and competence — ≥90% training compliance</w:t>
      </w:r>
    </w:p>
    <w:p w14:paraId="767ABCD8" w14:textId="77777777" w:rsidR="00E12B21" w:rsidRPr="00854947" w:rsidRDefault="00E12B21" w:rsidP="00E12B21">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Clear escalation and advice routes, including independent advice pathways</w:t>
      </w:r>
    </w:p>
    <w:p w14:paraId="5DAB983D" w14:textId="77777777" w:rsidR="00E12B21" w:rsidRPr="00854947" w:rsidRDefault="00E12B21" w:rsidP="00E12B21">
      <w:pPr>
        <w:numPr>
          <w:ilvl w:val="0"/>
          <w:numId w:val="19"/>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A supportive listening culture, improving morale and professional resilience</w:t>
      </w:r>
    </w:p>
    <w:p w14:paraId="594BA8B0" w14:textId="373AC730" w:rsidR="00E12B21" w:rsidRPr="00E12B21" w:rsidRDefault="00E12B21" w:rsidP="00E12B21">
      <w:pPr>
        <w:spacing w:before="100" w:beforeAutospacing="1" w:after="100" w:afterAutospacing="1" w:line="300" w:lineRule="atLeast"/>
        <w:outlineLvl w:val="2"/>
        <w:rPr>
          <w:rFonts w:ascii="Verdana" w:eastAsia="Times New Roman" w:hAnsi="Verdana" w:cs="Segoe UI"/>
          <w:b/>
          <w:bCs/>
          <w:sz w:val="24"/>
          <w:szCs w:val="24"/>
          <w:lang w:eastAsia="en-GB"/>
        </w:rPr>
      </w:pPr>
      <w:r w:rsidRPr="00E12B21">
        <w:rPr>
          <w:rFonts w:ascii="Verdana" w:eastAsia="Times New Roman" w:hAnsi="Verdana" w:cs="Segoe UI"/>
          <w:b/>
          <w:bCs/>
          <w:sz w:val="24"/>
          <w:szCs w:val="24"/>
          <w:lang w:eastAsia="en-GB"/>
        </w:rPr>
        <w:t>For the Organisation</w:t>
      </w:r>
    </w:p>
    <w:p w14:paraId="469348F8" w14:textId="77777777" w:rsidR="00E12B21" w:rsidRPr="00E12B21" w:rsidRDefault="00E12B21" w:rsidP="00E12B21">
      <w:pPr>
        <w:spacing w:before="100" w:beforeAutospacing="1" w:after="100" w:afterAutospacing="1" w:line="300" w:lineRule="atLeast"/>
        <w:rPr>
          <w:rFonts w:ascii="Verdana" w:eastAsia="Times New Roman" w:hAnsi="Verdana" w:cs="Segoe UI"/>
          <w:sz w:val="24"/>
          <w:szCs w:val="24"/>
          <w:lang w:eastAsia="en-GB"/>
        </w:rPr>
      </w:pPr>
      <w:r w:rsidRPr="00E12B21">
        <w:rPr>
          <w:rFonts w:ascii="Verdana" w:eastAsia="Times New Roman" w:hAnsi="Verdana" w:cs="Segoe UI"/>
          <w:sz w:val="24"/>
          <w:szCs w:val="24"/>
          <w:lang w:eastAsia="en-GB"/>
        </w:rPr>
        <w:t>The organisation will benefit from:</w:t>
      </w:r>
    </w:p>
    <w:p w14:paraId="1B63348D" w14:textId="77777777" w:rsidR="00E12B21" w:rsidRPr="00854947" w:rsidRDefault="00E12B21" w:rsidP="00E12B21">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Stronger Board assurance and improved governance</w:t>
      </w:r>
    </w:p>
    <w:p w14:paraId="47E3D2A0" w14:textId="77777777" w:rsidR="00E12B21" w:rsidRPr="00854947" w:rsidRDefault="00E12B21" w:rsidP="00E12B21">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Reduced organisational risk through timely responses and Duty of Candour compliance</w:t>
      </w:r>
    </w:p>
    <w:p w14:paraId="0A140FF5" w14:textId="77777777" w:rsidR="00E12B21" w:rsidRPr="00854947" w:rsidRDefault="00E12B21" w:rsidP="00E12B21">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Improved performance visibility, including backlog management and trend analysis</w:t>
      </w:r>
    </w:p>
    <w:p w14:paraId="2149F8CB" w14:textId="21ED8958" w:rsidR="00325D99" w:rsidRPr="00854947" w:rsidRDefault="00325D99" w:rsidP="00325D99">
      <w:pPr>
        <w:pStyle w:val="ListParagraph"/>
        <w:numPr>
          <w:ilvl w:val="0"/>
          <w:numId w:val="20"/>
        </w:numPr>
        <w:spacing w:after="0"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 xml:space="preserve">Build trust </w:t>
      </w:r>
      <w:r w:rsidR="003A7CA3" w:rsidRPr="00854947">
        <w:rPr>
          <w:rFonts w:ascii="Verdana" w:eastAsia="Times New Roman" w:hAnsi="Verdana" w:cs="Segoe UI"/>
          <w:sz w:val="24"/>
          <w:szCs w:val="24"/>
          <w:lang w:eastAsia="en-GB"/>
        </w:rPr>
        <w:t>from</w:t>
      </w:r>
      <w:r w:rsidRPr="00854947">
        <w:rPr>
          <w:rFonts w:ascii="Verdana" w:eastAsia="Times New Roman" w:hAnsi="Verdana" w:cs="Segoe UI"/>
          <w:sz w:val="24"/>
          <w:szCs w:val="24"/>
          <w:lang w:eastAsia="en-GB"/>
        </w:rPr>
        <w:t xml:space="preserve"> </w:t>
      </w:r>
      <w:r w:rsidR="003A7CA3" w:rsidRPr="00854947">
        <w:rPr>
          <w:rFonts w:ascii="Verdana" w:eastAsia="Times New Roman" w:hAnsi="Verdana" w:cs="Segoe UI"/>
          <w:sz w:val="24"/>
          <w:szCs w:val="24"/>
          <w:lang w:eastAsia="en-GB"/>
        </w:rPr>
        <w:t xml:space="preserve">our patients, communities and staff </w:t>
      </w:r>
      <w:r w:rsidRPr="00854947">
        <w:rPr>
          <w:rFonts w:ascii="Verdana" w:eastAsia="Times New Roman" w:hAnsi="Verdana" w:cs="Segoe UI"/>
          <w:sz w:val="24"/>
          <w:szCs w:val="24"/>
          <w:lang w:eastAsia="en-GB"/>
        </w:rPr>
        <w:t>by showing that we listen, respond promptly and learn from what people tell us</w:t>
      </w:r>
    </w:p>
    <w:p w14:paraId="3EB4D696" w14:textId="77777777" w:rsidR="00E12B21" w:rsidRPr="00854947" w:rsidRDefault="00E12B21" w:rsidP="00E12B21">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854947">
        <w:rPr>
          <w:rFonts w:ascii="Verdana" w:eastAsia="Times New Roman" w:hAnsi="Verdana" w:cs="Segoe UI"/>
          <w:sz w:val="24"/>
          <w:szCs w:val="24"/>
          <w:lang w:eastAsia="en-GB"/>
        </w:rPr>
        <w:t>Greater consistency across Service Groups, reducing unwarranted variation</w:t>
      </w:r>
    </w:p>
    <w:p w14:paraId="3A991541" w14:textId="77777777" w:rsidR="00E12B21" w:rsidRPr="00CF0126" w:rsidRDefault="00E12B21" w:rsidP="00E12B21">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CF0126">
        <w:rPr>
          <w:rFonts w:ascii="Verdana" w:eastAsia="Times New Roman" w:hAnsi="Verdana" w:cs="Segoe UI"/>
          <w:sz w:val="24"/>
          <w:szCs w:val="24"/>
          <w:lang w:eastAsia="en-GB"/>
        </w:rPr>
        <w:t>Better learning and intelligence triangulation through a single access model</w:t>
      </w:r>
    </w:p>
    <w:p w14:paraId="5261C9E7" w14:textId="19C46B6A" w:rsidR="00731FFA" w:rsidRDefault="00E12B21" w:rsidP="00CF0126">
      <w:pPr>
        <w:numPr>
          <w:ilvl w:val="0"/>
          <w:numId w:val="20"/>
        </w:numPr>
        <w:spacing w:before="100" w:beforeAutospacing="1" w:after="100" w:afterAutospacing="1" w:line="300" w:lineRule="atLeast"/>
        <w:rPr>
          <w:rFonts w:ascii="Verdana" w:eastAsia="Times New Roman" w:hAnsi="Verdana" w:cs="Segoe UI"/>
          <w:sz w:val="24"/>
          <w:szCs w:val="24"/>
          <w:lang w:eastAsia="en-GB"/>
        </w:rPr>
      </w:pPr>
      <w:r w:rsidRPr="00CF0126">
        <w:rPr>
          <w:rFonts w:ascii="Verdana" w:eastAsia="Times New Roman" w:hAnsi="Verdana" w:cs="Segoe UI"/>
          <w:sz w:val="24"/>
          <w:szCs w:val="24"/>
          <w:lang w:eastAsia="en-GB"/>
        </w:rPr>
        <w:t>Improved external assurance and trust in how concerns and incidents are handled</w:t>
      </w:r>
    </w:p>
    <w:p w14:paraId="7065410D" w14:textId="77777777" w:rsidR="00CF0126" w:rsidRDefault="00CF0126" w:rsidP="00CF0126">
      <w:pPr>
        <w:spacing w:before="100" w:beforeAutospacing="1" w:after="100" w:afterAutospacing="1" w:line="300" w:lineRule="atLeast"/>
        <w:ind w:left="720"/>
        <w:rPr>
          <w:rFonts w:ascii="Verdana" w:eastAsia="Times New Roman" w:hAnsi="Verdana" w:cs="Segoe UI"/>
          <w:sz w:val="24"/>
          <w:szCs w:val="24"/>
          <w:lang w:eastAsia="en-GB"/>
        </w:rPr>
      </w:pPr>
    </w:p>
    <w:p w14:paraId="2B5E22D6" w14:textId="2F2A34F7" w:rsidR="00C90582" w:rsidRPr="00731FFA" w:rsidRDefault="00731FFA" w:rsidP="00731FFA">
      <w:pPr>
        <w:pStyle w:val="ListParagraph"/>
        <w:numPr>
          <w:ilvl w:val="1"/>
          <w:numId w:val="20"/>
        </w:numPr>
        <w:spacing w:before="100" w:beforeAutospacing="1" w:after="100" w:afterAutospacing="1" w:line="240" w:lineRule="auto"/>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 xml:space="preserve">Individual </w:t>
      </w:r>
      <w:r w:rsidR="00C90582" w:rsidRPr="00731FFA">
        <w:rPr>
          <w:rFonts w:ascii="Verdana" w:eastAsia="Times New Roman" w:hAnsi="Verdana" w:cs="Times New Roman"/>
          <w:b/>
          <w:bCs/>
          <w:sz w:val="24"/>
          <w:szCs w:val="24"/>
          <w:lang w:eastAsia="en-GB"/>
        </w:rPr>
        <w:t>Workstreams</w:t>
      </w:r>
    </w:p>
    <w:tbl>
      <w:tblPr>
        <w:tblStyle w:val="TableGrid"/>
        <w:tblW w:w="5000" w:type="pct"/>
        <w:tblLook w:val="04A0" w:firstRow="1" w:lastRow="0" w:firstColumn="1" w:lastColumn="0" w:noHBand="0" w:noVBand="1"/>
      </w:tblPr>
      <w:tblGrid>
        <w:gridCol w:w="1971"/>
        <w:gridCol w:w="2276"/>
        <w:gridCol w:w="3040"/>
        <w:gridCol w:w="1729"/>
      </w:tblGrid>
      <w:tr w:rsidR="00731FFA" w:rsidRPr="000927C0" w14:paraId="41DA17A1" w14:textId="77777777" w:rsidTr="001F2918">
        <w:tc>
          <w:tcPr>
            <w:tcW w:w="1093" w:type="pct"/>
            <w:hideMark/>
          </w:tcPr>
          <w:p w14:paraId="556B443B" w14:textId="77777777" w:rsidR="00731FFA" w:rsidRPr="000927C0" w:rsidRDefault="00731FFA" w:rsidP="007A5CD2">
            <w:pPr>
              <w:jc w:val="center"/>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Workstream</w:t>
            </w:r>
          </w:p>
        </w:tc>
        <w:tc>
          <w:tcPr>
            <w:tcW w:w="1262" w:type="pct"/>
            <w:hideMark/>
          </w:tcPr>
          <w:p w14:paraId="0F257922" w14:textId="77777777" w:rsidR="00731FFA" w:rsidRPr="000927C0" w:rsidRDefault="00731FFA" w:rsidP="007A5CD2">
            <w:pPr>
              <w:jc w:val="center"/>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Key Actions</w:t>
            </w:r>
          </w:p>
        </w:tc>
        <w:tc>
          <w:tcPr>
            <w:tcW w:w="1686" w:type="pct"/>
            <w:hideMark/>
          </w:tcPr>
          <w:p w14:paraId="2BA4BDD5" w14:textId="77777777" w:rsidR="00731FFA" w:rsidRPr="000927C0" w:rsidRDefault="00731FFA" w:rsidP="007A5CD2">
            <w:pPr>
              <w:jc w:val="center"/>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Responsibility</w:t>
            </w:r>
          </w:p>
        </w:tc>
        <w:tc>
          <w:tcPr>
            <w:tcW w:w="959" w:type="pct"/>
            <w:hideMark/>
          </w:tcPr>
          <w:p w14:paraId="6A135BDC" w14:textId="77777777" w:rsidR="00731FFA" w:rsidRPr="000927C0" w:rsidRDefault="00731FFA" w:rsidP="007A5CD2">
            <w:pPr>
              <w:jc w:val="center"/>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Timescale</w:t>
            </w:r>
          </w:p>
        </w:tc>
      </w:tr>
      <w:tr w:rsidR="00731FFA" w:rsidRPr="000927C0" w14:paraId="51D2692D" w14:textId="77777777" w:rsidTr="001F2918">
        <w:tc>
          <w:tcPr>
            <w:tcW w:w="1093" w:type="pct"/>
            <w:shd w:val="clear" w:color="auto" w:fill="F2F2F2" w:themeFill="background1" w:themeFillShade="F2"/>
            <w:vAlign w:val="center"/>
          </w:tcPr>
          <w:p w14:paraId="66C96104" w14:textId="77777777" w:rsidR="00731FFA" w:rsidRPr="000927C0" w:rsidRDefault="00731FFA" w:rsidP="007A5CD2">
            <w:pPr>
              <w:spacing w:before="100" w:beforeAutospacing="1" w:after="100" w:afterAutospacing="1"/>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Training &amp; Education</w:t>
            </w:r>
          </w:p>
        </w:tc>
        <w:tc>
          <w:tcPr>
            <w:tcW w:w="1262" w:type="pct"/>
            <w:shd w:val="clear" w:color="auto" w:fill="F2F2F2" w:themeFill="background1" w:themeFillShade="F2"/>
            <w:vAlign w:val="center"/>
          </w:tcPr>
          <w:p w14:paraId="569BB503"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Training plan and needs analysis; deliver training</w:t>
            </w:r>
          </w:p>
        </w:tc>
        <w:tc>
          <w:tcPr>
            <w:tcW w:w="1686" w:type="pct"/>
            <w:shd w:val="clear" w:color="auto" w:fill="F2F2F2" w:themeFill="background1" w:themeFillShade="F2"/>
            <w:vAlign w:val="center"/>
          </w:tcPr>
          <w:p w14:paraId="2E7C16C6"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NHS Performance and improvement and Associate Director of Nursing and Patient Experience</w:t>
            </w:r>
          </w:p>
        </w:tc>
        <w:tc>
          <w:tcPr>
            <w:tcW w:w="959" w:type="pct"/>
            <w:shd w:val="clear" w:color="auto" w:fill="F2F2F2" w:themeFill="background1" w:themeFillShade="F2"/>
            <w:vAlign w:val="center"/>
          </w:tcPr>
          <w:p w14:paraId="698265DF"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Months 1–12</w:t>
            </w:r>
          </w:p>
        </w:tc>
      </w:tr>
      <w:tr w:rsidR="00731FFA" w:rsidRPr="000927C0" w14:paraId="1A00B1FD" w14:textId="77777777" w:rsidTr="001F2918">
        <w:tc>
          <w:tcPr>
            <w:tcW w:w="1093" w:type="pct"/>
            <w:vAlign w:val="center"/>
          </w:tcPr>
          <w:p w14:paraId="1019B58C" w14:textId="77777777" w:rsidR="00731FFA" w:rsidRPr="000927C0" w:rsidRDefault="00731FFA" w:rsidP="007A5CD2">
            <w:pPr>
              <w:spacing w:before="100" w:beforeAutospacing="1" w:after="100" w:afterAutospacing="1"/>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Process</w:t>
            </w:r>
          </w:p>
        </w:tc>
        <w:tc>
          <w:tcPr>
            <w:tcW w:w="1262" w:type="pct"/>
            <w:vAlign w:val="center"/>
          </w:tcPr>
          <w:p w14:paraId="4556794D"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Policy, standard operating procedures, templates</w:t>
            </w:r>
          </w:p>
        </w:tc>
        <w:tc>
          <w:tcPr>
            <w:tcW w:w="1686" w:type="pct"/>
            <w:vAlign w:val="center"/>
          </w:tcPr>
          <w:p w14:paraId="217856B7"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Associate Director of Nursing and Patient Experience and Corporate Head of Concerns Assurance</w:t>
            </w:r>
          </w:p>
        </w:tc>
        <w:tc>
          <w:tcPr>
            <w:tcW w:w="959" w:type="pct"/>
            <w:vAlign w:val="center"/>
          </w:tcPr>
          <w:p w14:paraId="20A378DC"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Months 1–3</w:t>
            </w:r>
          </w:p>
        </w:tc>
      </w:tr>
      <w:tr w:rsidR="00731FFA" w:rsidRPr="000927C0" w14:paraId="39C93ED1" w14:textId="77777777" w:rsidTr="001F2918">
        <w:tc>
          <w:tcPr>
            <w:tcW w:w="1093" w:type="pct"/>
            <w:shd w:val="clear" w:color="auto" w:fill="F2F2F2" w:themeFill="background1" w:themeFillShade="F2"/>
            <w:vAlign w:val="center"/>
          </w:tcPr>
          <w:p w14:paraId="27B8F22E" w14:textId="77777777" w:rsidR="00731FFA" w:rsidRPr="000927C0" w:rsidRDefault="00731FFA" w:rsidP="007A5CD2">
            <w:pPr>
              <w:spacing w:before="100" w:beforeAutospacing="1" w:after="100" w:afterAutospacing="1"/>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Digital/Data</w:t>
            </w:r>
          </w:p>
        </w:tc>
        <w:tc>
          <w:tcPr>
            <w:tcW w:w="1262" w:type="pct"/>
            <w:shd w:val="clear" w:color="auto" w:fill="F2F2F2" w:themeFill="background1" w:themeFillShade="F2"/>
            <w:vAlign w:val="center"/>
          </w:tcPr>
          <w:p w14:paraId="7D2F9C2F"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Dashboard; single access tracking</w:t>
            </w:r>
          </w:p>
        </w:tc>
        <w:tc>
          <w:tcPr>
            <w:tcW w:w="1686" w:type="pct"/>
            <w:shd w:val="clear" w:color="auto" w:fill="F2F2F2" w:themeFill="background1" w:themeFillShade="F2"/>
            <w:vAlign w:val="center"/>
          </w:tcPr>
          <w:p w14:paraId="2687B03C"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 xml:space="preserve">Digital Intelligence </w:t>
            </w:r>
          </w:p>
        </w:tc>
        <w:tc>
          <w:tcPr>
            <w:tcW w:w="959" w:type="pct"/>
            <w:shd w:val="clear" w:color="auto" w:fill="F2F2F2" w:themeFill="background1" w:themeFillShade="F2"/>
            <w:vAlign w:val="center"/>
          </w:tcPr>
          <w:p w14:paraId="3E80BCB2"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Months 3–6</w:t>
            </w:r>
          </w:p>
        </w:tc>
      </w:tr>
      <w:tr w:rsidR="00731FFA" w:rsidRPr="000927C0" w14:paraId="7428AEC3" w14:textId="77777777" w:rsidTr="001F2918">
        <w:tc>
          <w:tcPr>
            <w:tcW w:w="1093" w:type="pct"/>
            <w:vAlign w:val="center"/>
          </w:tcPr>
          <w:p w14:paraId="787BBC40" w14:textId="77777777" w:rsidR="00731FFA" w:rsidRPr="000927C0" w:rsidRDefault="00731FFA" w:rsidP="007A5CD2">
            <w:pPr>
              <w:spacing w:before="100" w:beforeAutospacing="1" w:after="100" w:afterAutospacing="1"/>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Governance</w:t>
            </w:r>
          </w:p>
        </w:tc>
        <w:tc>
          <w:tcPr>
            <w:tcW w:w="1262" w:type="pct"/>
            <w:vAlign w:val="center"/>
          </w:tcPr>
          <w:p w14:paraId="3DF1EBC5"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Assurance framework; Board reporting</w:t>
            </w:r>
          </w:p>
        </w:tc>
        <w:tc>
          <w:tcPr>
            <w:tcW w:w="1686" w:type="pct"/>
            <w:vAlign w:val="center"/>
          </w:tcPr>
          <w:p w14:paraId="04EEBC9C"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Corporate Head of Quality and Safety</w:t>
            </w:r>
          </w:p>
        </w:tc>
        <w:tc>
          <w:tcPr>
            <w:tcW w:w="959" w:type="pct"/>
            <w:vAlign w:val="center"/>
          </w:tcPr>
          <w:p w14:paraId="55C6708E"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Months 2–5</w:t>
            </w:r>
          </w:p>
        </w:tc>
      </w:tr>
      <w:tr w:rsidR="00731FFA" w:rsidRPr="000927C0" w14:paraId="263CB96B" w14:textId="77777777" w:rsidTr="001F2918">
        <w:tc>
          <w:tcPr>
            <w:tcW w:w="1093" w:type="pct"/>
            <w:shd w:val="clear" w:color="auto" w:fill="F2F2F2" w:themeFill="background1" w:themeFillShade="F2"/>
            <w:vAlign w:val="center"/>
          </w:tcPr>
          <w:p w14:paraId="57C568BF" w14:textId="77777777" w:rsidR="00731FFA" w:rsidRPr="000927C0" w:rsidRDefault="00731FFA" w:rsidP="007A5CD2">
            <w:pPr>
              <w:spacing w:before="100" w:beforeAutospacing="1" w:after="100" w:afterAutospacing="1"/>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Accessibility &amp; Advocacy</w:t>
            </w:r>
          </w:p>
        </w:tc>
        <w:tc>
          <w:tcPr>
            <w:tcW w:w="1262" w:type="pct"/>
            <w:shd w:val="clear" w:color="auto" w:fill="F2F2F2" w:themeFill="background1" w:themeFillShade="F2"/>
            <w:vAlign w:val="center"/>
          </w:tcPr>
          <w:p w14:paraId="4B50559B"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Independent advice pathways</w:t>
            </w:r>
          </w:p>
        </w:tc>
        <w:tc>
          <w:tcPr>
            <w:tcW w:w="1686" w:type="pct"/>
            <w:shd w:val="clear" w:color="auto" w:fill="F2F2F2" w:themeFill="background1" w:themeFillShade="F2"/>
            <w:vAlign w:val="center"/>
          </w:tcPr>
          <w:p w14:paraId="63F0FC90"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Corporate Head of Concerns Assurance</w:t>
            </w:r>
          </w:p>
        </w:tc>
        <w:tc>
          <w:tcPr>
            <w:tcW w:w="959" w:type="pct"/>
            <w:shd w:val="clear" w:color="auto" w:fill="F2F2F2" w:themeFill="background1" w:themeFillShade="F2"/>
            <w:vAlign w:val="center"/>
          </w:tcPr>
          <w:p w14:paraId="2F1617AD"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Months 2–5</w:t>
            </w:r>
          </w:p>
        </w:tc>
      </w:tr>
      <w:tr w:rsidR="00731FFA" w:rsidRPr="000927C0" w14:paraId="043AD976" w14:textId="77777777" w:rsidTr="001F2918">
        <w:tc>
          <w:tcPr>
            <w:tcW w:w="1093" w:type="pct"/>
            <w:vAlign w:val="center"/>
          </w:tcPr>
          <w:p w14:paraId="02A20655" w14:textId="77777777" w:rsidR="00731FFA" w:rsidRPr="000927C0" w:rsidRDefault="00731FFA" w:rsidP="007A5CD2">
            <w:pPr>
              <w:spacing w:before="100" w:beforeAutospacing="1" w:after="100" w:afterAutospacing="1"/>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Workforce</w:t>
            </w:r>
          </w:p>
        </w:tc>
        <w:tc>
          <w:tcPr>
            <w:tcW w:w="1262" w:type="pct"/>
            <w:vAlign w:val="center"/>
          </w:tcPr>
          <w:p w14:paraId="1CD990CC"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Workforce plan, workforce engagement and workforce delivery</w:t>
            </w:r>
          </w:p>
        </w:tc>
        <w:tc>
          <w:tcPr>
            <w:tcW w:w="1686" w:type="pct"/>
            <w:vAlign w:val="center"/>
          </w:tcPr>
          <w:p w14:paraId="61949224"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Corporate Head of Quality and Safety and Service Group Directors and Director of Workforce and teams</w:t>
            </w:r>
          </w:p>
          <w:p w14:paraId="1BB74A1E"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p>
        </w:tc>
        <w:tc>
          <w:tcPr>
            <w:tcW w:w="959" w:type="pct"/>
            <w:vAlign w:val="center"/>
          </w:tcPr>
          <w:p w14:paraId="61A32EF9" w14:textId="77777777" w:rsidR="00731FFA" w:rsidRPr="000927C0" w:rsidRDefault="00731FFA" w:rsidP="007A5CD2">
            <w:pPr>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Plan –1-2 month.</w:t>
            </w:r>
          </w:p>
          <w:p w14:paraId="4C4DEAA3" w14:textId="77777777" w:rsidR="00731FFA" w:rsidRPr="000927C0" w:rsidRDefault="00731FFA" w:rsidP="007A5CD2">
            <w:pPr>
              <w:spacing w:before="100" w:beforeAutospacing="1" w:after="100" w:afterAutospacing="1"/>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Engagement &amp; delivery tbc</w:t>
            </w:r>
          </w:p>
        </w:tc>
      </w:tr>
    </w:tbl>
    <w:p w14:paraId="60B53911" w14:textId="77777777" w:rsidR="00C90582" w:rsidRDefault="00C90582"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0E234BF6" w14:textId="77777777" w:rsidR="002466B8" w:rsidRDefault="002466B8"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260A0950" w14:textId="77777777" w:rsidR="002466B8" w:rsidRDefault="002466B8"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1B019DD5" w14:textId="77777777" w:rsidR="002466B8" w:rsidRDefault="002466B8"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24FE0BF6" w14:textId="77777777" w:rsidR="002466B8" w:rsidRDefault="002466B8"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2923A09D" w14:textId="77777777" w:rsidR="002466B8" w:rsidRDefault="002466B8"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53C170F5" w14:textId="77777777" w:rsidR="002466B8" w:rsidRDefault="002466B8"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5CA916C1" w14:textId="77777777" w:rsidR="00B76321" w:rsidRDefault="00B76321"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7AD487FD" w14:textId="77777777" w:rsidR="002466B8" w:rsidRPr="000927C0" w:rsidRDefault="002466B8" w:rsidP="00C90582">
      <w:pPr>
        <w:pStyle w:val="ListParagraph"/>
        <w:spacing w:before="100" w:beforeAutospacing="1" w:after="100" w:afterAutospacing="1" w:line="240" w:lineRule="auto"/>
        <w:rPr>
          <w:rFonts w:ascii="Verdana" w:eastAsia="Times New Roman" w:hAnsi="Verdana" w:cs="Times New Roman"/>
          <w:b/>
          <w:bCs/>
          <w:sz w:val="24"/>
          <w:szCs w:val="24"/>
          <w:lang w:eastAsia="en-GB"/>
        </w:rPr>
      </w:pPr>
    </w:p>
    <w:p w14:paraId="235B19AB" w14:textId="07A67362" w:rsidR="00C90582" w:rsidRDefault="00105697" w:rsidP="001F2918">
      <w:pPr>
        <w:pStyle w:val="ListParagraph"/>
        <w:numPr>
          <w:ilvl w:val="1"/>
          <w:numId w:val="20"/>
        </w:numPr>
        <w:spacing w:before="100" w:beforeAutospacing="1" w:after="100" w:afterAutospacing="1" w:line="240" w:lineRule="auto"/>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Risks and Dependencies</w:t>
      </w:r>
    </w:p>
    <w:p w14:paraId="4B7897CE" w14:textId="77777777" w:rsidR="00BC2C7E" w:rsidRDefault="00BC2C7E" w:rsidP="00BC2C7E">
      <w:pPr>
        <w:spacing w:after="0" w:line="240" w:lineRule="auto"/>
        <w:textAlignment w:val="baseline"/>
        <w:rPr>
          <w:rFonts w:ascii="Verdana" w:eastAsia="Times New Roman" w:hAnsi="Verdana" w:cs="Segoe UI"/>
          <w:sz w:val="24"/>
          <w:szCs w:val="24"/>
          <w:lang w:eastAsia="en-GB"/>
        </w:rPr>
      </w:pPr>
      <w:r w:rsidRPr="00BC2C7E">
        <w:rPr>
          <w:rFonts w:ascii="Verdana" w:eastAsia="Times New Roman" w:hAnsi="Verdana" w:cs="Segoe UI"/>
          <w:sz w:val="24"/>
          <w:szCs w:val="24"/>
          <w:lang w:val="en-US" w:eastAsia="en-GB"/>
        </w:rPr>
        <w:t xml:space="preserve">This table highlights priority risks, current controls and mitigation actions for the Listening to People </w:t>
      </w:r>
      <w:proofErr w:type="spellStart"/>
      <w:r w:rsidRPr="00BC2C7E">
        <w:rPr>
          <w:rFonts w:ascii="Verdana" w:eastAsia="Times New Roman" w:hAnsi="Verdana" w:cs="Segoe UI"/>
          <w:sz w:val="24"/>
          <w:szCs w:val="24"/>
          <w:lang w:val="en-US" w:eastAsia="en-GB"/>
        </w:rPr>
        <w:t>programme</w:t>
      </w:r>
      <w:proofErr w:type="spellEnd"/>
      <w:r w:rsidRPr="00BC2C7E">
        <w:rPr>
          <w:rFonts w:ascii="Verdana" w:eastAsia="Times New Roman" w:hAnsi="Verdana" w:cs="Segoe UI"/>
          <w:sz w:val="24"/>
          <w:szCs w:val="24"/>
          <w:lang w:val="en-US" w:eastAsia="en-GB"/>
        </w:rPr>
        <w:t>, with clear ownership for assurance.</w:t>
      </w:r>
      <w:r w:rsidRPr="00BC2C7E">
        <w:rPr>
          <w:rFonts w:ascii="Verdana" w:eastAsia="Times New Roman" w:hAnsi="Verdana" w:cs="Segoe UI"/>
          <w:sz w:val="24"/>
          <w:szCs w:val="24"/>
          <w:lang w:eastAsia="en-GB"/>
        </w:rPr>
        <w:t> </w:t>
      </w:r>
    </w:p>
    <w:p w14:paraId="2907FE6D" w14:textId="77777777" w:rsidR="00BC2C7E" w:rsidRPr="00BC2C7E" w:rsidRDefault="00BC2C7E" w:rsidP="00BC2C7E">
      <w:pPr>
        <w:spacing w:after="0" w:line="240" w:lineRule="auto"/>
        <w:textAlignment w:val="baseline"/>
        <w:rPr>
          <w:rFonts w:ascii="Verdana" w:eastAsia="Times New Roman" w:hAnsi="Verdana" w:cs="Segoe UI"/>
          <w:sz w:val="20"/>
          <w:szCs w:val="20"/>
          <w:lang w:eastAsia="en-GB"/>
        </w:rPr>
      </w:pPr>
    </w:p>
    <w:tbl>
      <w:tblPr>
        <w:tblW w:w="5000" w:type="pct"/>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693"/>
        <w:gridCol w:w="1561"/>
        <w:gridCol w:w="1950"/>
        <w:gridCol w:w="2067"/>
        <w:gridCol w:w="1739"/>
      </w:tblGrid>
      <w:tr w:rsidR="0089796E" w:rsidRPr="00BC2C7E" w14:paraId="6D3255B1" w14:textId="77777777" w:rsidTr="009238F3">
        <w:trPr>
          <w:trHeight w:val="300"/>
        </w:trPr>
        <w:tc>
          <w:tcPr>
            <w:tcW w:w="940" w:type="pct"/>
            <w:tcBorders>
              <w:top w:val="single" w:sz="6" w:space="0" w:color="auto"/>
              <w:left w:val="single" w:sz="6" w:space="0" w:color="auto"/>
              <w:bottom w:val="single" w:sz="6" w:space="0" w:color="auto"/>
              <w:right w:val="single" w:sz="6" w:space="0" w:color="auto"/>
            </w:tcBorders>
            <w:shd w:val="clear" w:color="auto" w:fill="auto"/>
            <w:hideMark/>
          </w:tcPr>
          <w:p w14:paraId="6C64873C" w14:textId="77777777" w:rsidR="00BC2C7E" w:rsidRPr="00BC2C7E" w:rsidRDefault="00BC2C7E" w:rsidP="00BC2C7E">
            <w:pPr>
              <w:spacing w:after="0" w:line="240" w:lineRule="auto"/>
              <w:textAlignment w:val="baseline"/>
              <w:rPr>
                <w:rFonts w:ascii="Verdana" w:eastAsia="Times New Roman" w:hAnsi="Verdana" w:cs="Times New Roman"/>
                <w:b/>
                <w:bCs/>
                <w:sz w:val="24"/>
                <w:szCs w:val="24"/>
                <w:lang w:eastAsia="en-GB"/>
              </w:rPr>
            </w:pPr>
            <w:r w:rsidRPr="00BC2C7E">
              <w:rPr>
                <w:rFonts w:ascii="Verdana" w:eastAsia="Times New Roman" w:hAnsi="Verdana" w:cs="Times New Roman"/>
                <w:b/>
                <w:bCs/>
                <w:sz w:val="24"/>
                <w:szCs w:val="24"/>
                <w:lang w:val="en-US" w:eastAsia="en-GB"/>
              </w:rPr>
              <w:t>Risk Area</w:t>
            </w:r>
            <w:r w:rsidRPr="00BC2C7E">
              <w:rPr>
                <w:rFonts w:ascii="Verdana" w:eastAsia="Times New Roman" w:hAnsi="Verdana" w:cs="Times New Roman"/>
                <w:b/>
                <w:bCs/>
                <w:sz w:val="24"/>
                <w:szCs w:val="24"/>
                <w:lang w:eastAsia="en-GB"/>
              </w:rPr>
              <w:t> </w:t>
            </w:r>
          </w:p>
        </w:tc>
        <w:tc>
          <w:tcPr>
            <w:tcW w:w="866" w:type="pct"/>
            <w:tcBorders>
              <w:top w:val="single" w:sz="6" w:space="0" w:color="auto"/>
              <w:left w:val="single" w:sz="6" w:space="0" w:color="auto"/>
              <w:bottom w:val="single" w:sz="6" w:space="0" w:color="auto"/>
              <w:right w:val="single" w:sz="6" w:space="0" w:color="auto"/>
            </w:tcBorders>
            <w:shd w:val="clear" w:color="auto" w:fill="auto"/>
            <w:hideMark/>
          </w:tcPr>
          <w:p w14:paraId="67A4FAFC" w14:textId="77777777" w:rsidR="00BC2C7E" w:rsidRPr="00BC2C7E" w:rsidRDefault="00BC2C7E" w:rsidP="00BC2C7E">
            <w:pPr>
              <w:spacing w:after="0" w:line="240" w:lineRule="auto"/>
              <w:textAlignment w:val="baseline"/>
              <w:rPr>
                <w:rFonts w:ascii="Verdana" w:eastAsia="Times New Roman" w:hAnsi="Verdana" w:cs="Times New Roman"/>
                <w:b/>
                <w:bCs/>
                <w:sz w:val="24"/>
                <w:szCs w:val="24"/>
                <w:lang w:eastAsia="en-GB"/>
              </w:rPr>
            </w:pPr>
            <w:r w:rsidRPr="00BC2C7E">
              <w:rPr>
                <w:rFonts w:ascii="Verdana" w:eastAsia="Times New Roman" w:hAnsi="Verdana" w:cs="Times New Roman"/>
                <w:b/>
                <w:bCs/>
                <w:sz w:val="24"/>
                <w:szCs w:val="24"/>
                <w:lang w:val="en-US" w:eastAsia="en-GB"/>
              </w:rPr>
              <w:t>Risk Rating (Impact × Likelihood)</w:t>
            </w:r>
            <w:r w:rsidRPr="00BC2C7E">
              <w:rPr>
                <w:rFonts w:ascii="Verdana" w:eastAsia="Times New Roman" w:hAnsi="Verdana" w:cs="Times New Roman"/>
                <w:b/>
                <w:bCs/>
                <w:sz w:val="24"/>
                <w:szCs w:val="24"/>
                <w:lang w:eastAsia="en-GB"/>
              </w:rPr>
              <w:t> </w:t>
            </w:r>
          </w:p>
        </w:tc>
        <w:tc>
          <w:tcPr>
            <w:tcW w:w="1082" w:type="pct"/>
            <w:tcBorders>
              <w:top w:val="single" w:sz="6" w:space="0" w:color="auto"/>
              <w:left w:val="single" w:sz="6" w:space="0" w:color="auto"/>
              <w:bottom w:val="single" w:sz="6" w:space="0" w:color="auto"/>
              <w:right w:val="single" w:sz="6" w:space="0" w:color="auto"/>
            </w:tcBorders>
            <w:shd w:val="clear" w:color="auto" w:fill="auto"/>
            <w:hideMark/>
          </w:tcPr>
          <w:p w14:paraId="3F3D8EDB" w14:textId="77777777" w:rsidR="00BC2C7E" w:rsidRPr="00BC2C7E" w:rsidRDefault="00BC2C7E" w:rsidP="00BC2C7E">
            <w:pPr>
              <w:spacing w:after="0" w:line="240" w:lineRule="auto"/>
              <w:textAlignment w:val="baseline"/>
              <w:rPr>
                <w:rFonts w:ascii="Verdana" w:eastAsia="Times New Roman" w:hAnsi="Verdana" w:cs="Times New Roman"/>
                <w:b/>
                <w:bCs/>
                <w:sz w:val="24"/>
                <w:szCs w:val="24"/>
                <w:lang w:eastAsia="en-GB"/>
              </w:rPr>
            </w:pPr>
            <w:r w:rsidRPr="00BC2C7E">
              <w:rPr>
                <w:rFonts w:ascii="Verdana" w:eastAsia="Times New Roman" w:hAnsi="Verdana" w:cs="Times New Roman"/>
                <w:b/>
                <w:bCs/>
                <w:sz w:val="24"/>
                <w:szCs w:val="24"/>
                <w:lang w:val="en-US" w:eastAsia="en-GB"/>
              </w:rPr>
              <w:t>Current Controls</w:t>
            </w:r>
            <w:r w:rsidRPr="00BC2C7E">
              <w:rPr>
                <w:rFonts w:ascii="Verdana" w:eastAsia="Times New Roman" w:hAnsi="Verdana" w:cs="Times New Roman"/>
                <w:b/>
                <w:bCs/>
                <w:sz w:val="24"/>
                <w:szCs w:val="24"/>
                <w:lang w:eastAsia="en-GB"/>
              </w:rPr>
              <w:t> </w:t>
            </w:r>
          </w:p>
        </w:tc>
        <w:tc>
          <w:tcPr>
            <w:tcW w:w="1147" w:type="pct"/>
            <w:tcBorders>
              <w:top w:val="single" w:sz="6" w:space="0" w:color="auto"/>
              <w:left w:val="single" w:sz="6" w:space="0" w:color="auto"/>
              <w:bottom w:val="single" w:sz="6" w:space="0" w:color="auto"/>
              <w:right w:val="single" w:sz="6" w:space="0" w:color="auto"/>
            </w:tcBorders>
            <w:shd w:val="clear" w:color="auto" w:fill="auto"/>
            <w:hideMark/>
          </w:tcPr>
          <w:p w14:paraId="379E4452" w14:textId="77777777" w:rsidR="00BC2C7E" w:rsidRPr="00BC2C7E" w:rsidRDefault="00BC2C7E" w:rsidP="00BC2C7E">
            <w:pPr>
              <w:spacing w:after="0" w:line="240" w:lineRule="auto"/>
              <w:textAlignment w:val="baseline"/>
              <w:rPr>
                <w:rFonts w:ascii="Verdana" w:eastAsia="Times New Roman" w:hAnsi="Verdana" w:cs="Times New Roman"/>
                <w:b/>
                <w:bCs/>
                <w:sz w:val="24"/>
                <w:szCs w:val="24"/>
                <w:lang w:eastAsia="en-GB"/>
              </w:rPr>
            </w:pPr>
            <w:r w:rsidRPr="00BC2C7E">
              <w:rPr>
                <w:rFonts w:ascii="Verdana" w:eastAsia="Times New Roman" w:hAnsi="Verdana" w:cs="Times New Roman"/>
                <w:b/>
                <w:bCs/>
                <w:sz w:val="24"/>
                <w:szCs w:val="24"/>
                <w:lang w:val="en-US" w:eastAsia="en-GB"/>
              </w:rPr>
              <w:t>Further Mitigation</w:t>
            </w:r>
            <w:r w:rsidRPr="00BC2C7E">
              <w:rPr>
                <w:rFonts w:ascii="Verdana" w:eastAsia="Times New Roman" w:hAnsi="Verdana" w:cs="Times New Roman"/>
                <w:b/>
                <w:bCs/>
                <w:sz w:val="24"/>
                <w:szCs w:val="24"/>
                <w:lang w:eastAsia="en-GB"/>
              </w:rPr>
              <w:t> </w:t>
            </w:r>
          </w:p>
        </w:tc>
        <w:tc>
          <w:tcPr>
            <w:tcW w:w="965" w:type="pct"/>
            <w:tcBorders>
              <w:top w:val="single" w:sz="6" w:space="0" w:color="auto"/>
              <w:left w:val="single" w:sz="6" w:space="0" w:color="auto"/>
              <w:bottom w:val="single" w:sz="6" w:space="0" w:color="auto"/>
              <w:right w:val="single" w:sz="6" w:space="0" w:color="auto"/>
            </w:tcBorders>
            <w:shd w:val="clear" w:color="auto" w:fill="auto"/>
            <w:hideMark/>
          </w:tcPr>
          <w:p w14:paraId="4DAFD2AF" w14:textId="684D6911" w:rsidR="00BC2C7E" w:rsidRPr="00BC2C7E" w:rsidRDefault="00BC2C7E" w:rsidP="00BC2C7E">
            <w:pPr>
              <w:spacing w:after="0" w:line="240" w:lineRule="auto"/>
              <w:textAlignment w:val="baseline"/>
              <w:rPr>
                <w:rFonts w:ascii="Verdana" w:eastAsia="Times New Roman" w:hAnsi="Verdana" w:cs="Times New Roman"/>
                <w:b/>
                <w:bCs/>
                <w:sz w:val="24"/>
                <w:szCs w:val="24"/>
                <w:lang w:eastAsia="en-GB"/>
              </w:rPr>
            </w:pPr>
            <w:r w:rsidRPr="00BC2C7E">
              <w:rPr>
                <w:rFonts w:ascii="Verdana" w:eastAsia="Times New Roman" w:hAnsi="Verdana" w:cs="Times New Roman"/>
                <w:b/>
                <w:bCs/>
                <w:sz w:val="24"/>
                <w:szCs w:val="24"/>
                <w:lang w:val="en-US" w:eastAsia="en-GB"/>
              </w:rPr>
              <w:t>Owner</w:t>
            </w:r>
            <w:r w:rsidRPr="00BC2C7E">
              <w:rPr>
                <w:rFonts w:ascii="Verdana" w:eastAsia="Times New Roman" w:hAnsi="Verdana" w:cs="Times New Roman"/>
                <w:b/>
                <w:bCs/>
                <w:sz w:val="24"/>
                <w:szCs w:val="24"/>
                <w:lang w:eastAsia="en-GB"/>
              </w:rPr>
              <w:t> </w:t>
            </w:r>
          </w:p>
        </w:tc>
      </w:tr>
      <w:tr w:rsidR="0089796E" w:rsidRPr="00BC2C7E" w14:paraId="53FDAE33" w14:textId="77777777" w:rsidTr="009238F3">
        <w:trPr>
          <w:trHeight w:val="300"/>
        </w:trPr>
        <w:tc>
          <w:tcPr>
            <w:tcW w:w="940" w:type="pct"/>
            <w:tcBorders>
              <w:top w:val="single" w:sz="6" w:space="0" w:color="auto"/>
              <w:left w:val="single" w:sz="6" w:space="0" w:color="auto"/>
              <w:bottom w:val="single" w:sz="6" w:space="0" w:color="auto"/>
              <w:right w:val="single" w:sz="6" w:space="0" w:color="auto"/>
            </w:tcBorders>
            <w:shd w:val="clear" w:color="auto" w:fill="auto"/>
          </w:tcPr>
          <w:p w14:paraId="1D68B59A"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Systems &amp; data reliability </w:t>
            </w:r>
          </w:p>
        </w:tc>
        <w:tc>
          <w:tcPr>
            <w:tcW w:w="866" w:type="pct"/>
            <w:tcBorders>
              <w:top w:val="single" w:sz="6" w:space="0" w:color="auto"/>
              <w:left w:val="single" w:sz="6" w:space="0" w:color="auto"/>
              <w:bottom w:val="single" w:sz="6" w:space="0" w:color="auto"/>
              <w:right w:val="single" w:sz="6" w:space="0" w:color="auto"/>
            </w:tcBorders>
            <w:shd w:val="clear" w:color="auto" w:fill="C00000"/>
          </w:tcPr>
          <w:p w14:paraId="1D65EF08" w14:textId="77777777" w:rsidR="0018060F"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 xml:space="preserve">Very High </w:t>
            </w:r>
          </w:p>
          <w:p w14:paraId="550B9ED3" w14:textId="25D2A739"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(4 × 5) </w:t>
            </w:r>
          </w:p>
        </w:tc>
        <w:tc>
          <w:tcPr>
            <w:tcW w:w="1082" w:type="pct"/>
            <w:tcBorders>
              <w:top w:val="single" w:sz="6" w:space="0" w:color="auto"/>
              <w:left w:val="single" w:sz="6" w:space="0" w:color="auto"/>
              <w:bottom w:val="single" w:sz="6" w:space="0" w:color="auto"/>
              <w:right w:val="single" w:sz="6" w:space="0" w:color="auto"/>
            </w:tcBorders>
            <w:shd w:val="clear" w:color="auto" w:fill="auto"/>
          </w:tcPr>
          <w:p w14:paraId="39D8E23D"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Manual workarounds and national templates </w:t>
            </w:r>
          </w:p>
        </w:tc>
        <w:tc>
          <w:tcPr>
            <w:tcW w:w="1147" w:type="pct"/>
            <w:tcBorders>
              <w:top w:val="single" w:sz="6" w:space="0" w:color="auto"/>
              <w:left w:val="single" w:sz="6" w:space="0" w:color="auto"/>
              <w:bottom w:val="single" w:sz="6" w:space="0" w:color="auto"/>
              <w:right w:val="single" w:sz="6" w:space="0" w:color="auto"/>
            </w:tcBorders>
            <w:shd w:val="clear" w:color="auto" w:fill="auto"/>
          </w:tcPr>
          <w:p w14:paraId="506C12FA"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Datix updates, digital reporting plan and targeted training </w:t>
            </w:r>
          </w:p>
        </w:tc>
        <w:tc>
          <w:tcPr>
            <w:tcW w:w="965" w:type="pct"/>
            <w:tcBorders>
              <w:top w:val="single" w:sz="6" w:space="0" w:color="auto"/>
              <w:left w:val="single" w:sz="6" w:space="0" w:color="auto"/>
              <w:bottom w:val="single" w:sz="6" w:space="0" w:color="auto"/>
              <w:right w:val="single" w:sz="6" w:space="0" w:color="auto"/>
            </w:tcBorders>
            <w:shd w:val="clear" w:color="auto" w:fill="auto"/>
          </w:tcPr>
          <w:p w14:paraId="5D20F256"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Corporate Head of Concerns Assurance; Digital Intelligence Business Partner </w:t>
            </w:r>
          </w:p>
        </w:tc>
      </w:tr>
      <w:tr w:rsidR="0089796E" w:rsidRPr="00BC2C7E" w14:paraId="1DB06B6F" w14:textId="77777777" w:rsidTr="009238F3">
        <w:trPr>
          <w:trHeight w:val="300"/>
        </w:trPr>
        <w:tc>
          <w:tcPr>
            <w:tcW w:w="940" w:type="pct"/>
            <w:tcBorders>
              <w:top w:val="single" w:sz="6" w:space="0" w:color="auto"/>
              <w:left w:val="single" w:sz="6" w:space="0" w:color="auto"/>
              <w:bottom w:val="single" w:sz="6" w:space="0" w:color="auto"/>
              <w:right w:val="single" w:sz="6" w:space="0" w:color="auto"/>
            </w:tcBorders>
            <w:shd w:val="clear" w:color="auto" w:fill="auto"/>
          </w:tcPr>
          <w:p w14:paraId="2CE1D9A2"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Backlog pressures </w:t>
            </w:r>
          </w:p>
        </w:tc>
        <w:tc>
          <w:tcPr>
            <w:tcW w:w="866" w:type="pct"/>
            <w:tcBorders>
              <w:top w:val="single" w:sz="6" w:space="0" w:color="auto"/>
              <w:left w:val="single" w:sz="6" w:space="0" w:color="auto"/>
              <w:bottom w:val="single" w:sz="6" w:space="0" w:color="auto"/>
              <w:right w:val="single" w:sz="6" w:space="0" w:color="auto"/>
            </w:tcBorders>
            <w:shd w:val="clear" w:color="auto" w:fill="C00000"/>
          </w:tcPr>
          <w:p w14:paraId="26859940" w14:textId="77777777" w:rsidR="0018060F"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 xml:space="preserve">Very High </w:t>
            </w:r>
          </w:p>
          <w:p w14:paraId="6F66DD30" w14:textId="6A8FB7A8"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(4 × 5) </w:t>
            </w:r>
          </w:p>
        </w:tc>
        <w:tc>
          <w:tcPr>
            <w:tcW w:w="1082" w:type="pct"/>
            <w:tcBorders>
              <w:top w:val="single" w:sz="6" w:space="0" w:color="auto"/>
              <w:left w:val="single" w:sz="6" w:space="0" w:color="auto"/>
              <w:bottom w:val="single" w:sz="6" w:space="0" w:color="auto"/>
              <w:right w:val="single" w:sz="6" w:space="0" w:color="auto"/>
            </w:tcBorders>
            <w:shd w:val="clear" w:color="auto" w:fill="auto"/>
          </w:tcPr>
          <w:p w14:paraId="58406343"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Service Group improvement plans </w:t>
            </w:r>
          </w:p>
        </w:tc>
        <w:tc>
          <w:tcPr>
            <w:tcW w:w="1147" w:type="pct"/>
            <w:tcBorders>
              <w:top w:val="single" w:sz="6" w:space="0" w:color="auto"/>
              <w:left w:val="single" w:sz="6" w:space="0" w:color="auto"/>
              <w:bottom w:val="single" w:sz="6" w:space="0" w:color="auto"/>
              <w:right w:val="single" w:sz="6" w:space="0" w:color="auto"/>
            </w:tcBorders>
            <w:shd w:val="clear" w:color="auto" w:fill="auto"/>
          </w:tcPr>
          <w:p w14:paraId="392CDFAD"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Targeted corporate support and oversight </w:t>
            </w:r>
          </w:p>
        </w:tc>
        <w:tc>
          <w:tcPr>
            <w:tcW w:w="965" w:type="pct"/>
            <w:tcBorders>
              <w:top w:val="single" w:sz="6" w:space="0" w:color="auto"/>
              <w:left w:val="single" w:sz="6" w:space="0" w:color="auto"/>
              <w:bottom w:val="single" w:sz="6" w:space="0" w:color="auto"/>
              <w:right w:val="single" w:sz="6" w:space="0" w:color="auto"/>
            </w:tcBorders>
            <w:shd w:val="clear" w:color="auto" w:fill="auto"/>
          </w:tcPr>
          <w:p w14:paraId="098DBDA0" w14:textId="77777777" w:rsidR="0089796E" w:rsidRPr="00BC2C7E" w:rsidRDefault="0089796E"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Service Group Directors </w:t>
            </w:r>
          </w:p>
        </w:tc>
      </w:tr>
      <w:tr w:rsidR="0089796E" w:rsidRPr="00BC2C7E" w14:paraId="4300AEEE" w14:textId="77777777" w:rsidTr="009238F3">
        <w:trPr>
          <w:trHeight w:val="300"/>
        </w:trPr>
        <w:tc>
          <w:tcPr>
            <w:tcW w:w="940" w:type="pct"/>
            <w:tcBorders>
              <w:top w:val="single" w:sz="6" w:space="0" w:color="auto"/>
              <w:left w:val="single" w:sz="6" w:space="0" w:color="auto"/>
              <w:bottom w:val="single" w:sz="6" w:space="0" w:color="auto"/>
              <w:right w:val="single" w:sz="6" w:space="0" w:color="auto"/>
            </w:tcBorders>
            <w:shd w:val="clear" w:color="auto" w:fill="auto"/>
            <w:hideMark/>
          </w:tcPr>
          <w:p w14:paraId="3F0E6A80"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Workforce capacity</w:t>
            </w:r>
            <w:r w:rsidRPr="00BC2C7E">
              <w:rPr>
                <w:rFonts w:ascii="Verdana" w:eastAsia="Times New Roman" w:hAnsi="Verdana" w:cs="Times New Roman"/>
                <w:sz w:val="24"/>
                <w:szCs w:val="24"/>
                <w:lang w:eastAsia="en-GB"/>
              </w:rPr>
              <w:t> </w:t>
            </w:r>
          </w:p>
        </w:tc>
        <w:tc>
          <w:tcPr>
            <w:tcW w:w="866" w:type="pct"/>
            <w:tcBorders>
              <w:top w:val="single" w:sz="6" w:space="0" w:color="auto"/>
              <w:left w:val="single" w:sz="6" w:space="0" w:color="auto"/>
              <w:bottom w:val="single" w:sz="6" w:space="0" w:color="auto"/>
              <w:right w:val="single" w:sz="6" w:space="0" w:color="auto"/>
            </w:tcBorders>
            <w:shd w:val="clear" w:color="auto" w:fill="FF0000"/>
            <w:hideMark/>
          </w:tcPr>
          <w:p w14:paraId="4BBB35DA" w14:textId="77777777" w:rsidR="0018060F" w:rsidRDefault="00BC2C7E" w:rsidP="00BC2C7E">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 xml:space="preserve">High </w:t>
            </w:r>
          </w:p>
          <w:p w14:paraId="27188C70" w14:textId="6E54F155"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(4 × 4)</w:t>
            </w:r>
            <w:r w:rsidRPr="00BC2C7E">
              <w:rPr>
                <w:rFonts w:ascii="Verdana" w:eastAsia="Times New Roman" w:hAnsi="Verdana" w:cs="Times New Roman"/>
                <w:sz w:val="24"/>
                <w:szCs w:val="24"/>
                <w:lang w:eastAsia="en-GB"/>
              </w:rPr>
              <w:t> </w:t>
            </w:r>
          </w:p>
        </w:tc>
        <w:tc>
          <w:tcPr>
            <w:tcW w:w="1082" w:type="pct"/>
            <w:tcBorders>
              <w:top w:val="single" w:sz="6" w:space="0" w:color="auto"/>
              <w:left w:val="single" w:sz="6" w:space="0" w:color="auto"/>
              <w:bottom w:val="single" w:sz="6" w:space="0" w:color="auto"/>
              <w:right w:val="single" w:sz="6" w:space="0" w:color="auto"/>
            </w:tcBorders>
            <w:shd w:val="clear" w:color="auto" w:fill="auto"/>
            <w:hideMark/>
          </w:tcPr>
          <w:p w14:paraId="73D079A7"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Workforce plan in place</w:t>
            </w:r>
            <w:r w:rsidRPr="00BC2C7E">
              <w:rPr>
                <w:rFonts w:ascii="Verdana" w:eastAsia="Times New Roman" w:hAnsi="Verdana" w:cs="Times New Roman"/>
                <w:sz w:val="24"/>
                <w:szCs w:val="24"/>
                <w:lang w:eastAsia="en-GB"/>
              </w:rPr>
              <w:t> </w:t>
            </w:r>
          </w:p>
        </w:tc>
        <w:tc>
          <w:tcPr>
            <w:tcW w:w="1147" w:type="pct"/>
            <w:tcBorders>
              <w:top w:val="single" w:sz="6" w:space="0" w:color="auto"/>
              <w:left w:val="single" w:sz="6" w:space="0" w:color="auto"/>
              <w:bottom w:val="single" w:sz="6" w:space="0" w:color="auto"/>
              <w:right w:val="single" w:sz="6" w:space="0" w:color="auto"/>
            </w:tcBorders>
            <w:shd w:val="clear" w:color="auto" w:fill="auto"/>
            <w:hideMark/>
          </w:tcPr>
          <w:p w14:paraId="1FD7FB20"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Phased delivery and Service Group workforce planning</w:t>
            </w:r>
            <w:r w:rsidRPr="00BC2C7E">
              <w:rPr>
                <w:rFonts w:ascii="Verdana" w:eastAsia="Times New Roman" w:hAnsi="Verdana" w:cs="Times New Roman"/>
                <w:sz w:val="24"/>
                <w:szCs w:val="24"/>
                <w:lang w:eastAsia="en-GB"/>
              </w:rPr>
              <w:t> </w:t>
            </w:r>
          </w:p>
        </w:tc>
        <w:tc>
          <w:tcPr>
            <w:tcW w:w="965" w:type="pct"/>
            <w:tcBorders>
              <w:top w:val="single" w:sz="6" w:space="0" w:color="auto"/>
              <w:left w:val="single" w:sz="6" w:space="0" w:color="auto"/>
              <w:bottom w:val="single" w:sz="6" w:space="0" w:color="auto"/>
              <w:right w:val="single" w:sz="6" w:space="0" w:color="auto"/>
            </w:tcBorders>
            <w:shd w:val="clear" w:color="auto" w:fill="auto"/>
            <w:hideMark/>
          </w:tcPr>
          <w:p w14:paraId="3BC9AD0D"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Corporate Head of Quality &amp; Safety; Service Group Directors; Director of Workforce</w:t>
            </w:r>
            <w:r w:rsidRPr="00BC2C7E">
              <w:rPr>
                <w:rFonts w:ascii="Verdana" w:eastAsia="Times New Roman" w:hAnsi="Verdana" w:cs="Times New Roman"/>
                <w:sz w:val="24"/>
                <w:szCs w:val="24"/>
                <w:lang w:eastAsia="en-GB"/>
              </w:rPr>
              <w:t> </w:t>
            </w:r>
          </w:p>
        </w:tc>
      </w:tr>
      <w:tr w:rsidR="00CE4A76" w:rsidRPr="00BC2C7E" w14:paraId="6B511AB1" w14:textId="77777777" w:rsidTr="009238F3">
        <w:trPr>
          <w:trHeight w:val="300"/>
        </w:trPr>
        <w:tc>
          <w:tcPr>
            <w:tcW w:w="940" w:type="pct"/>
            <w:tcBorders>
              <w:top w:val="single" w:sz="6" w:space="0" w:color="auto"/>
              <w:left w:val="single" w:sz="6" w:space="0" w:color="auto"/>
              <w:bottom w:val="single" w:sz="6" w:space="0" w:color="auto"/>
              <w:right w:val="single" w:sz="6" w:space="0" w:color="auto"/>
            </w:tcBorders>
            <w:shd w:val="clear" w:color="auto" w:fill="auto"/>
          </w:tcPr>
          <w:p w14:paraId="69B8C4A0" w14:textId="77777777" w:rsidR="00CE4A76" w:rsidRPr="00BC2C7E" w:rsidRDefault="00CE4A76"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Engagement with P</w:t>
            </w:r>
            <w:r>
              <w:rPr>
                <w:rFonts w:ascii="Verdana" w:eastAsia="Times New Roman" w:hAnsi="Verdana" w:cs="Times New Roman"/>
                <w:sz w:val="24"/>
                <w:szCs w:val="24"/>
                <w:lang w:val="en-US" w:eastAsia="en-GB"/>
              </w:rPr>
              <w:t xml:space="preserve">rimary </w:t>
            </w:r>
            <w:r w:rsidRPr="00BC2C7E">
              <w:rPr>
                <w:rFonts w:ascii="Verdana" w:eastAsia="Times New Roman" w:hAnsi="Verdana" w:cs="Times New Roman"/>
                <w:sz w:val="24"/>
                <w:szCs w:val="24"/>
                <w:lang w:val="en-US" w:eastAsia="en-GB"/>
              </w:rPr>
              <w:t>C</w:t>
            </w:r>
            <w:r>
              <w:rPr>
                <w:rFonts w:ascii="Verdana" w:eastAsia="Times New Roman" w:hAnsi="Verdana" w:cs="Times New Roman"/>
                <w:sz w:val="24"/>
                <w:szCs w:val="24"/>
                <w:lang w:val="en-US" w:eastAsia="en-GB"/>
              </w:rPr>
              <w:t xml:space="preserve">are </w:t>
            </w:r>
            <w:r w:rsidRPr="00BC2C7E">
              <w:rPr>
                <w:rFonts w:ascii="Verdana" w:eastAsia="Times New Roman" w:hAnsi="Verdana" w:cs="Times New Roman"/>
                <w:sz w:val="24"/>
                <w:szCs w:val="24"/>
                <w:lang w:val="en-US" w:eastAsia="en-GB"/>
              </w:rPr>
              <w:t>P</w:t>
            </w:r>
            <w:r>
              <w:rPr>
                <w:rFonts w:ascii="Verdana" w:eastAsia="Times New Roman" w:hAnsi="Verdana" w:cs="Times New Roman"/>
                <w:sz w:val="24"/>
                <w:szCs w:val="24"/>
                <w:lang w:val="en-US" w:eastAsia="en-GB"/>
              </w:rPr>
              <w:t>rovider</w:t>
            </w:r>
            <w:r w:rsidRPr="00BC2C7E">
              <w:rPr>
                <w:rFonts w:ascii="Verdana" w:eastAsia="Times New Roman" w:hAnsi="Verdana" w:cs="Times New Roman"/>
                <w:sz w:val="24"/>
                <w:szCs w:val="24"/>
                <w:lang w:val="en-US" w:eastAsia="en-GB"/>
              </w:rPr>
              <w:t>s &amp; Independent Sector </w:t>
            </w:r>
          </w:p>
        </w:tc>
        <w:tc>
          <w:tcPr>
            <w:tcW w:w="866" w:type="pct"/>
            <w:tcBorders>
              <w:top w:val="single" w:sz="6" w:space="0" w:color="auto"/>
              <w:left w:val="single" w:sz="6" w:space="0" w:color="auto"/>
              <w:bottom w:val="single" w:sz="6" w:space="0" w:color="auto"/>
              <w:right w:val="single" w:sz="6" w:space="0" w:color="auto"/>
            </w:tcBorders>
            <w:shd w:val="clear" w:color="auto" w:fill="FFC000"/>
          </w:tcPr>
          <w:p w14:paraId="71FD69C0" w14:textId="77777777" w:rsidR="0018060F" w:rsidRDefault="00CE4A76"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 xml:space="preserve">Moderate–High </w:t>
            </w:r>
          </w:p>
          <w:p w14:paraId="705C153A" w14:textId="680DBC4B" w:rsidR="00CE4A76" w:rsidRPr="00BC2C7E" w:rsidRDefault="00CE4A76"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(4 × 3) </w:t>
            </w:r>
          </w:p>
        </w:tc>
        <w:tc>
          <w:tcPr>
            <w:tcW w:w="1082" w:type="pct"/>
            <w:tcBorders>
              <w:top w:val="single" w:sz="6" w:space="0" w:color="auto"/>
              <w:left w:val="single" w:sz="6" w:space="0" w:color="auto"/>
              <w:bottom w:val="single" w:sz="6" w:space="0" w:color="auto"/>
              <w:right w:val="single" w:sz="6" w:space="0" w:color="auto"/>
            </w:tcBorders>
            <w:shd w:val="clear" w:color="auto" w:fill="auto"/>
          </w:tcPr>
          <w:p w14:paraId="17A74084" w14:textId="77777777" w:rsidR="00CE4A76" w:rsidRPr="00BC2C7E" w:rsidRDefault="00CE4A76"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Early engagement activity </w:t>
            </w:r>
          </w:p>
        </w:tc>
        <w:tc>
          <w:tcPr>
            <w:tcW w:w="1147" w:type="pct"/>
            <w:tcBorders>
              <w:top w:val="single" w:sz="6" w:space="0" w:color="auto"/>
              <w:left w:val="single" w:sz="6" w:space="0" w:color="auto"/>
              <w:bottom w:val="single" w:sz="6" w:space="0" w:color="auto"/>
              <w:right w:val="single" w:sz="6" w:space="0" w:color="auto"/>
            </w:tcBorders>
            <w:shd w:val="clear" w:color="auto" w:fill="auto"/>
          </w:tcPr>
          <w:p w14:paraId="0662D7E8" w14:textId="77777777" w:rsidR="00CE4A76" w:rsidRPr="00BC2C7E" w:rsidRDefault="00CE4A76"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Formal engagement and mitigation plan </w:t>
            </w:r>
          </w:p>
        </w:tc>
        <w:tc>
          <w:tcPr>
            <w:tcW w:w="965" w:type="pct"/>
            <w:tcBorders>
              <w:top w:val="single" w:sz="6" w:space="0" w:color="auto"/>
              <w:left w:val="single" w:sz="6" w:space="0" w:color="auto"/>
              <w:bottom w:val="single" w:sz="6" w:space="0" w:color="auto"/>
              <w:right w:val="single" w:sz="6" w:space="0" w:color="auto"/>
            </w:tcBorders>
            <w:shd w:val="clear" w:color="auto" w:fill="auto"/>
          </w:tcPr>
          <w:p w14:paraId="19018B7E" w14:textId="77777777" w:rsidR="00CE4A76" w:rsidRPr="00BC2C7E" w:rsidRDefault="00CE4A76" w:rsidP="007A5CD2">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Associate Director of Nursing &amp; Patient Experience; Corporate Head of Quality &amp; Safety </w:t>
            </w:r>
          </w:p>
        </w:tc>
      </w:tr>
      <w:tr w:rsidR="0089796E" w:rsidRPr="00BC2C7E" w14:paraId="78AF4D2C" w14:textId="77777777" w:rsidTr="009238F3">
        <w:trPr>
          <w:trHeight w:val="300"/>
        </w:trPr>
        <w:tc>
          <w:tcPr>
            <w:tcW w:w="940" w:type="pct"/>
            <w:tcBorders>
              <w:top w:val="single" w:sz="6" w:space="0" w:color="auto"/>
              <w:left w:val="single" w:sz="6" w:space="0" w:color="auto"/>
              <w:bottom w:val="single" w:sz="6" w:space="0" w:color="auto"/>
              <w:right w:val="single" w:sz="6" w:space="0" w:color="auto"/>
            </w:tcBorders>
            <w:shd w:val="clear" w:color="auto" w:fill="auto"/>
            <w:hideMark/>
          </w:tcPr>
          <w:p w14:paraId="0ABCA19C"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Training &amp; education delivery</w:t>
            </w:r>
            <w:r w:rsidRPr="00BC2C7E">
              <w:rPr>
                <w:rFonts w:ascii="Verdana" w:eastAsia="Times New Roman" w:hAnsi="Verdana" w:cs="Times New Roman"/>
                <w:sz w:val="24"/>
                <w:szCs w:val="24"/>
                <w:lang w:eastAsia="en-GB"/>
              </w:rPr>
              <w:t> </w:t>
            </w:r>
          </w:p>
        </w:tc>
        <w:tc>
          <w:tcPr>
            <w:tcW w:w="866" w:type="pct"/>
            <w:tcBorders>
              <w:top w:val="single" w:sz="6" w:space="0" w:color="auto"/>
              <w:left w:val="single" w:sz="6" w:space="0" w:color="auto"/>
              <w:bottom w:val="single" w:sz="6" w:space="0" w:color="auto"/>
              <w:right w:val="single" w:sz="6" w:space="0" w:color="auto"/>
            </w:tcBorders>
            <w:shd w:val="clear" w:color="auto" w:fill="FFFF00"/>
            <w:hideMark/>
          </w:tcPr>
          <w:p w14:paraId="19D3677E" w14:textId="77777777" w:rsidR="0018060F" w:rsidRDefault="00BC2C7E" w:rsidP="00BC2C7E">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Moderate</w:t>
            </w:r>
          </w:p>
          <w:p w14:paraId="019098B8" w14:textId="5E361CF2"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(3 × 3)</w:t>
            </w:r>
            <w:r w:rsidRPr="00BC2C7E">
              <w:rPr>
                <w:rFonts w:ascii="Verdana" w:eastAsia="Times New Roman" w:hAnsi="Verdana" w:cs="Times New Roman"/>
                <w:sz w:val="24"/>
                <w:szCs w:val="24"/>
                <w:lang w:eastAsia="en-GB"/>
              </w:rPr>
              <w:t> </w:t>
            </w:r>
          </w:p>
        </w:tc>
        <w:tc>
          <w:tcPr>
            <w:tcW w:w="1082" w:type="pct"/>
            <w:tcBorders>
              <w:top w:val="single" w:sz="6" w:space="0" w:color="auto"/>
              <w:left w:val="single" w:sz="6" w:space="0" w:color="auto"/>
              <w:bottom w:val="single" w:sz="6" w:space="0" w:color="auto"/>
              <w:right w:val="single" w:sz="6" w:space="0" w:color="auto"/>
            </w:tcBorders>
            <w:shd w:val="clear" w:color="auto" w:fill="auto"/>
            <w:hideMark/>
          </w:tcPr>
          <w:p w14:paraId="233F836B"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Training implementation plan</w:t>
            </w:r>
            <w:r w:rsidRPr="00BC2C7E">
              <w:rPr>
                <w:rFonts w:ascii="Verdana" w:eastAsia="Times New Roman" w:hAnsi="Verdana" w:cs="Times New Roman"/>
                <w:sz w:val="24"/>
                <w:szCs w:val="24"/>
                <w:lang w:eastAsia="en-GB"/>
              </w:rPr>
              <w:t> </w:t>
            </w:r>
          </w:p>
        </w:tc>
        <w:tc>
          <w:tcPr>
            <w:tcW w:w="1147" w:type="pct"/>
            <w:tcBorders>
              <w:top w:val="single" w:sz="6" w:space="0" w:color="auto"/>
              <w:left w:val="single" w:sz="6" w:space="0" w:color="auto"/>
              <w:bottom w:val="single" w:sz="6" w:space="0" w:color="auto"/>
              <w:right w:val="single" w:sz="6" w:space="0" w:color="auto"/>
            </w:tcBorders>
            <w:shd w:val="clear" w:color="auto" w:fill="auto"/>
            <w:hideMark/>
          </w:tcPr>
          <w:p w14:paraId="56A158AB"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Service Group and corporate delivery support</w:t>
            </w:r>
            <w:r w:rsidRPr="00BC2C7E">
              <w:rPr>
                <w:rFonts w:ascii="Verdana" w:eastAsia="Times New Roman" w:hAnsi="Verdana" w:cs="Times New Roman"/>
                <w:sz w:val="24"/>
                <w:szCs w:val="24"/>
                <w:lang w:eastAsia="en-GB"/>
              </w:rPr>
              <w:t> </w:t>
            </w:r>
          </w:p>
        </w:tc>
        <w:tc>
          <w:tcPr>
            <w:tcW w:w="965" w:type="pct"/>
            <w:tcBorders>
              <w:top w:val="single" w:sz="6" w:space="0" w:color="auto"/>
              <w:left w:val="single" w:sz="6" w:space="0" w:color="auto"/>
              <w:bottom w:val="single" w:sz="6" w:space="0" w:color="auto"/>
              <w:right w:val="single" w:sz="6" w:space="0" w:color="auto"/>
            </w:tcBorders>
            <w:shd w:val="clear" w:color="auto" w:fill="auto"/>
            <w:hideMark/>
          </w:tcPr>
          <w:p w14:paraId="06D37154"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Associate Director of Nursing &amp; Patient Experience; Service Group Directors</w:t>
            </w:r>
            <w:r w:rsidRPr="00BC2C7E">
              <w:rPr>
                <w:rFonts w:ascii="Verdana" w:eastAsia="Times New Roman" w:hAnsi="Verdana" w:cs="Times New Roman"/>
                <w:sz w:val="24"/>
                <w:szCs w:val="24"/>
                <w:lang w:eastAsia="en-GB"/>
              </w:rPr>
              <w:t> </w:t>
            </w:r>
          </w:p>
        </w:tc>
      </w:tr>
      <w:tr w:rsidR="0089796E" w:rsidRPr="00BC2C7E" w14:paraId="4C801D9E" w14:textId="77777777" w:rsidTr="009238F3">
        <w:trPr>
          <w:trHeight w:val="300"/>
        </w:trPr>
        <w:tc>
          <w:tcPr>
            <w:tcW w:w="940" w:type="pct"/>
            <w:tcBorders>
              <w:top w:val="single" w:sz="6" w:space="0" w:color="auto"/>
              <w:left w:val="single" w:sz="6" w:space="0" w:color="auto"/>
              <w:bottom w:val="single" w:sz="6" w:space="0" w:color="auto"/>
              <w:right w:val="single" w:sz="6" w:space="0" w:color="auto"/>
            </w:tcBorders>
            <w:shd w:val="clear" w:color="auto" w:fill="auto"/>
            <w:hideMark/>
          </w:tcPr>
          <w:p w14:paraId="727E5F88" w14:textId="205A5861"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Internal &amp; external comms</w:t>
            </w:r>
            <w:r w:rsidRPr="00BC2C7E">
              <w:rPr>
                <w:rFonts w:ascii="Verdana" w:eastAsia="Times New Roman" w:hAnsi="Verdana" w:cs="Times New Roman"/>
                <w:sz w:val="24"/>
                <w:szCs w:val="24"/>
                <w:lang w:eastAsia="en-GB"/>
              </w:rPr>
              <w:t> </w:t>
            </w:r>
          </w:p>
        </w:tc>
        <w:tc>
          <w:tcPr>
            <w:tcW w:w="866" w:type="pct"/>
            <w:tcBorders>
              <w:top w:val="single" w:sz="6" w:space="0" w:color="auto"/>
              <w:left w:val="single" w:sz="6" w:space="0" w:color="auto"/>
              <w:bottom w:val="single" w:sz="6" w:space="0" w:color="auto"/>
              <w:right w:val="single" w:sz="6" w:space="0" w:color="auto"/>
            </w:tcBorders>
            <w:shd w:val="clear" w:color="auto" w:fill="FFFF00"/>
            <w:hideMark/>
          </w:tcPr>
          <w:p w14:paraId="409FC4DE" w14:textId="77777777" w:rsidR="009238F3" w:rsidRDefault="00BC2C7E" w:rsidP="00BC2C7E">
            <w:pPr>
              <w:spacing w:after="0" w:line="240" w:lineRule="auto"/>
              <w:textAlignment w:val="baseline"/>
              <w:rPr>
                <w:rFonts w:ascii="Verdana" w:eastAsia="Times New Roman" w:hAnsi="Verdana" w:cs="Times New Roman"/>
                <w:sz w:val="24"/>
                <w:szCs w:val="24"/>
                <w:lang w:val="en-US" w:eastAsia="en-GB"/>
              </w:rPr>
            </w:pPr>
            <w:r w:rsidRPr="00BC2C7E">
              <w:rPr>
                <w:rFonts w:ascii="Verdana" w:eastAsia="Times New Roman" w:hAnsi="Verdana" w:cs="Times New Roman"/>
                <w:sz w:val="24"/>
                <w:szCs w:val="24"/>
                <w:lang w:val="en-US" w:eastAsia="en-GB"/>
              </w:rPr>
              <w:t>Moderate</w:t>
            </w:r>
          </w:p>
          <w:p w14:paraId="7523E0DD" w14:textId="4C505BDA"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(2 × 4)</w:t>
            </w:r>
            <w:r w:rsidRPr="00BC2C7E">
              <w:rPr>
                <w:rFonts w:ascii="Verdana" w:eastAsia="Times New Roman" w:hAnsi="Verdana" w:cs="Times New Roman"/>
                <w:sz w:val="24"/>
                <w:szCs w:val="24"/>
                <w:lang w:eastAsia="en-GB"/>
              </w:rPr>
              <w:t> </w:t>
            </w:r>
          </w:p>
        </w:tc>
        <w:tc>
          <w:tcPr>
            <w:tcW w:w="1082" w:type="pct"/>
            <w:tcBorders>
              <w:top w:val="single" w:sz="6" w:space="0" w:color="auto"/>
              <w:left w:val="single" w:sz="6" w:space="0" w:color="auto"/>
              <w:bottom w:val="single" w:sz="6" w:space="0" w:color="auto"/>
              <w:right w:val="single" w:sz="6" w:space="0" w:color="auto"/>
            </w:tcBorders>
            <w:shd w:val="clear" w:color="auto" w:fill="auto"/>
            <w:hideMark/>
          </w:tcPr>
          <w:p w14:paraId="7C7663CF" w14:textId="62C58B02"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Implementation comms plan</w:t>
            </w:r>
            <w:r w:rsidRPr="00BC2C7E">
              <w:rPr>
                <w:rFonts w:ascii="Verdana" w:eastAsia="Times New Roman" w:hAnsi="Verdana" w:cs="Times New Roman"/>
                <w:sz w:val="24"/>
                <w:szCs w:val="24"/>
                <w:lang w:eastAsia="en-GB"/>
              </w:rPr>
              <w:t> </w:t>
            </w:r>
          </w:p>
        </w:tc>
        <w:tc>
          <w:tcPr>
            <w:tcW w:w="1147" w:type="pct"/>
            <w:tcBorders>
              <w:top w:val="single" w:sz="6" w:space="0" w:color="auto"/>
              <w:left w:val="single" w:sz="6" w:space="0" w:color="auto"/>
              <w:bottom w:val="single" w:sz="6" w:space="0" w:color="auto"/>
              <w:right w:val="single" w:sz="6" w:space="0" w:color="auto"/>
            </w:tcBorders>
            <w:shd w:val="clear" w:color="auto" w:fill="auto"/>
            <w:hideMark/>
          </w:tcPr>
          <w:p w14:paraId="64E00132" w14:textId="77777777"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Ongoing structured communications</w:t>
            </w:r>
            <w:r w:rsidRPr="00BC2C7E">
              <w:rPr>
                <w:rFonts w:ascii="Verdana" w:eastAsia="Times New Roman" w:hAnsi="Verdana" w:cs="Times New Roman"/>
                <w:sz w:val="24"/>
                <w:szCs w:val="24"/>
                <w:lang w:eastAsia="en-GB"/>
              </w:rPr>
              <w:t> </w:t>
            </w:r>
          </w:p>
        </w:tc>
        <w:tc>
          <w:tcPr>
            <w:tcW w:w="965" w:type="pct"/>
            <w:tcBorders>
              <w:top w:val="single" w:sz="6" w:space="0" w:color="auto"/>
              <w:left w:val="single" w:sz="6" w:space="0" w:color="auto"/>
              <w:bottom w:val="single" w:sz="6" w:space="0" w:color="auto"/>
              <w:right w:val="single" w:sz="6" w:space="0" w:color="auto"/>
            </w:tcBorders>
            <w:shd w:val="clear" w:color="auto" w:fill="auto"/>
            <w:hideMark/>
          </w:tcPr>
          <w:p w14:paraId="009AC4E4" w14:textId="6151EF36" w:rsidR="00BC2C7E" w:rsidRPr="00BC2C7E" w:rsidRDefault="00BC2C7E" w:rsidP="00BC2C7E">
            <w:pPr>
              <w:spacing w:after="0" w:line="240" w:lineRule="auto"/>
              <w:textAlignment w:val="baseline"/>
              <w:rPr>
                <w:rFonts w:ascii="Verdana" w:eastAsia="Times New Roman" w:hAnsi="Verdana" w:cs="Times New Roman"/>
                <w:sz w:val="24"/>
                <w:szCs w:val="24"/>
                <w:lang w:eastAsia="en-GB"/>
              </w:rPr>
            </w:pPr>
            <w:r w:rsidRPr="00BC2C7E">
              <w:rPr>
                <w:rFonts w:ascii="Verdana" w:eastAsia="Times New Roman" w:hAnsi="Verdana" w:cs="Times New Roman"/>
                <w:sz w:val="24"/>
                <w:szCs w:val="24"/>
                <w:lang w:val="en-US" w:eastAsia="en-GB"/>
              </w:rPr>
              <w:t>Executive Director for Insight, Communication &amp; Engagement</w:t>
            </w:r>
            <w:r w:rsidR="00105697">
              <w:rPr>
                <w:rFonts w:ascii="Verdana" w:eastAsia="Times New Roman" w:hAnsi="Verdana" w:cs="Times New Roman"/>
                <w:sz w:val="24"/>
                <w:szCs w:val="24"/>
                <w:lang w:val="en-US" w:eastAsia="en-GB"/>
              </w:rPr>
              <w:t xml:space="preserve"> (DICE)</w:t>
            </w:r>
            <w:r w:rsidRPr="00BC2C7E">
              <w:rPr>
                <w:rFonts w:ascii="Verdana" w:eastAsia="Times New Roman" w:hAnsi="Verdana" w:cs="Times New Roman"/>
                <w:sz w:val="24"/>
                <w:szCs w:val="24"/>
                <w:lang w:eastAsia="en-GB"/>
              </w:rPr>
              <w:t> </w:t>
            </w:r>
          </w:p>
        </w:tc>
      </w:tr>
    </w:tbl>
    <w:p w14:paraId="45A42C60" w14:textId="4A0132A4" w:rsidR="00C90582" w:rsidRPr="00105697" w:rsidRDefault="00C90582" w:rsidP="00105697">
      <w:pPr>
        <w:spacing w:before="100" w:beforeAutospacing="1" w:after="100" w:afterAutospacing="1" w:line="240" w:lineRule="auto"/>
        <w:rPr>
          <w:rFonts w:ascii="Verdana" w:eastAsia="Times New Roman" w:hAnsi="Verdana" w:cs="Times New Roman"/>
          <w:b/>
          <w:bCs/>
          <w:sz w:val="24"/>
          <w:szCs w:val="24"/>
          <w:lang w:eastAsia="en-GB"/>
        </w:rPr>
      </w:pPr>
      <w:r w:rsidRPr="00105697">
        <w:rPr>
          <w:rFonts w:ascii="Verdana" w:eastAsia="Times New Roman" w:hAnsi="Verdana" w:cs="Times New Roman"/>
          <w:b/>
          <w:bCs/>
          <w:sz w:val="24"/>
          <w:szCs w:val="24"/>
          <w:lang w:eastAsia="en-GB"/>
        </w:rPr>
        <w:t>Dependencies</w:t>
      </w:r>
    </w:p>
    <w:p w14:paraId="464728D4" w14:textId="77777777" w:rsidR="00C90582" w:rsidRPr="000927C0" w:rsidRDefault="00C90582"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Digital reporting capability</w:t>
      </w:r>
    </w:p>
    <w:p w14:paraId="32F63192" w14:textId="77777777" w:rsidR="00C90582" w:rsidRPr="000927C0" w:rsidRDefault="00C90582"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National digital work</w:t>
      </w:r>
    </w:p>
    <w:p w14:paraId="29D87EBD" w14:textId="77777777" w:rsidR="00C90582" w:rsidRPr="000927C0" w:rsidRDefault="00C90582"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Operational capacity</w:t>
      </w:r>
    </w:p>
    <w:p w14:paraId="7182E42F" w14:textId="28CE1489" w:rsidR="00C90582" w:rsidRDefault="00C90582"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National LTP guidance and supporting materials</w:t>
      </w:r>
    </w:p>
    <w:p w14:paraId="03C67429" w14:textId="3206E705" w:rsidR="00E36399" w:rsidRPr="000927C0" w:rsidRDefault="00E36399"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Successful staff engagement</w:t>
      </w:r>
    </w:p>
    <w:p w14:paraId="4578E2E0" w14:textId="77777777" w:rsidR="00C90582" w:rsidRPr="000927C0" w:rsidRDefault="00C90582"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Duty of Candour processes</w:t>
      </w:r>
    </w:p>
    <w:p w14:paraId="49A47255" w14:textId="77777777" w:rsidR="00C90582" w:rsidRPr="000927C0" w:rsidRDefault="00C90582"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Advocacy capacity and provision</w:t>
      </w:r>
    </w:p>
    <w:p w14:paraId="44C3013E" w14:textId="77777777" w:rsidR="00C90582" w:rsidRPr="000927C0" w:rsidRDefault="00C90582" w:rsidP="00C90582">
      <w:pPr>
        <w:numPr>
          <w:ilvl w:val="0"/>
          <w:numId w:val="7"/>
        </w:numPr>
        <w:spacing w:before="100" w:beforeAutospacing="1" w:after="100" w:afterAutospacing="1" w:line="240" w:lineRule="auto"/>
        <w:rPr>
          <w:rFonts w:ascii="Verdana" w:eastAsia="Times New Roman" w:hAnsi="Verdana" w:cs="Times New Roman"/>
          <w:sz w:val="24"/>
          <w:szCs w:val="24"/>
          <w:lang w:eastAsia="en-GB"/>
        </w:rPr>
      </w:pPr>
      <w:r w:rsidRPr="000927C0">
        <w:rPr>
          <w:rFonts w:ascii="Verdana" w:eastAsia="Times New Roman" w:hAnsi="Verdana" w:cs="Times New Roman"/>
          <w:sz w:val="24"/>
          <w:szCs w:val="24"/>
          <w:lang w:eastAsia="en-GB"/>
        </w:rPr>
        <w:t>DICE capacity</w:t>
      </w:r>
    </w:p>
    <w:p w14:paraId="0813839D" w14:textId="77777777" w:rsidR="00C90582" w:rsidRDefault="00C90582" w:rsidP="00105697">
      <w:pPr>
        <w:rPr>
          <w:rFonts w:ascii="Verdana" w:hAnsi="Verdana"/>
          <w:b/>
          <w:bCs/>
          <w:sz w:val="24"/>
          <w:szCs w:val="24"/>
        </w:rPr>
      </w:pPr>
      <w:r w:rsidRPr="00105697">
        <w:rPr>
          <w:rFonts w:ascii="Verdana" w:hAnsi="Verdana"/>
          <w:b/>
          <w:bCs/>
          <w:sz w:val="24"/>
          <w:szCs w:val="24"/>
        </w:rPr>
        <w:t>Stakeholder Engagement and Communication</w:t>
      </w:r>
    </w:p>
    <w:p w14:paraId="254018C2" w14:textId="2E0B599B" w:rsidR="002E78AF" w:rsidRDefault="002E78AF" w:rsidP="00105697">
      <w:pPr>
        <w:rPr>
          <w:rFonts w:ascii="Verdana" w:hAnsi="Verdana"/>
          <w:sz w:val="24"/>
          <w:szCs w:val="24"/>
        </w:rPr>
      </w:pPr>
      <w:r>
        <w:rPr>
          <w:rFonts w:ascii="Verdana" w:hAnsi="Verdana"/>
          <w:sz w:val="24"/>
          <w:szCs w:val="24"/>
        </w:rPr>
        <w:t>A</w:t>
      </w:r>
      <w:r w:rsidR="008A10BC">
        <w:rPr>
          <w:rFonts w:ascii="Verdana" w:hAnsi="Verdana"/>
          <w:sz w:val="24"/>
          <w:szCs w:val="24"/>
        </w:rPr>
        <w:t>n organisationa</w:t>
      </w:r>
      <w:r w:rsidR="00C25E86">
        <w:rPr>
          <w:rFonts w:ascii="Verdana" w:hAnsi="Verdana"/>
          <w:sz w:val="24"/>
          <w:szCs w:val="24"/>
        </w:rPr>
        <w:t>l</w:t>
      </w:r>
      <w:r w:rsidR="008A10BC">
        <w:rPr>
          <w:rFonts w:ascii="Verdana" w:hAnsi="Verdana"/>
          <w:sz w:val="24"/>
          <w:szCs w:val="24"/>
        </w:rPr>
        <w:t>-wide communications plan will be delivered by DICE. This will be supported by corporate and service group-led communication</w:t>
      </w:r>
      <w:r w:rsidR="00C25E86">
        <w:rPr>
          <w:rFonts w:ascii="Verdana" w:hAnsi="Verdana"/>
          <w:sz w:val="24"/>
          <w:szCs w:val="24"/>
        </w:rPr>
        <w:t xml:space="preserve"> within specific services and arenas.</w:t>
      </w:r>
    </w:p>
    <w:p w14:paraId="1E67DC19" w14:textId="77777777" w:rsidR="00CF2EF3" w:rsidRPr="00CF2EF3" w:rsidRDefault="00CF2EF3" w:rsidP="00CF2EF3">
      <w:pPr>
        <w:pStyle w:val="NormalWeb"/>
        <w:spacing w:line="300" w:lineRule="atLeast"/>
        <w:rPr>
          <w:rFonts w:ascii="Verdana" w:hAnsi="Verdana" w:cs="Segoe UI"/>
        </w:rPr>
      </w:pPr>
      <w:r w:rsidRPr="00CF2EF3">
        <w:rPr>
          <w:rStyle w:val="Strong"/>
          <w:rFonts w:ascii="Verdana" w:hAnsi="Verdana" w:cs="Segoe UI"/>
          <w:b w:val="0"/>
          <w:bCs w:val="0"/>
        </w:rPr>
        <w:t>Patients and the public</w:t>
      </w:r>
      <w:r w:rsidRPr="00CF2EF3">
        <w:rPr>
          <w:rFonts w:ascii="Verdana" w:hAnsi="Verdana" w:cs="Segoe UI"/>
        </w:rPr>
        <w:t xml:space="preserve"> will continue to shape improvement through the </w:t>
      </w:r>
      <w:r w:rsidRPr="00CF2EF3">
        <w:rPr>
          <w:rStyle w:val="Strong"/>
          <w:rFonts w:ascii="Verdana" w:hAnsi="Verdana" w:cs="Segoe UI"/>
          <w:b w:val="0"/>
          <w:bCs w:val="0"/>
        </w:rPr>
        <w:t xml:space="preserve">national survey and engagement with </w:t>
      </w:r>
      <w:proofErr w:type="spellStart"/>
      <w:r w:rsidRPr="00CF2EF3">
        <w:rPr>
          <w:rStyle w:val="Strong"/>
          <w:rFonts w:ascii="Verdana" w:hAnsi="Verdana" w:cs="Segoe UI"/>
          <w:b w:val="0"/>
          <w:bCs w:val="0"/>
        </w:rPr>
        <w:t>Llais</w:t>
      </w:r>
      <w:proofErr w:type="spellEnd"/>
      <w:r w:rsidRPr="00CF2EF3">
        <w:rPr>
          <w:rFonts w:ascii="Verdana" w:hAnsi="Verdana" w:cs="Segoe UI"/>
        </w:rPr>
        <w:t xml:space="preserve">, undertaken </w:t>
      </w:r>
      <w:r w:rsidRPr="00CF2EF3">
        <w:rPr>
          <w:rStyle w:val="Strong"/>
          <w:rFonts w:ascii="Verdana" w:hAnsi="Verdana" w:cs="Segoe UI"/>
          <w:b w:val="0"/>
          <w:bCs w:val="0"/>
        </w:rPr>
        <w:t>quarterly</w:t>
      </w:r>
      <w:r w:rsidRPr="00CF2EF3">
        <w:rPr>
          <w:rFonts w:ascii="Verdana" w:hAnsi="Verdana" w:cs="Segoe UI"/>
        </w:rPr>
        <w:t>, with participation monitored against agreed targets</w:t>
      </w:r>
    </w:p>
    <w:p w14:paraId="1F6422B6" w14:textId="09B11C05" w:rsidR="00C90582" w:rsidRPr="000927C0" w:rsidRDefault="00A36A61" w:rsidP="00A36A61">
      <w:pPr>
        <w:ind w:firstLine="720"/>
        <w:rPr>
          <w:rFonts w:ascii="Verdana" w:eastAsia="Times New Roman" w:hAnsi="Verdana" w:cs="Times New Roman"/>
          <w:b/>
          <w:bCs/>
          <w:sz w:val="24"/>
          <w:szCs w:val="24"/>
          <w:lang w:eastAsia="en-GB"/>
        </w:rPr>
      </w:pPr>
      <w:r>
        <w:rPr>
          <w:rFonts w:ascii="Verdana" w:eastAsia="Times New Roman" w:hAnsi="Verdana" w:cs="Times New Roman"/>
          <w:b/>
          <w:bCs/>
          <w:sz w:val="24"/>
          <w:szCs w:val="24"/>
          <w:lang w:eastAsia="en-GB"/>
        </w:rPr>
        <w:t>9</w:t>
      </w:r>
      <w:r w:rsidR="00C90582" w:rsidRPr="000927C0">
        <w:rPr>
          <w:rFonts w:ascii="Verdana" w:eastAsia="Times New Roman" w:hAnsi="Verdana" w:cs="Times New Roman"/>
          <w:b/>
          <w:bCs/>
          <w:sz w:val="24"/>
          <w:szCs w:val="24"/>
          <w:lang w:eastAsia="en-GB"/>
        </w:rPr>
        <w:t>. Monitoring, Evaluation &amp; Assurance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810"/>
      </w:tblGrid>
      <w:tr w:rsidR="00C90582" w:rsidRPr="000927C0" w14:paraId="0BB9180B" w14:textId="77777777" w:rsidTr="007A5CD2">
        <w:tc>
          <w:tcPr>
            <w:tcW w:w="2830" w:type="dxa"/>
            <w:shd w:val="clear" w:color="auto" w:fill="D9D9D9" w:themeFill="background1" w:themeFillShade="D9"/>
            <w:hideMark/>
          </w:tcPr>
          <w:p w14:paraId="5F94637A" w14:textId="77777777" w:rsidR="00C90582" w:rsidRPr="000927C0" w:rsidRDefault="00C90582" w:rsidP="007A5CD2">
            <w:pPr>
              <w:rPr>
                <w:rFonts w:ascii="Verdana" w:hAnsi="Verdana"/>
                <w:b/>
                <w:bCs/>
                <w:sz w:val="24"/>
                <w:szCs w:val="24"/>
              </w:rPr>
            </w:pPr>
            <w:r w:rsidRPr="000927C0">
              <w:rPr>
                <w:rFonts w:ascii="Verdana" w:hAnsi="Verdana"/>
                <w:b/>
                <w:bCs/>
                <w:sz w:val="24"/>
                <w:szCs w:val="24"/>
              </w:rPr>
              <w:t>Category</w:t>
            </w:r>
          </w:p>
        </w:tc>
        <w:tc>
          <w:tcPr>
            <w:tcW w:w="5810" w:type="dxa"/>
            <w:shd w:val="clear" w:color="auto" w:fill="E7E6E6" w:themeFill="background2"/>
            <w:hideMark/>
          </w:tcPr>
          <w:p w14:paraId="5AB92479" w14:textId="77777777" w:rsidR="00C90582" w:rsidRPr="000927C0" w:rsidRDefault="00C90582" w:rsidP="007A5CD2">
            <w:pPr>
              <w:rPr>
                <w:rFonts w:ascii="Verdana" w:hAnsi="Verdana"/>
                <w:b/>
                <w:bCs/>
                <w:sz w:val="24"/>
                <w:szCs w:val="24"/>
              </w:rPr>
            </w:pPr>
            <w:r w:rsidRPr="000927C0">
              <w:rPr>
                <w:rFonts w:ascii="Verdana" w:hAnsi="Verdana"/>
                <w:b/>
                <w:bCs/>
                <w:sz w:val="24"/>
                <w:szCs w:val="24"/>
              </w:rPr>
              <w:t>Items</w:t>
            </w:r>
          </w:p>
        </w:tc>
      </w:tr>
      <w:tr w:rsidR="00C90582" w:rsidRPr="000927C0" w14:paraId="251060E4" w14:textId="77777777" w:rsidTr="007A5CD2">
        <w:tc>
          <w:tcPr>
            <w:tcW w:w="2830" w:type="dxa"/>
            <w:shd w:val="clear" w:color="auto" w:fill="D9D9D9" w:themeFill="background1" w:themeFillShade="D9"/>
            <w:hideMark/>
          </w:tcPr>
          <w:p w14:paraId="56DC088E" w14:textId="77777777" w:rsidR="00C90582" w:rsidRPr="000927C0" w:rsidRDefault="00C90582" w:rsidP="007A5CD2">
            <w:pPr>
              <w:rPr>
                <w:rFonts w:ascii="Verdana" w:hAnsi="Verdana"/>
                <w:b/>
                <w:bCs/>
                <w:sz w:val="24"/>
                <w:szCs w:val="24"/>
              </w:rPr>
            </w:pPr>
            <w:r w:rsidRPr="000927C0">
              <w:rPr>
                <w:rFonts w:ascii="Verdana" w:hAnsi="Verdana"/>
                <w:b/>
                <w:bCs/>
                <w:sz w:val="24"/>
                <w:szCs w:val="24"/>
              </w:rPr>
              <w:t>Progress monitoring</w:t>
            </w:r>
          </w:p>
        </w:tc>
        <w:tc>
          <w:tcPr>
            <w:tcW w:w="5810" w:type="dxa"/>
            <w:hideMark/>
          </w:tcPr>
          <w:p w14:paraId="52411005" w14:textId="77777777" w:rsidR="00C90582" w:rsidRPr="000927C0" w:rsidRDefault="00C90582" w:rsidP="007A5CD2">
            <w:pPr>
              <w:rPr>
                <w:rFonts w:ascii="Verdana" w:hAnsi="Verdana"/>
                <w:sz w:val="24"/>
                <w:szCs w:val="24"/>
              </w:rPr>
            </w:pPr>
            <w:r w:rsidRPr="000927C0">
              <w:rPr>
                <w:rFonts w:ascii="Verdana" w:hAnsi="Verdana"/>
                <w:sz w:val="24"/>
                <w:szCs w:val="24"/>
              </w:rPr>
              <w:t>Monthly programme dashboard</w:t>
            </w:r>
            <w:r w:rsidRPr="000927C0">
              <w:rPr>
                <w:rFonts w:ascii="Verdana" w:hAnsi="Verdana"/>
                <w:sz w:val="24"/>
                <w:szCs w:val="24"/>
              </w:rPr>
              <w:br/>
              <w:t>Exception reporting</w:t>
            </w:r>
            <w:r w:rsidRPr="000927C0">
              <w:rPr>
                <w:rFonts w:ascii="Verdana" w:hAnsi="Verdana"/>
                <w:sz w:val="24"/>
                <w:szCs w:val="24"/>
              </w:rPr>
              <w:br/>
              <w:t>Milestone tracking</w:t>
            </w:r>
          </w:p>
        </w:tc>
      </w:tr>
      <w:tr w:rsidR="00C90582" w:rsidRPr="000927C0" w14:paraId="55A1E428" w14:textId="77777777" w:rsidTr="007A5CD2">
        <w:tc>
          <w:tcPr>
            <w:tcW w:w="2830" w:type="dxa"/>
            <w:shd w:val="clear" w:color="auto" w:fill="D9D9D9" w:themeFill="background1" w:themeFillShade="D9"/>
            <w:hideMark/>
          </w:tcPr>
          <w:p w14:paraId="0061D2D7" w14:textId="77777777" w:rsidR="00C90582" w:rsidRPr="000927C0" w:rsidRDefault="00C90582" w:rsidP="007A5CD2">
            <w:pPr>
              <w:rPr>
                <w:rFonts w:ascii="Verdana" w:hAnsi="Verdana"/>
                <w:b/>
                <w:bCs/>
                <w:sz w:val="24"/>
                <w:szCs w:val="24"/>
              </w:rPr>
            </w:pPr>
            <w:r w:rsidRPr="000927C0">
              <w:rPr>
                <w:rFonts w:ascii="Verdana" w:hAnsi="Verdana"/>
                <w:b/>
                <w:bCs/>
                <w:sz w:val="24"/>
                <w:szCs w:val="24"/>
              </w:rPr>
              <w:t>Reporting route</w:t>
            </w:r>
          </w:p>
        </w:tc>
        <w:tc>
          <w:tcPr>
            <w:tcW w:w="5810" w:type="dxa"/>
            <w:hideMark/>
          </w:tcPr>
          <w:p w14:paraId="43E22493" w14:textId="77777777" w:rsidR="00C90582" w:rsidRPr="000927C0" w:rsidRDefault="00C90582" w:rsidP="007A5CD2">
            <w:pPr>
              <w:rPr>
                <w:rFonts w:ascii="Verdana" w:hAnsi="Verdana"/>
                <w:sz w:val="24"/>
                <w:szCs w:val="24"/>
              </w:rPr>
            </w:pPr>
            <w:r w:rsidRPr="000927C0">
              <w:rPr>
                <w:rFonts w:ascii="Verdana" w:hAnsi="Verdana"/>
                <w:sz w:val="24"/>
                <w:szCs w:val="24"/>
              </w:rPr>
              <w:t>Listening to People Board</w:t>
            </w:r>
            <w:r w:rsidRPr="000927C0">
              <w:rPr>
                <w:rFonts w:ascii="Verdana" w:hAnsi="Verdana"/>
                <w:sz w:val="24"/>
                <w:szCs w:val="24"/>
              </w:rPr>
              <w:br/>
              <w:t>Quality &amp; Safety Committee</w:t>
            </w:r>
            <w:r w:rsidRPr="000927C0">
              <w:rPr>
                <w:rFonts w:ascii="Verdana" w:hAnsi="Verdana"/>
                <w:sz w:val="24"/>
                <w:szCs w:val="24"/>
              </w:rPr>
              <w:br/>
              <w:t>Health Board (by exception)</w:t>
            </w:r>
          </w:p>
        </w:tc>
      </w:tr>
      <w:tr w:rsidR="00C90582" w:rsidRPr="000927C0" w14:paraId="58E17296" w14:textId="77777777" w:rsidTr="007A5CD2">
        <w:tc>
          <w:tcPr>
            <w:tcW w:w="2830" w:type="dxa"/>
            <w:shd w:val="clear" w:color="auto" w:fill="D9D9D9" w:themeFill="background1" w:themeFillShade="D9"/>
            <w:hideMark/>
          </w:tcPr>
          <w:p w14:paraId="3EBAC911" w14:textId="77777777" w:rsidR="00C90582" w:rsidRPr="000927C0" w:rsidRDefault="00C90582" w:rsidP="007A5CD2">
            <w:pPr>
              <w:rPr>
                <w:rFonts w:ascii="Verdana" w:hAnsi="Verdana"/>
                <w:b/>
                <w:bCs/>
                <w:sz w:val="24"/>
                <w:szCs w:val="24"/>
              </w:rPr>
            </w:pPr>
            <w:r w:rsidRPr="000927C0">
              <w:rPr>
                <w:rFonts w:ascii="Verdana" w:hAnsi="Verdana"/>
                <w:b/>
                <w:bCs/>
                <w:sz w:val="24"/>
                <w:szCs w:val="24"/>
              </w:rPr>
              <w:t>Measures of success</w:t>
            </w:r>
          </w:p>
        </w:tc>
        <w:tc>
          <w:tcPr>
            <w:tcW w:w="5810" w:type="dxa"/>
            <w:hideMark/>
          </w:tcPr>
          <w:p w14:paraId="334B4796" w14:textId="77777777" w:rsidR="00E41673" w:rsidRDefault="00D50410" w:rsidP="00E41673">
            <w:pPr>
              <w:rPr>
                <w:rFonts w:ascii="Verdana" w:hAnsi="Verdana"/>
                <w:sz w:val="24"/>
                <w:szCs w:val="24"/>
              </w:rPr>
            </w:pPr>
            <w:r>
              <w:rPr>
                <w:rFonts w:ascii="Verdana" w:hAnsi="Verdana"/>
                <w:sz w:val="24"/>
                <w:szCs w:val="24"/>
              </w:rPr>
              <w:t xml:space="preserve">Early resolution of concerns for </w:t>
            </w:r>
            <w:r w:rsidR="00E41673" w:rsidRPr="000927C0">
              <w:rPr>
                <w:rFonts w:ascii="Verdana" w:hAnsi="Verdana"/>
                <w:sz w:val="24"/>
                <w:szCs w:val="24"/>
              </w:rPr>
              <w:t>≥</w:t>
            </w:r>
            <w:r w:rsidR="00E41673">
              <w:rPr>
                <w:rFonts w:ascii="Verdana" w:hAnsi="Verdana"/>
                <w:sz w:val="24"/>
                <w:szCs w:val="24"/>
              </w:rPr>
              <w:t>40%</w:t>
            </w:r>
          </w:p>
          <w:p w14:paraId="1EC078A7" w14:textId="261CA0A3" w:rsidR="00C90582" w:rsidRPr="000927C0" w:rsidRDefault="00C90582" w:rsidP="00E41673">
            <w:pPr>
              <w:rPr>
                <w:rFonts w:ascii="Verdana" w:hAnsi="Verdana"/>
                <w:sz w:val="24"/>
                <w:szCs w:val="24"/>
              </w:rPr>
            </w:pPr>
            <w:r w:rsidRPr="000927C0">
              <w:rPr>
                <w:rFonts w:ascii="Verdana" w:hAnsi="Verdana"/>
                <w:sz w:val="24"/>
                <w:szCs w:val="24"/>
              </w:rPr>
              <w:t>LTP ≥90%</w:t>
            </w:r>
            <w:r w:rsidRPr="000927C0">
              <w:rPr>
                <w:rFonts w:ascii="Verdana" w:hAnsi="Verdana"/>
                <w:sz w:val="24"/>
                <w:szCs w:val="24"/>
              </w:rPr>
              <w:br/>
              <w:t>Duty of Candour ≥95%</w:t>
            </w:r>
            <w:r w:rsidRPr="000927C0">
              <w:rPr>
                <w:rFonts w:ascii="Verdana" w:hAnsi="Verdana"/>
                <w:sz w:val="24"/>
                <w:szCs w:val="24"/>
              </w:rPr>
              <w:br/>
              <w:t>Reduction in overdue cases</w:t>
            </w:r>
            <w:r w:rsidRPr="000927C0">
              <w:rPr>
                <w:rFonts w:ascii="Verdana" w:hAnsi="Verdana"/>
                <w:sz w:val="24"/>
                <w:szCs w:val="24"/>
              </w:rPr>
              <w:br/>
              <w:t>Improved patient feedback</w:t>
            </w:r>
            <w:r w:rsidRPr="000927C0">
              <w:rPr>
                <w:rFonts w:ascii="Verdana" w:hAnsi="Verdana"/>
                <w:sz w:val="24"/>
                <w:szCs w:val="24"/>
              </w:rPr>
              <w:br/>
              <w:t>Single access utilisation</w:t>
            </w:r>
            <w:r w:rsidRPr="000927C0">
              <w:rPr>
                <w:rFonts w:ascii="Verdana" w:hAnsi="Verdana"/>
                <w:sz w:val="24"/>
                <w:szCs w:val="24"/>
              </w:rPr>
              <w:br/>
              <w:t>Staff experience measures</w:t>
            </w:r>
            <w:r w:rsidRPr="000927C0">
              <w:rPr>
                <w:rFonts w:ascii="Verdana" w:hAnsi="Verdana"/>
                <w:sz w:val="24"/>
                <w:szCs w:val="24"/>
              </w:rPr>
              <w:br/>
              <w:t>Learning data measures</w:t>
            </w:r>
          </w:p>
        </w:tc>
      </w:tr>
      <w:tr w:rsidR="00C90582" w:rsidRPr="000927C0" w14:paraId="1F53661F" w14:textId="77777777" w:rsidTr="007A5CD2">
        <w:tc>
          <w:tcPr>
            <w:tcW w:w="2830" w:type="dxa"/>
            <w:shd w:val="clear" w:color="auto" w:fill="D9D9D9" w:themeFill="background1" w:themeFillShade="D9"/>
            <w:hideMark/>
          </w:tcPr>
          <w:p w14:paraId="5BF5CF1D" w14:textId="77777777" w:rsidR="00C90582" w:rsidRPr="000927C0" w:rsidRDefault="00C90582" w:rsidP="007A5CD2">
            <w:pPr>
              <w:rPr>
                <w:rFonts w:ascii="Verdana" w:hAnsi="Verdana"/>
                <w:b/>
                <w:bCs/>
                <w:sz w:val="24"/>
                <w:szCs w:val="24"/>
              </w:rPr>
            </w:pPr>
            <w:r w:rsidRPr="000927C0">
              <w:rPr>
                <w:rFonts w:ascii="Verdana" w:hAnsi="Verdana"/>
                <w:b/>
                <w:bCs/>
                <w:sz w:val="24"/>
                <w:szCs w:val="24"/>
              </w:rPr>
              <w:t>Post-implementation</w:t>
            </w:r>
          </w:p>
        </w:tc>
        <w:tc>
          <w:tcPr>
            <w:tcW w:w="5810" w:type="dxa"/>
            <w:hideMark/>
          </w:tcPr>
          <w:p w14:paraId="00177796" w14:textId="77777777" w:rsidR="00C90582" w:rsidRPr="000927C0" w:rsidRDefault="00C90582" w:rsidP="007A5CD2">
            <w:pPr>
              <w:rPr>
                <w:rFonts w:ascii="Verdana" w:hAnsi="Verdana"/>
                <w:sz w:val="24"/>
                <w:szCs w:val="24"/>
              </w:rPr>
            </w:pPr>
            <w:r w:rsidRPr="000927C0">
              <w:rPr>
                <w:rFonts w:ascii="Verdana" w:hAnsi="Verdana"/>
                <w:sz w:val="24"/>
                <w:szCs w:val="24"/>
              </w:rPr>
              <w:t>3-month review</w:t>
            </w:r>
            <w:r w:rsidRPr="000927C0">
              <w:rPr>
                <w:rFonts w:ascii="Verdana" w:hAnsi="Verdana"/>
                <w:sz w:val="24"/>
                <w:szCs w:val="24"/>
              </w:rPr>
              <w:br/>
              <w:t>6-month benefits realisation</w:t>
            </w:r>
            <w:r w:rsidRPr="000927C0">
              <w:rPr>
                <w:rFonts w:ascii="Verdana" w:hAnsi="Verdana"/>
                <w:sz w:val="24"/>
                <w:szCs w:val="24"/>
              </w:rPr>
              <w:br/>
              <w:t>Annual learning report</w:t>
            </w:r>
          </w:p>
        </w:tc>
      </w:tr>
    </w:tbl>
    <w:p w14:paraId="5D8188AE" w14:textId="77777777" w:rsidR="00C90582" w:rsidRPr="000927C0" w:rsidRDefault="00C90582" w:rsidP="00C90582">
      <w:pPr>
        <w:rPr>
          <w:rFonts w:ascii="Verdana" w:hAnsi="Verdana"/>
          <w:b/>
          <w:bCs/>
          <w:sz w:val="24"/>
          <w:szCs w:val="24"/>
        </w:rPr>
      </w:pPr>
    </w:p>
    <w:p w14:paraId="4D656562" w14:textId="2D804C2C" w:rsidR="00C90582" w:rsidRPr="000927C0" w:rsidRDefault="00C90582" w:rsidP="00C90582">
      <w:pPr>
        <w:rPr>
          <w:rFonts w:ascii="Verdana" w:eastAsia="Times New Roman" w:hAnsi="Verdana" w:cs="Times New Roman"/>
          <w:b/>
          <w:bCs/>
          <w:sz w:val="24"/>
          <w:szCs w:val="24"/>
          <w:lang w:eastAsia="en-GB"/>
        </w:rPr>
      </w:pPr>
      <w:r w:rsidRPr="000927C0">
        <w:rPr>
          <w:rFonts w:ascii="Verdana" w:eastAsia="Times New Roman" w:hAnsi="Verdana" w:cs="Times New Roman"/>
          <w:b/>
          <w:bCs/>
          <w:sz w:val="24"/>
          <w:szCs w:val="24"/>
          <w:lang w:eastAsia="en-GB"/>
        </w:rPr>
        <w:t>1</w:t>
      </w:r>
      <w:r w:rsidR="00A36A61">
        <w:rPr>
          <w:rFonts w:ascii="Verdana" w:eastAsia="Times New Roman" w:hAnsi="Verdana" w:cs="Times New Roman"/>
          <w:b/>
          <w:bCs/>
          <w:sz w:val="24"/>
          <w:szCs w:val="24"/>
          <w:lang w:eastAsia="en-GB"/>
        </w:rPr>
        <w:t>0</w:t>
      </w:r>
      <w:r w:rsidRPr="000927C0">
        <w:rPr>
          <w:rFonts w:ascii="Verdana" w:eastAsia="Times New Roman" w:hAnsi="Verdana" w:cs="Times New Roman"/>
          <w:b/>
          <w:bCs/>
          <w:sz w:val="24"/>
          <w:szCs w:val="24"/>
          <w:lang w:eastAsia="en-GB"/>
        </w:rPr>
        <w:t>. Equality Commitment</w:t>
      </w:r>
    </w:p>
    <w:p w14:paraId="425ED889" w14:textId="77777777" w:rsidR="000A0AD8" w:rsidRPr="000A0AD8" w:rsidRDefault="000A0AD8" w:rsidP="000A0AD8">
      <w:pPr>
        <w:spacing w:after="0" w:line="300" w:lineRule="atLeast"/>
        <w:rPr>
          <w:rFonts w:ascii="Verdana" w:eastAsia="Times New Roman" w:hAnsi="Verdana" w:cs="Segoe UI"/>
          <w:sz w:val="24"/>
          <w:szCs w:val="24"/>
          <w:lang w:eastAsia="en-GB"/>
        </w:rPr>
      </w:pPr>
      <w:r w:rsidRPr="000A0AD8">
        <w:rPr>
          <w:rFonts w:ascii="Verdana" w:eastAsia="Times New Roman" w:hAnsi="Verdana" w:cs="Segoe UI"/>
          <w:sz w:val="24"/>
          <w:szCs w:val="24"/>
          <w:lang w:eastAsia="en-GB"/>
        </w:rPr>
        <w:t>An Equality Impact Assessment has been completed and informs the programme’s design. Welsh language standards, accessibility requirements and inclusive design principles are embedded throughout the model. Engagement with vulnerable groups has shaped development, with ongoing monitoring of experience and equality data to identify disparities and drive continuous improvement.</w:t>
      </w:r>
    </w:p>
    <w:p w14:paraId="45C5F4DE" w14:textId="4C93496D" w:rsidR="00C90582" w:rsidRPr="00C703AF" w:rsidRDefault="00C90582" w:rsidP="00C90582">
      <w:pPr>
        <w:rPr>
          <w:rFonts w:ascii="Verdana" w:hAnsi="Verdana"/>
        </w:rPr>
      </w:pPr>
    </w:p>
    <w:sectPr w:rsidR="00C90582" w:rsidRPr="00C703AF" w:rsidSect="00FE7070">
      <w:headerReference w:type="default" r:id="rId7"/>
      <w:footerReference w:type="default" r:id="rId8"/>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27E5A1" w14:textId="77777777" w:rsidR="00033FFF" w:rsidRDefault="00033FFF">
      <w:pPr>
        <w:spacing w:after="0" w:line="240" w:lineRule="auto"/>
      </w:pPr>
      <w:r>
        <w:separator/>
      </w:r>
    </w:p>
  </w:endnote>
  <w:endnote w:type="continuationSeparator" w:id="0">
    <w:p w14:paraId="48847B2D" w14:textId="77777777" w:rsidR="00033FFF" w:rsidRDefault="00033F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610430"/>
      <w:docPartObj>
        <w:docPartGallery w:val="Page Numbers (Bottom of Page)"/>
        <w:docPartUnique/>
      </w:docPartObj>
    </w:sdtPr>
    <w:sdtEndPr/>
    <w:sdtContent>
      <w:p w14:paraId="415BAE2E" w14:textId="2EDA3A97" w:rsidR="00D83130" w:rsidRDefault="00D83130">
        <w:pPr>
          <w:pStyle w:val="Footer"/>
          <w:jc w:val="center"/>
        </w:pPr>
        <w:r>
          <w:fldChar w:fldCharType="begin"/>
        </w:r>
        <w:r>
          <w:instrText>PAGE   \* MERGEFORMAT</w:instrText>
        </w:r>
        <w:r>
          <w:fldChar w:fldCharType="separate"/>
        </w:r>
        <w:r>
          <w:t>2</w:t>
        </w:r>
        <w:r>
          <w:fldChar w:fldCharType="end"/>
        </w:r>
      </w:p>
    </w:sdtContent>
  </w:sdt>
  <w:p w14:paraId="609E1851" w14:textId="78B1356E" w:rsidR="003324CB" w:rsidRPr="00366FDD" w:rsidRDefault="00033FFF" w:rsidP="002B7C9A">
    <w:pPr>
      <w:pStyle w:val="Footer"/>
      <w:jc w:val="right"/>
      <w:rPr>
        <w:rFonts w:ascii="Verdana" w:hAnsi="Verdana"/>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562EB8" w14:textId="77777777" w:rsidR="00033FFF" w:rsidRDefault="00033FFF">
      <w:pPr>
        <w:spacing w:after="0" w:line="240" w:lineRule="auto"/>
      </w:pPr>
      <w:r>
        <w:separator/>
      </w:r>
    </w:p>
  </w:footnote>
  <w:footnote w:type="continuationSeparator" w:id="0">
    <w:p w14:paraId="23C36225" w14:textId="77777777" w:rsidR="00033FFF" w:rsidRDefault="00033F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29AB7" w14:textId="77777777" w:rsidR="00767E3E" w:rsidRDefault="00C90582">
    <w:pPr>
      <w:pStyle w:val="Header"/>
    </w:pPr>
    <w:r>
      <w:rPr>
        <w:noProof/>
        <w:lang w:eastAsia="en-GB"/>
      </w:rPr>
      <w:drawing>
        <wp:anchor distT="0" distB="0" distL="114300" distR="114300" simplePos="0" relativeHeight="251659264" behindDoc="1" locked="0" layoutInCell="1" allowOverlap="1" wp14:anchorId="25FED2F4" wp14:editId="3BEF9B61">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A3A64CB"/>
    <w:multiLevelType w:val="multilevel"/>
    <w:tmpl w:val="0A6AE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891A98"/>
    <w:multiLevelType w:val="multilevel"/>
    <w:tmpl w:val="DB144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F533338"/>
    <w:multiLevelType w:val="multilevel"/>
    <w:tmpl w:val="3E801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680022F"/>
    <w:multiLevelType w:val="hybridMultilevel"/>
    <w:tmpl w:val="0BD4F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77C4692"/>
    <w:multiLevelType w:val="hybridMultilevel"/>
    <w:tmpl w:val="3692C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9342F19"/>
    <w:multiLevelType w:val="multilevel"/>
    <w:tmpl w:val="2D1AA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15434C"/>
    <w:multiLevelType w:val="multilevel"/>
    <w:tmpl w:val="13B0B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E62689A"/>
    <w:multiLevelType w:val="multilevel"/>
    <w:tmpl w:val="2E141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F4D2291"/>
    <w:multiLevelType w:val="multilevel"/>
    <w:tmpl w:val="BF1E73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2B0B38"/>
    <w:multiLevelType w:val="multilevel"/>
    <w:tmpl w:val="1D628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DE46C26"/>
    <w:multiLevelType w:val="hybridMultilevel"/>
    <w:tmpl w:val="AD6CA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CF7311"/>
    <w:multiLevelType w:val="multilevel"/>
    <w:tmpl w:val="521207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0A63179"/>
    <w:multiLevelType w:val="multilevel"/>
    <w:tmpl w:val="4C7A5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4017573"/>
    <w:multiLevelType w:val="hybridMultilevel"/>
    <w:tmpl w:val="FF8E6D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144FB4"/>
    <w:multiLevelType w:val="multilevel"/>
    <w:tmpl w:val="B5AAC262"/>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35E58CF"/>
    <w:multiLevelType w:val="multilevel"/>
    <w:tmpl w:val="92F68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6CA2759"/>
    <w:multiLevelType w:val="multilevel"/>
    <w:tmpl w:val="9CD08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3D414B"/>
    <w:multiLevelType w:val="multilevel"/>
    <w:tmpl w:val="1FF0B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F1406F5"/>
    <w:multiLevelType w:val="multilevel"/>
    <w:tmpl w:val="36CE0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0"/>
  </w:num>
  <w:num w:numId="3">
    <w:abstractNumId w:val="3"/>
  </w:num>
  <w:num w:numId="4">
    <w:abstractNumId w:val="19"/>
  </w:num>
  <w:num w:numId="5">
    <w:abstractNumId w:val="8"/>
  </w:num>
  <w:num w:numId="6">
    <w:abstractNumId w:val="18"/>
  </w:num>
  <w:num w:numId="7">
    <w:abstractNumId w:val="17"/>
  </w:num>
  <w:num w:numId="8">
    <w:abstractNumId w:val="13"/>
  </w:num>
  <w:num w:numId="9">
    <w:abstractNumId w:val="14"/>
  </w:num>
  <w:num w:numId="10">
    <w:abstractNumId w:val="5"/>
  </w:num>
  <w:num w:numId="11">
    <w:abstractNumId w:val="4"/>
  </w:num>
  <w:num w:numId="12">
    <w:abstractNumId w:val="11"/>
  </w:num>
  <w:num w:numId="13">
    <w:abstractNumId w:val="1"/>
  </w:num>
  <w:num w:numId="14">
    <w:abstractNumId w:val="7"/>
  </w:num>
  <w:num w:numId="15">
    <w:abstractNumId w:val="6"/>
  </w:num>
  <w:num w:numId="16">
    <w:abstractNumId w:val="2"/>
  </w:num>
  <w:num w:numId="17">
    <w:abstractNumId w:val="12"/>
  </w:num>
  <w:num w:numId="18">
    <w:abstractNumId w:val="9"/>
  </w:num>
  <w:num w:numId="19">
    <w:abstractNumId w:val="16"/>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582"/>
    <w:rsid w:val="00033FFF"/>
    <w:rsid w:val="00071BAF"/>
    <w:rsid w:val="000A0AD8"/>
    <w:rsid w:val="000A5D09"/>
    <w:rsid w:val="00105697"/>
    <w:rsid w:val="0014323C"/>
    <w:rsid w:val="0018060F"/>
    <w:rsid w:val="00183016"/>
    <w:rsid w:val="001F2918"/>
    <w:rsid w:val="001F38A1"/>
    <w:rsid w:val="002466B8"/>
    <w:rsid w:val="00262396"/>
    <w:rsid w:val="00296518"/>
    <w:rsid w:val="002A0692"/>
    <w:rsid w:val="002C3D24"/>
    <w:rsid w:val="002E78AF"/>
    <w:rsid w:val="002F6D1B"/>
    <w:rsid w:val="0032017C"/>
    <w:rsid w:val="00325D99"/>
    <w:rsid w:val="00340D0B"/>
    <w:rsid w:val="003771D0"/>
    <w:rsid w:val="00385261"/>
    <w:rsid w:val="003A7CA3"/>
    <w:rsid w:val="003E0C6F"/>
    <w:rsid w:val="004D38A6"/>
    <w:rsid w:val="004D432A"/>
    <w:rsid w:val="006E4B2F"/>
    <w:rsid w:val="00731FFA"/>
    <w:rsid w:val="007F6793"/>
    <w:rsid w:val="00854947"/>
    <w:rsid w:val="00854D8D"/>
    <w:rsid w:val="00857DEC"/>
    <w:rsid w:val="0089796E"/>
    <w:rsid w:val="008A10BC"/>
    <w:rsid w:val="008B61AE"/>
    <w:rsid w:val="00905BA9"/>
    <w:rsid w:val="009238F3"/>
    <w:rsid w:val="00925BB6"/>
    <w:rsid w:val="00A36A61"/>
    <w:rsid w:val="00A87B65"/>
    <w:rsid w:val="00A933FE"/>
    <w:rsid w:val="00B2595E"/>
    <w:rsid w:val="00B52DCF"/>
    <w:rsid w:val="00B76321"/>
    <w:rsid w:val="00BC2C7E"/>
    <w:rsid w:val="00BF3D93"/>
    <w:rsid w:val="00C10833"/>
    <w:rsid w:val="00C25E86"/>
    <w:rsid w:val="00C90582"/>
    <w:rsid w:val="00CA2DC7"/>
    <w:rsid w:val="00CE4A76"/>
    <w:rsid w:val="00CF0126"/>
    <w:rsid w:val="00CF2EF3"/>
    <w:rsid w:val="00D27E86"/>
    <w:rsid w:val="00D50410"/>
    <w:rsid w:val="00D80AE1"/>
    <w:rsid w:val="00D83130"/>
    <w:rsid w:val="00DF0F31"/>
    <w:rsid w:val="00E12B21"/>
    <w:rsid w:val="00E36399"/>
    <w:rsid w:val="00E41673"/>
    <w:rsid w:val="00EB2E76"/>
    <w:rsid w:val="00EC5BCC"/>
    <w:rsid w:val="00F026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C659F1"/>
  <w15:chartTrackingRefBased/>
  <w15:docId w15:val="{02F2C217-D3DC-4230-9D66-20C3205D3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87B6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905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90582"/>
    <w:pPr>
      <w:ind w:left="720"/>
      <w:contextualSpacing/>
    </w:pPr>
  </w:style>
  <w:style w:type="character" w:styleId="CommentReference">
    <w:name w:val="annotation reference"/>
    <w:basedOn w:val="DefaultParagraphFont"/>
    <w:uiPriority w:val="99"/>
    <w:semiHidden/>
    <w:unhideWhenUsed/>
    <w:rsid w:val="00C90582"/>
    <w:rPr>
      <w:sz w:val="16"/>
      <w:szCs w:val="16"/>
    </w:rPr>
  </w:style>
  <w:style w:type="paragraph" w:styleId="CommentText">
    <w:name w:val="annotation text"/>
    <w:basedOn w:val="Normal"/>
    <w:link w:val="CommentTextChar"/>
    <w:uiPriority w:val="99"/>
    <w:unhideWhenUsed/>
    <w:rsid w:val="00C90582"/>
    <w:pPr>
      <w:spacing w:line="240" w:lineRule="auto"/>
    </w:pPr>
    <w:rPr>
      <w:sz w:val="20"/>
      <w:szCs w:val="20"/>
    </w:rPr>
  </w:style>
  <w:style w:type="character" w:customStyle="1" w:styleId="CommentTextChar">
    <w:name w:val="Comment Text Char"/>
    <w:basedOn w:val="DefaultParagraphFont"/>
    <w:link w:val="CommentText"/>
    <w:uiPriority w:val="99"/>
    <w:rsid w:val="00C90582"/>
    <w:rPr>
      <w:sz w:val="20"/>
      <w:szCs w:val="20"/>
    </w:rPr>
  </w:style>
  <w:style w:type="paragraph" w:styleId="Header">
    <w:name w:val="header"/>
    <w:basedOn w:val="Normal"/>
    <w:link w:val="HeaderChar"/>
    <w:uiPriority w:val="99"/>
    <w:unhideWhenUsed/>
    <w:rsid w:val="00C905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90582"/>
  </w:style>
  <w:style w:type="paragraph" w:styleId="Footer">
    <w:name w:val="footer"/>
    <w:basedOn w:val="Normal"/>
    <w:link w:val="FooterChar"/>
    <w:uiPriority w:val="99"/>
    <w:unhideWhenUsed/>
    <w:rsid w:val="00C905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0582"/>
  </w:style>
  <w:style w:type="character" w:customStyle="1" w:styleId="normaltextrun">
    <w:name w:val="normaltextrun"/>
    <w:basedOn w:val="DefaultParagraphFont"/>
    <w:rsid w:val="003771D0"/>
  </w:style>
  <w:style w:type="character" w:customStyle="1" w:styleId="eop">
    <w:name w:val="eop"/>
    <w:basedOn w:val="DefaultParagraphFont"/>
    <w:rsid w:val="003771D0"/>
  </w:style>
  <w:style w:type="paragraph" w:customStyle="1" w:styleId="paragraph">
    <w:name w:val="paragraph"/>
    <w:basedOn w:val="Normal"/>
    <w:rsid w:val="00BC2C7E"/>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B52DC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B52D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974059">
      <w:bodyDiv w:val="1"/>
      <w:marLeft w:val="0"/>
      <w:marRight w:val="0"/>
      <w:marTop w:val="0"/>
      <w:marBottom w:val="0"/>
      <w:divBdr>
        <w:top w:val="none" w:sz="0" w:space="0" w:color="auto"/>
        <w:left w:val="none" w:sz="0" w:space="0" w:color="auto"/>
        <w:bottom w:val="none" w:sz="0" w:space="0" w:color="auto"/>
        <w:right w:val="none" w:sz="0" w:space="0" w:color="auto"/>
      </w:divBdr>
      <w:divsChild>
        <w:div w:id="1559048136">
          <w:marLeft w:val="0"/>
          <w:marRight w:val="0"/>
          <w:marTop w:val="0"/>
          <w:marBottom w:val="0"/>
          <w:divBdr>
            <w:top w:val="none" w:sz="0" w:space="0" w:color="auto"/>
            <w:left w:val="none" w:sz="0" w:space="0" w:color="auto"/>
            <w:bottom w:val="none" w:sz="0" w:space="0" w:color="auto"/>
            <w:right w:val="none" w:sz="0" w:space="0" w:color="auto"/>
          </w:divBdr>
        </w:div>
      </w:divsChild>
    </w:div>
    <w:div w:id="484782227">
      <w:bodyDiv w:val="1"/>
      <w:marLeft w:val="0"/>
      <w:marRight w:val="0"/>
      <w:marTop w:val="0"/>
      <w:marBottom w:val="0"/>
      <w:divBdr>
        <w:top w:val="none" w:sz="0" w:space="0" w:color="auto"/>
        <w:left w:val="none" w:sz="0" w:space="0" w:color="auto"/>
        <w:bottom w:val="none" w:sz="0" w:space="0" w:color="auto"/>
        <w:right w:val="none" w:sz="0" w:space="0" w:color="auto"/>
      </w:divBdr>
      <w:divsChild>
        <w:div w:id="252932151">
          <w:marLeft w:val="0"/>
          <w:marRight w:val="0"/>
          <w:marTop w:val="0"/>
          <w:marBottom w:val="0"/>
          <w:divBdr>
            <w:top w:val="none" w:sz="0" w:space="0" w:color="auto"/>
            <w:left w:val="none" w:sz="0" w:space="0" w:color="auto"/>
            <w:bottom w:val="none" w:sz="0" w:space="0" w:color="auto"/>
            <w:right w:val="none" w:sz="0" w:space="0" w:color="auto"/>
          </w:divBdr>
        </w:div>
      </w:divsChild>
    </w:div>
    <w:div w:id="694304109">
      <w:bodyDiv w:val="1"/>
      <w:marLeft w:val="0"/>
      <w:marRight w:val="0"/>
      <w:marTop w:val="0"/>
      <w:marBottom w:val="0"/>
      <w:divBdr>
        <w:top w:val="none" w:sz="0" w:space="0" w:color="auto"/>
        <w:left w:val="none" w:sz="0" w:space="0" w:color="auto"/>
        <w:bottom w:val="none" w:sz="0" w:space="0" w:color="auto"/>
        <w:right w:val="none" w:sz="0" w:space="0" w:color="auto"/>
      </w:divBdr>
      <w:divsChild>
        <w:div w:id="1386293338">
          <w:marLeft w:val="0"/>
          <w:marRight w:val="0"/>
          <w:marTop w:val="0"/>
          <w:marBottom w:val="0"/>
          <w:divBdr>
            <w:top w:val="none" w:sz="0" w:space="0" w:color="auto"/>
            <w:left w:val="none" w:sz="0" w:space="0" w:color="auto"/>
            <w:bottom w:val="none" w:sz="0" w:space="0" w:color="auto"/>
            <w:right w:val="none" w:sz="0" w:space="0" w:color="auto"/>
          </w:divBdr>
        </w:div>
      </w:divsChild>
    </w:div>
    <w:div w:id="835727285">
      <w:bodyDiv w:val="1"/>
      <w:marLeft w:val="0"/>
      <w:marRight w:val="0"/>
      <w:marTop w:val="0"/>
      <w:marBottom w:val="0"/>
      <w:divBdr>
        <w:top w:val="none" w:sz="0" w:space="0" w:color="auto"/>
        <w:left w:val="none" w:sz="0" w:space="0" w:color="auto"/>
        <w:bottom w:val="none" w:sz="0" w:space="0" w:color="auto"/>
        <w:right w:val="none" w:sz="0" w:space="0" w:color="auto"/>
      </w:divBdr>
      <w:divsChild>
        <w:div w:id="833647922">
          <w:marLeft w:val="0"/>
          <w:marRight w:val="0"/>
          <w:marTop w:val="0"/>
          <w:marBottom w:val="0"/>
          <w:divBdr>
            <w:top w:val="none" w:sz="0" w:space="0" w:color="auto"/>
            <w:left w:val="none" w:sz="0" w:space="0" w:color="auto"/>
            <w:bottom w:val="none" w:sz="0" w:space="0" w:color="auto"/>
            <w:right w:val="none" w:sz="0" w:space="0" w:color="auto"/>
          </w:divBdr>
        </w:div>
      </w:divsChild>
    </w:div>
    <w:div w:id="951086238">
      <w:bodyDiv w:val="1"/>
      <w:marLeft w:val="0"/>
      <w:marRight w:val="0"/>
      <w:marTop w:val="0"/>
      <w:marBottom w:val="0"/>
      <w:divBdr>
        <w:top w:val="none" w:sz="0" w:space="0" w:color="auto"/>
        <w:left w:val="none" w:sz="0" w:space="0" w:color="auto"/>
        <w:bottom w:val="none" w:sz="0" w:space="0" w:color="auto"/>
        <w:right w:val="none" w:sz="0" w:space="0" w:color="auto"/>
      </w:divBdr>
      <w:divsChild>
        <w:div w:id="1789809111">
          <w:marLeft w:val="0"/>
          <w:marRight w:val="0"/>
          <w:marTop w:val="0"/>
          <w:marBottom w:val="0"/>
          <w:divBdr>
            <w:top w:val="none" w:sz="0" w:space="0" w:color="auto"/>
            <w:left w:val="none" w:sz="0" w:space="0" w:color="auto"/>
            <w:bottom w:val="none" w:sz="0" w:space="0" w:color="auto"/>
            <w:right w:val="none" w:sz="0" w:space="0" w:color="auto"/>
          </w:divBdr>
        </w:div>
      </w:divsChild>
    </w:div>
    <w:div w:id="1227951607">
      <w:bodyDiv w:val="1"/>
      <w:marLeft w:val="0"/>
      <w:marRight w:val="0"/>
      <w:marTop w:val="0"/>
      <w:marBottom w:val="0"/>
      <w:divBdr>
        <w:top w:val="none" w:sz="0" w:space="0" w:color="auto"/>
        <w:left w:val="none" w:sz="0" w:space="0" w:color="auto"/>
        <w:bottom w:val="none" w:sz="0" w:space="0" w:color="auto"/>
        <w:right w:val="none" w:sz="0" w:space="0" w:color="auto"/>
      </w:divBdr>
      <w:divsChild>
        <w:div w:id="1539585529">
          <w:marLeft w:val="0"/>
          <w:marRight w:val="0"/>
          <w:marTop w:val="0"/>
          <w:marBottom w:val="0"/>
          <w:divBdr>
            <w:top w:val="none" w:sz="0" w:space="0" w:color="auto"/>
            <w:left w:val="none" w:sz="0" w:space="0" w:color="auto"/>
            <w:bottom w:val="none" w:sz="0" w:space="0" w:color="auto"/>
            <w:right w:val="none" w:sz="0" w:space="0" w:color="auto"/>
          </w:divBdr>
        </w:div>
        <w:div w:id="209339532">
          <w:marLeft w:val="0"/>
          <w:marRight w:val="0"/>
          <w:marTop w:val="0"/>
          <w:marBottom w:val="0"/>
          <w:divBdr>
            <w:top w:val="none" w:sz="0" w:space="0" w:color="auto"/>
            <w:left w:val="none" w:sz="0" w:space="0" w:color="auto"/>
            <w:bottom w:val="none" w:sz="0" w:space="0" w:color="auto"/>
            <w:right w:val="none" w:sz="0" w:space="0" w:color="auto"/>
          </w:divBdr>
          <w:divsChild>
            <w:div w:id="2115245758">
              <w:marLeft w:val="-75"/>
              <w:marRight w:val="0"/>
              <w:marTop w:val="30"/>
              <w:marBottom w:val="30"/>
              <w:divBdr>
                <w:top w:val="none" w:sz="0" w:space="0" w:color="auto"/>
                <w:left w:val="none" w:sz="0" w:space="0" w:color="auto"/>
                <w:bottom w:val="none" w:sz="0" w:space="0" w:color="auto"/>
                <w:right w:val="none" w:sz="0" w:space="0" w:color="auto"/>
              </w:divBdr>
              <w:divsChild>
                <w:div w:id="1853257261">
                  <w:marLeft w:val="0"/>
                  <w:marRight w:val="0"/>
                  <w:marTop w:val="0"/>
                  <w:marBottom w:val="0"/>
                  <w:divBdr>
                    <w:top w:val="none" w:sz="0" w:space="0" w:color="auto"/>
                    <w:left w:val="none" w:sz="0" w:space="0" w:color="auto"/>
                    <w:bottom w:val="none" w:sz="0" w:space="0" w:color="auto"/>
                    <w:right w:val="none" w:sz="0" w:space="0" w:color="auto"/>
                  </w:divBdr>
                  <w:divsChild>
                    <w:div w:id="548110248">
                      <w:marLeft w:val="0"/>
                      <w:marRight w:val="0"/>
                      <w:marTop w:val="0"/>
                      <w:marBottom w:val="0"/>
                      <w:divBdr>
                        <w:top w:val="none" w:sz="0" w:space="0" w:color="auto"/>
                        <w:left w:val="none" w:sz="0" w:space="0" w:color="auto"/>
                        <w:bottom w:val="none" w:sz="0" w:space="0" w:color="auto"/>
                        <w:right w:val="none" w:sz="0" w:space="0" w:color="auto"/>
                      </w:divBdr>
                    </w:div>
                  </w:divsChild>
                </w:div>
                <w:div w:id="1651598659">
                  <w:marLeft w:val="0"/>
                  <w:marRight w:val="0"/>
                  <w:marTop w:val="0"/>
                  <w:marBottom w:val="0"/>
                  <w:divBdr>
                    <w:top w:val="none" w:sz="0" w:space="0" w:color="auto"/>
                    <w:left w:val="none" w:sz="0" w:space="0" w:color="auto"/>
                    <w:bottom w:val="none" w:sz="0" w:space="0" w:color="auto"/>
                    <w:right w:val="none" w:sz="0" w:space="0" w:color="auto"/>
                  </w:divBdr>
                  <w:divsChild>
                    <w:div w:id="1290282086">
                      <w:marLeft w:val="0"/>
                      <w:marRight w:val="0"/>
                      <w:marTop w:val="0"/>
                      <w:marBottom w:val="0"/>
                      <w:divBdr>
                        <w:top w:val="none" w:sz="0" w:space="0" w:color="auto"/>
                        <w:left w:val="none" w:sz="0" w:space="0" w:color="auto"/>
                        <w:bottom w:val="none" w:sz="0" w:space="0" w:color="auto"/>
                        <w:right w:val="none" w:sz="0" w:space="0" w:color="auto"/>
                      </w:divBdr>
                    </w:div>
                  </w:divsChild>
                </w:div>
                <w:div w:id="1838963451">
                  <w:marLeft w:val="0"/>
                  <w:marRight w:val="0"/>
                  <w:marTop w:val="0"/>
                  <w:marBottom w:val="0"/>
                  <w:divBdr>
                    <w:top w:val="none" w:sz="0" w:space="0" w:color="auto"/>
                    <w:left w:val="none" w:sz="0" w:space="0" w:color="auto"/>
                    <w:bottom w:val="none" w:sz="0" w:space="0" w:color="auto"/>
                    <w:right w:val="none" w:sz="0" w:space="0" w:color="auto"/>
                  </w:divBdr>
                  <w:divsChild>
                    <w:div w:id="1562789138">
                      <w:marLeft w:val="0"/>
                      <w:marRight w:val="0"/>
                      <w:marTop w:val="0"/>
                      <w:marBottom w:val="0"/>
                      <w:divBdr>
                        <w:top w:val="none" w:sz="0" w:space="0" w:color="auto"/>
                        <w:left w:val="none" w:sz="0" w:space="0" w:color="auto"/>
                        <w:bottom w:val="none" w:sz="0" w:space="0" w:color="auto"/>
                        <w:right w:val="none" w:sz="0" w:space="0" w:color="auto"/>
                      </w:divBdr>
                    </w:div>
                  </w:divsChild>
                </w:div>
                <w:div w:id="1577978112">
                  <w:marLeft w:val="0"/>
                  <w:marRight w:val="0"/>
                  <w:marTop w:val="0"/>
                  <w:marBottom w:val="0"/>
                  <w:divBdr>
                    <w:top w:val="none" w:sz="0" w:space="0" w:color="auto"/>
                    <w:left w:val="none" w:sz="0" w:space="0" w:color="auto"/>
                    <w:bottom w:val="none" w:sz="0" w:space="0" w:color="auto"/>
                    <w:right w:val="none" w:sz="0" w:space="0" w:color="auto"/>
                  </w:divBdr>
                  <w:divsChild>
                    <w:div w:id="36975715">
                      <w:marLeft w:val="0"/>
                      <w:marRight w:val="0"/>
                      <w:marTop w:val="0"/>
                      <w:marBottom w:val="0"/>
                      <w:divBdr>
                        <w:top w:val="none" w:sz="0" w:space="0" w:color="auto"/>
                        <w:left w:val="none" w:sz="0" w:space="0" w:color="auto"/>
                        <w:bottom w:val="none" w:sz="0" w:space="0" w:color="auto"/>
                        <w:right w:val="none" w:sz="0" w:space="0" w:color="auto"/>
                      </w:divBdr>
                    </w:div>
                  </w:divsChild>
                </w:div>
                <w:div w:id="229734905">
                  <w:marLeft w:val="0"/>
                  <w:marRight w:val="0"/>
                  <w:marTop w:val="0"/>
                  <w:marBottom w:val="0"/>
                  <w:divBdr>
                    <w:top w:val="none" w:sz="0" w:space="0" w:color="auto"/>
                    <w:left w:val="none" w:sz="0" w:space="0" w:color="auto"/>
                    <w:bottom w:val="none" w:sz="0" w:space="0" w:color="auto"/>
                    <w:right w:val="none" w:sz="0" w:space="0" w:color="auto"/>
                  </w:divBdr>
                  <w:divsChild>
                    <w:div w:id="1380544780">
                      <w:marLeft w:val="0"/>
                      <w:marRight w:val="0"/>
                      <w:marTop w:val="0"/>
                      <w:marBottom w:val="0"/>
                      <w:divBdr>
                        <w:top w:val="none" w:sz="0" w:space="0" w:color="auto"/>
                        <w:left w:val="none" w:sz="0" w:space="0" w:color="auto"/>
                        <w:bottom w:val="none" w:sz="0" w:space="0" w:color="auto"/>
                        <w:right w:val="none" w:sz="0" w:space="0" w:color="auto"/>
                      </w:divBdr>
                    </w:div>
                  </w:divsChild>
                </w:div>
                <w:div w:id="690492161">
                  <w:marLeft w:val="0"/>
                  <w:marRight w:val="0"/>
                  <w:marTop w:val="0"/>
                  <w:marBottom w:val="0"/>
                  <w:divBdr>
                    <w:top w:val="none" w:sz="0" w:space="0" w:color="auto"/>
                    <w:left w:val="none" w:sz="0" w:space="0" w:color="auto"/>
                    <w:bottom w:val="none" w:sz="0" w:space="0" w:color="auto"/>
                    <w:right w:val="none" w:sz="0" w:space="0" w:color="auto"/>
                  </w:divBdr>
                  <w:divsChild>
                    <w:div w:id="1731146470">
                      <w:marLeft w:val="0"/>
                      <w:marRight w:val="0"/>
                      <w:marTop w:val="0"/>
                      <w:marBottom w:val="0"/>
                      <w:divBdr>
                        <w:top w:val="none" w:sz="0" w:space="0" w:color="auto"/>
                        <w:left w:val="none" w:sz="0" w:space="0" w:color="auto"/>
                        <w:bottom w:val="none" w:sz="0" w:space="0" w:color="auto"/>
                        <w:right w:val="none" w:sz="0" w:space="0" w:color="auto"/>
                      </w:divBdr>
                    </w:div>
                  </w:divsChild>
                </w:div>
                <w:div w:id="2126002603">
                  <w:marLeft w:val="0"/>
                  <w:marRight w:val="0"/>
                  <w:marTop w:val="0"/>
                  <w:marBottom w:val="0"/>
                  <w:divBdr>
                    <w:top w:val="none" w:sz="0" w:space="0" w:color="auto"/>
                    <w:left w:val="none" w:sz="0" w:space="0" w:color="auto"/>
                    <w:bottom w:val="none" w:sz="0" w:space="0" w:color="auto"/>
                    <w:right w:val="none" w:sz="0" w:space="0" w:color="auto"/>
                  </w:divBdr>
                  <w:divsChild>
                    <w:div w:id="710034563">
                      <w:marLeft w:val="0"/>
                      <w:marRight w:val="0"/>
                      <w:marTop w:val="0"/>
                      <w:marBottom w:val="0"/>
                      <w:divBdr>
                        <w:top w:val="none" w:sz="0" w:space="0" w:color="auto"/>
                        <w:left w:val="none" w:sz="0" w:space="0" w:color="auto"/>
                        <w:bottom w:val="none" w:sz="0" w:space="0" w:color="auto"/>
                        <w:right w:val="none" w:sz="0" w:space="0" w:color="auto"/>
                      </w:divBdr>
                    </w:div>
                  </w:divsChild>
                </w:div>
                <w:div w:id="1864124263">
                  <w:marLeft w:val="0"/>
                  <w:marRight w:val="0"/>
                  <w:marTop w:val="0"/>
                  <w:marBottom w:val="0"/>
                  <w:divBdr>
                    <w:top w:val="none" w:sz="0" w:space="0" w:color="auto"/>
                    <w:left w:val="none" w:sz="0" w:space="0" w:color="auto"/>
                    <w:bottom w:val="none" w:sz="0" w:space="0" w:color="auto"/>
                    <w:right w:val="none" w:sz="0" w:space="0" w:color="auto"/>
                  </w:divBdr>
                  <w:divsChild>
                    <w:div w:id="1953701626">
                      <w:marLeft w:val="0"/>
                      <w:marRight w:val="0"/>
                      <w:marTop w:val="0"/>
                      <w:marBottom w:val="0"/>
                      <w:divBdr>
                        <w:top w:val="none" w:sz="0" w:space="0" w:color="auto"/>
                        <w:left w:val="none" w:sz="0" w:space="0" w:color="auto"/>
                        <w:bottom w:val="none" w:sz="0" w:space="0" w:color="auto"/>
                        <w:right w:val="none" w:sz="0" w:space="0" w:color="auto"/>
                      </w:divBdr>
                    </w:div>
                  </w:divsChild>
                </w:div>
                <w:div w:id="727458366">
                  <w:marLeft w:val="0"/>
                  <w:marRight w:val="0"/>
                  <w:marTop w:val="0"/>
                  <w:marBottom w:val="0"/>
                  <w:divBdr>
                    <w:top w:val="none" w:sz="0" w:space="0" w:color="auto"/>
                    <w:left w:val="none" w:sz="0" w:space="0" w:color="auto"/>
                    <w:bottom w:val="none" w:sz="0" w:space="0" w:color="auto"/>
                    <w:right w:val="none" w:sz="0" w:space="0" w:color="auto"/>
                  </w:divBdr>
                  <w:divsChild>
                    <w:div w:id="1277910858">
                      <w:marLeft w:val="0"/>
                      <w:marRight w:val="0"/>
                      <w:marTop w:val="0"/>
                      <w:marBottom w:val="0"/>
                      <w:divBdr>
                        <w:top w:val="none" w:sz="0" w:space="0" w:color="auto"/>
                        <w:left w:val="none" w:sz="0" w:space="0" w:color="auto"/>
                        <w:bottom w:val="none" w:sz="0" w:space="0" w:color="auto"/>
                        <w:right w:val="none" w:sz="0" w:space="0" w:color="auto"/>
                      </w:divBdr>
                    </w:div>
                  </w:divsChild>
                </w:div>
                <w:div w:id="683869170">
                  <w:marLeft w:val="0"/>
                  <w:marRight w:val="0"/>
                  <w:marTop w:val="0"/>
                  <w:marBottom w:val="0"/>
                  <w:divBdr>
                    <w:top w:val="none" w:sz="0" w:space="0" w:color="auto"/>
                    <w:left w:val="none" w:sz="0" w:space="0" w:color="auto"/>
                    <w:bottom w:val="none" w:sz="0" w:space="0" w:color="auto"/>
                    <w:right w:val="none" w:sz="0" w:space="0" w:color="auto"/>
                  </w:divBdr>
                  <w:divsChild>
                    <w:div w:id="676032127">
                      <w:marLeft w:val="0"/>
                      <w:marRight w:val="0"/>
                      <w:marTop w:val="0"/>
                      <w:marBottom w:val="0"/>
                      <w:divBdr>
                        <w:top w:val="none" w:sz="0" w:space="0" w:color="auto"/>
                        <w:left w:val="none" w:sz="0" w:space="0" w:color="auto"/>
                        <w:bottom w:val="none" w:sz="0" w:space="0" w:color="auto"/>
                        <w:right w:val="none" w:sz="0" w:space="0" w:color="auto"/>
                      </w:divBdr>
                    </w:div>
                  </w:divsChild>
                </w:div>
                <w:div w:id="1113675129">
                  <w:marLeft w:val="0"/>
                  <w:marRight w:val="0"/>
                  <w:marTop w:val="0"/>
                  <w:marBottom w:val="0"/>
                  <w:divBdr>
                    <w:top w:val="none" w:sz="0" w:space="0" w:color="auto"/>
                    <w:left w:val="none" w:sz="0" w:space="0" w:color="auto"/>
                    <w:bottom w:val="none" w:sz="0" w:space="0" w:color="auto"/>
                    <w:right w:val="none" w:sz="0" w:space="0" w:color="auto"/>
                  </w:divBdr>
                  <w:divsChild>
                    <w:div w:id="1668745081">
                      <w:marLeft w:val="0"/>
                      <w:marRight w:val="0"/>
                      <w:marTop w:val="0"/>
                      <w:marBottom w:val="0"/>
                      <w:divBdr>
                        <w:top w:val="none" w:sz="0" w:space="0" w:color="auto"/>
                        <w:left w:val="none" w:sz="0" w:space="0" w:color="auto"/>
                        <w:bottom w:val="none" w:sz="0" w:space="0" w:color="auto"/>
                        <w:right w:val="none" w:sz="0" w:space="0" w:color="auto"/>
                      </w:divBdr>
                    </w:div>
                  </w:divsChild>
                </w:div>
                <w:div w:id="162673372">
                  <w:marLeft w:val="0"/>
                  <w:marRight w:val="0"/>
                  <w:marTop w:val="0"/>
                  <w:marBottom w:val="0"/>
                  <w:divBdr>
                    <w:top w:val="none" w:sz="0" w:space="0" w:color="auto"/>
                    <w:left w:val="none" w:sz="0" w:space="0" w:color="auto"/>
                    <w:bottom w:val="none" w:sz="0" w:space="0" w:color="auto"/>
                    <w:right w:val="none" w:sz="0" w:space="0" w:color="auto"/>
                  </w:divBdr>
                  <w:divsChild>
                    <w:div w:id="770052718">
                      <w:marLeft w:val="0"/>
                      <w:marRight w:val="0"/>
                      <w:marTop w:val="0"/>
                      <w:marBottom w:val="0"/>
                      <w:divBdr>
                        <w:top w:val="none" w:sz="0" w:space="0" w:color="auto"/>
                        <w:left w:val="none" w:sz="0" w:space="0" w:color="auto"/>
                        <w:bottom w:val="none" w:sz="0" w:space="0" w:color="auto"/>
                        <w:right w:val="none" w:sz="0" w:space="0" w:color="auto"/>
                      </w:divBdr>
                    </w:div>
                  </w:divsChild>
                </w:div>
                <w:div w:id="238640789">
                  <w:marLeft w:val="0"/>
                  <w:marRight w:val="0"/>
                  <w:marTop w:val="0"/>
                  <w:marBottom w:val="0"/>
                  <w:divBdr>
                    <w:top w:val="none" w:sz="0" w:space="0" w:color="auto"/>
                    <w:left w:val="none" w:sz="0" w:space="0" w:color="auto"/>
                    <w:bottom w:val="none" w:sz="0" w:space="0" w:color="auto"/>
                    <w:right w:val="none" w:sz="0" w:space="0" w:color="auto"/>
                  </w:divBdr>
                  <w:divsChild>
                    <w:div w:id="1015037296">
                      <w:marLeft w:val="0"/>
                      <w:marRight w:val="0"/>
                      <w:marTop w:val="0"/>
                      <w:marBottom w:val="0"/>
                      <w:divBdr>
                        <w:top w:val="none" w:sz="0" w:space="0" w:color="auto"/>
                        <w:left w:val="none" w:sz="0" w:space="0" w:color="auto"/>
                        <w:bottom w:val="none" w:sz="0" w:space="0" w:color="auto"/>
                        <w:right w:val="none" w:sz="0" w:space="0" w:color="auto"/>
                      </w:divBdr>
                    </w:div>
                  </w:divsChild>
                </w:div>
                <w:div w:id="1146893772">
                  <w:marLeft w:val="0"/>
                  <w:marRight w:val="0"/>
                  <w:marTop w:val="0"/>
                  <w:marBottom w:val="0"/>
                  <w:divBdr>
                    <w:top w:val="none" w:sz="0" w:space="0" w:color="auto"/>
                    <w:left w:val="none" w:sz="0" w:space="0" w:color="auto"/>
                    <w:bottom w:val="none" w:sz="0" w:space="0" w:color="auto"/>
                    <w:right w:val="none" w:sz="0" w:space="0" w:color="auto"/>
                  </w:divBdr>
                  <w:divsChild>
                    <w:div w:id="543760832">
                      <w:marLeft w:val="0"/>
                      <w:marRight w:val="0"/>
                      <w:marTop w:val="0"/>
                      <w:marBottom w:val="0"/>
                      <w:divBdr>
                        <w:top w:val="none" w:sz="0" w:space="0" w:color="auto"/>
                        <w:left w:val="none" w:sz="0" w:space="0" w:color="auto"/>
                        <w:bottom w:val="none" w:sz="0" w:space="0" w:color="auto"/>
                        <w:right w:val="none" w:sz="0" w:space="0" w:color="auto"/>
                      </w:divBdr>
                    </w:div>
                  </w:divsChild>
                </w:div>
                <w:div w:id="1872188990">
                  <w:marLeft w:val="0"/>
                  <w:marRight w:val="0"/>
                  <w:marTop w:val="0"/>
                  <w:marBottom w:val="0"/>
                  <w:divBdr>
                    <w:top w:val="none" w:sz="0" w:space="0" w:color="auto"/>
                    <w:left w:val="none" w:sz="0" w:space="0" w:color="auto"/>
                    <w:bottom w:val="none" w:sz="0" w:space="0" w:color="auto"/>
                    <w:right w:val="none" w:sz="0" w:space="0" w:color="auto"/>
                  </w:divBdr>
                  <w:divsChild>
                    <w:div w:id="2057896886">
                      <w:marLeft w:val="0"/>
                      <w:marRight w:val="0"/>
                      <w:marTop w:val="0"/>
                      <w:marBottom w:val="0"/>
                      <w:divBdr>
                        <w:top w:val="none" w:sz="0" w:space="0" w:color="auto"/>
                        <w:left w:val="none" w:sz="0" w:space="0" w:color="auto"/>
                        <w:bottom w:val="none" w:sz="0" w:space="0" w:color="auto"/>
                        <w:right w:val="none" w:sz="0" w:space="0" w:color="auto"/>
                      </w:divBdr>
                    </w:div>
                  </w:divsChild>
                </w:div>
                <w:div w:id="1460101550">
                  <w:marLeft w:val="0"/>
                  <w:marRight w:val="0"/>
                  <w:marTop w:val="0"/>
                  <w:marBottom w:val="0"/>
                  <w:divBdr>
                    <w:top w:val="none" w:sz="0" w:space="0" w:color="auto"/>
                    <w:left w:val="none" w:sz="0" w:space="0" w:color="auto"/>
                    <w:bottom w:val="none" w:sz="0" w:space="0" w:color="auto"/>
                    <w:right w:val="none" w:sz="0" w:space="0" w:color="auto"/>
                  </w:divBdr>
                  <w:divsChild>
                    <w:div w:id="396783419">
                      <w:marLeft w:val="0"/>
                      <w:marRight w:val="0"/>
                      <w:marTop w:val="0"/>
                      <w:marBottom w:val="0"/>
                      <w:divBdr>
                        <w:top w:val="none" w:sz="0" w:space="0" w:color="auto"/>
                        <w:left w:val="none" w:sz="0" w:space="0" w:color="auto"/>
                        <w:bottom w:val="none" w:sz="0" w:space="0" w:color="auto"/>
                        <w:right w:val="none" w:sz="0" w:space="0" w:color="auto"/>
                      </w:divBdr>
                    </w:div>
                  </w:divsChild>
                </w:div>
                <w:div w:id="178738913">
                  <w:marLeft w:val="0"/>
                  <w:marRight w:val="0"/>
                  <w:marTop w:val="0"/>
                  <w:marBottom w:val="0"/>
                  <w:divBdr>
                    <w:top w:val="none" w:sz="0" w:space="0" w:color="auto"/>
                    <w:left w:val="none" w:sz="0" w:space="0" w:color="auto"/>
                    <w:bottom w:val="none" w:sz="0" w:space="0" w:color="auto"/>
                    <w:right w:val="none" w:sz="0" w:space="0" w:color="auto"/>
                  </w:divBdr>
                  <w:divsChild>
                    <w:div w:id="1812163345">
                      <w:marLeft w:val="0"/>
                      <w:marRight w:val="0"/>
                      <w:marTop w:val="0"/>
                      <w:marBottom w:val="0"/>
                      <w:divBdr>
                        <w:top w:val="none" w:sz="0" w:space="0" w:color="auto"/>
                        <w:left w:val="none" w:sz="0" w:space="0" w:color="auto"/>
                        <w:bottom w:val="none" w:sz="0" w:space="0" w:color="auto"/>
                        <w:right w:val="none" w:sz="0" w:space="0" w:color="auto"/>
                      </w:divBdr>
                    </w:div>
                  </w:divsChild>
                </w:div>
                <w:div w:id="1398162063">
                  <w:marLeft w:val="0"/>
                  <w:marRight w:val="0"/>
                  <w:marTop w:val="0"/>
                  <w:marBottom w:val="0"/>
                  <w:divBdr>
                    <w:top w:val="none" w:sz="0" w:space="0" w:color="auto"/>
                    <w:left w:val="none" w:sz="0" w:space="0" w:color="auto"/>
                    <w:bottom w:val="none" w:sz="0" w:space="0" w:color="auto"/>
                    <w:right w:val="none" w:sz="0" w:space="0" w:color="auto"/>
                  </w:divBdr>
                  <w:divsChild>
                    <w:div w:id="409352548">
                      <w:marLeft w:val="0"/>
                      <w:marRight w:val="0"/>
                      <w:marTop w:val="0"/>
                      <w:marBottom w:val="0"/>
                      <w:divBdr>
                        <w:top w:val="none" w:sz="0" w:space="0" w:color="auto"/>
                        <w:left w:val="none" w:sz="0" w:space="0" w:color="auto"/>
                        <w:bottom w:val="none" w:sz="0" w:space="0" w:color="auto"/>
                        <w:right w:val="none" w:sz="0" w:space="0" w:color="auto"/>
                      </w:divBdr>
                    </w:div>
                  </w:divsChild>
                </w:div>
                <w:div w:id="1226793291">
                  <w:marLeft w:val="0"/>
                  <w:marRight w:val="0"/>
                  <w:marTop w:val="0"/>
                  <w:marBottom w:val="0"/>
                  <w:divBdr>
                    <w:top w:val="none" w:sz="0" w:space="0" w:color="auto"/>
                    <w:left w:val="none" w:sz="0" w:space="0" w:color="auto"/>
                    <w:bottom w:val="none" w:sz="0" w:space="0" w:color="auto"/>
                    <w:right w:val="none" w:sz="0" w:space="0" w:color="auto"/>
                  </w:divBdr>
                  <w:divsChild>
                    <w:div w:id="162009878">
                      <w:marLeft w:val="0"/>
                      <w:marRight w:val="0"/>
                      <w:marTop w:val="0"/>
                      <w:marBottom w:val="0"/>
                      <w:divBdr>
                        <w:top w:val="none" w:sz="0" w:space="0" w:color="auto"/>
                        <w:left w:val="none" w:sz="0" w:space="0" w:color="auto"/>
                        <w:bottom w:val="none" w:sz="0" w:space="0" w:color="auto"/>
                        <w:right w:val="none" w:sz="0" w:space="0" w:color="auto"/>
                      </w:divBdr>
                    </w:div>
                  </w:divsChild>
                </w:div>
                <w:div w:id="1863516258">
                  <w:marLeft w:val="0"/>
                  <w:marRight w:val="0"/>
                  <w:marTop w:val="0"/>
                  <w:marBottom w:val="0"/>
                  <w:divBdr>
                    <w:top w:val="none" w:sz="0" w:space="0" w:color="auto"/>
                    <w:left w:val="none" w:sz="0" w:space="0" w:color="auto"/>
                    <w:bottom w:val="none" w:sz="0" w:space="0" w:color="auto"/>
                    <w:right w:val="none" w:sz="0" w:space="0" w:color="auto"/>
                  </w:divBdr>
                  <w:divsChild>
                    <w:div w:id="668142105">
                      <w:marLeft w:val="0"/>
                      <w:marRight w:val="0"/>
                      <w:marTop w:val="0"/>
                      <w:marBottom w:val="0"/>
                      <w:divBdr>
                        <w:top w:val="none" w:sz="0" w:space="0" w:color="auto"/>
                        <w:left w:val="none" w:sz="0" w:space="0" w:color="auto"/>
                        <w:bottom w:val="none" w:sz="0" w:space="0" w:color="auto"/>
                        <w:right w:val="none" w:sz="0" w:space="0" w:color="auto"/>
                      </w:divBdr>
                    </w:div>
                  </w:divsChild>
                </w:div>
                <w:div w:id="1486316461">
                  <w:marLeft w:val="0"/>
                  <w:marRight w:val="0"/>
                  <w:marTop w:val="0"/>
                  <w:marBottom w:val="0"/>
                  <w:divBdr>
                    <w:top w:val="none" w:sz="0" w:space="0" w:color="auto"/>
                    <w:left w:val="none" w:sz="0" w:space="0" w:color="auto"/>
                    <w:bottom w:val="none" w:sz="0" w:space="0" w:color="auto"/>
                    <w:right w:val="none" w:sz="0" w:space="0" w:color="auto"/>
                  </w:divBdr>
                  <w:divsChild>
                    <w:div w:id="1192186678">
                      <w:marLeft w:val="0"/>
                      <w:marRight w:val="0"/>
                      <w:marTop w:val="0"/>
                      <w:marBottom w:val="0"/>
                      <w:divBdr>
                        <w:top w:val="none" w:sz="0" w:space="0" w:color="auto"/>
                        <w:left w:val="none" w:sz="0" w:space="0" w:color="auto"/>
                        <w:bottom w:val="none" w:sz="0" w:space="0" w:color="auto"/>
                        <w:right w:val="none" w:sz="0" w:space="0" w:color="auto"/>
                      </w:divBdr>
                    </w:div>
                  </w:divsChild>
                </w:div>
                <w:div w:id="1196962961">
                  <w:marLeft w:val="0"/>
                  <w:marRight w:val="0"/>
                  <w:marTop w:val="0"/>
                  <w:marBottom w:val="0"/>
                  <w:divBdr>
                    <w:top w:val="none" w:sz="0" w:space="0" w:color="auto"/>
                    <w:left w:val="none" w:sz="0" w:space="0" w:color="auto"/>
                    <w:bottom w:val="none" w:sz="0" w:space="0" w:color="auto"/>
                    <w:right w:val="none" w:sz="0" w:space="0" w:color="auto"/>
                  </w:divBdr>
                  <w:divsChild>
                    <w:div w:id="38433088">
                      <w:marLeft w:val="0"/>
                      <w:marRight w:val="0"/>
                      <w:marTop w:val="0"/>
                      <w:marBottom w:val="0"/>
                      <w:divBdr>
                        <w:top w:val="none" w:sz="0" w:space="0" w:color="auto"/>
                        <w:left w:val="none" w:sz="0" w:space="0" w:color="auto"/>
                        <w:bottom w:val="none" w:sz="0" w:space="0" w:color="auto"/>
                        <w:right w:val="none" w:sz="0" w:space="0" w:color="auto"/>
                      </w:divBdr>
                    </w:div>
                  </w:divsChild>
                </w:div>
                <w:div w:id="1437094347">
                  <w:marLeft w:val="0"/>
                  <w:marRight w:val="0"/>
                  <w:marTop w:val="0"/>
                  <w:marBottom w:val="0"/>
                  <w:divBdr>
                    <w:top w:val="none" w:sz="0" w:space="0" w:color="auto"/>
                    <w:left w:val="none" w:sz="0" w:space="0" w:color="auto"/>
                    <w:bottom w:val="none" w:sz="0" w:space="0" w:color="auto"/>
                    <w:right w:val="none" w:sz="0" w:space="0" w:color="auto"/>
                  </w:divBdr>
                  <w:divsChild>
                    <w:div w:id="1131941844">
                      <w:marLeft w:val="0"/>
                      <w:marRight w:val="0"/>
                      <w:marTop w:val="0"/>
                      <w:marBottom w:val="0"/>
                      <w:divBdr>
                        <w:top w:val="none" w:sz="0" w:space="0" w:color="auto"/>
                        <w:left w:val="none" w:sz="0" w:space="0" w:color="auto"/>
                        <w:bottom w:val="none" w:sz="0" w:space="0" w:color="auto"/>
                        <w:right w:val="none" w:sz="0" w:space="0" w:color="auto"/>
                      </w:divBdr>
                    </w:div>
                  </w:divsChild>
                </w:div>
                <w:div w:id="954629742">
                  <w:marLeft w:val="0"/>
                  <w:marRight w:val="0"/>
                  <w:marTop w:val="0"/>
                  <w:marBottom w:val="0"/>
                  <w:divBdr>
                    <w:top w:val="none" w:sz="0" w:space="0" w:color="auto"/>
                    <w:left w:val="none" w:sz="0" w:space="0" w:color="auto"/>
                    <w:bottom w:val="none" w:sz="0" w:space="0" w:color="auto"/>
                    <w:right w:val="none" w:sz="0" w:space="0" w:color="auto"/>
                  </w:divBdr>
                  <w:divsChild>
                    <w:div w:id="1827741369">
                      <w:marLeft w:val="0"/>
                      <w:marRight w:val="0"/>
                      <w:marTop w:val="0"/>
                      <w:marBottom w:val="0"/>
                      <w:divBdr>
                        <w:top w:val="none" w:sz="0" w:space="0" w:color="auto"/>
                        <w:left w:val="none" w:sz="0" w:space="0" w:color="auto"/>
                        <w:bottom w:val="none" w:sz="0" w:space="0" w:color="auto"/>
                        <w:right w:val="none" w:sz="0" w:space="0" w:color="auto"/>
                      </w:divBdr>
                    </w:div>
                  </w:divsChild>
                </w:div>
                <w:div w:id="881596317">
                  <w:marLeft w:val="0"/>
                  <w:marRight w:val="0"/>
                  <w:marTop w:val="0"/>
                  <w:marBottom w:val="0"/>
                  <w:divBdr>
                    <w:top w:val="none" w:sz="0" w:space="0" w:color="auto"/>
                    <w:left w:val="none" w:sz="0" w:space="0" w:color="auto"/>
                    <w:bottom w:val="none" w:sz="0" w:space="0" w:color="auto"/>
                    <w:right w:val="none" w:sz="0" w:space="0" w:color="auto"/>
                  </w:divBdr>
                  <w:divsChild>
                    <w:div w:id="1635911532">
                      <w:marLeft w:val="0"/>
                      <w:marRight w:val="0"/>
                      <w:marTop w:val="0"/>
                      <w:marBottom w:val="0"/>
                      <w:divBdr>
                        <w:top w:val="none" w:sz="0" w:space="0" w:color="auto"/>
                        <w:left w:val="none" w:sz="0" w:space="0" w:color="auto"/>
                        <w:bottom w:val="none" w:sz="0" w:space="0" w:color="auto"/>
                        <w:right w:val="none" w:sz="0" w:space="0" w:color="auto"/>
                      </w:divBdr>
                    </w:div>
                  </w:divsChild>
                </w:div>
                <w:div w:id="910581284">
                  <w:marLeft w:val="0"/>
                  <w:marRight w:val="0"/>
                  <w:marTop w:val="0"/>
                  <w:marBottom w:val="0"/>
                  <w:divBdr>
                    <w:top w:val="none" w:sz="0" w:space="0" w:color="auto"/>
                    <w:left w:val="none" w:sz="0" w:space="0" w:color="auto"/>
                    <w:bottom w:val="none" w:sz="0" w:space="0" w:color="auto"/>
                    <w:right w:val="none" w:sz="0" w:space="0" w:color="auto"/>
                  </w:divBdr>
                  <w:divsChild>
                    <w:div w:id="1756324388">
                      <w:marLeft w:val="0"/>
                      <w:marRight w:val="0"/>
                      <w:marTop w:val="0"/>
                      <w:marBottom w:val="0"/>
                      <w:divBdr>
                        <w:top w:val="none" w:sz="0" w:space="0" w:color="auto"/>
                        <w:left w:val="none" w:sz="0" w:space="0" w:color="auto"/>
                        <w:bottom w:val="none" w:sz="0" w:space="0" w:color="auto"/>
                        <w:right w:val="none" w:sz="0" w:space="0" w:color="auto"/>
                      </w:divBdr>
                    </w:div>
                  </w:divsChild>
                </w:div>
                <w:div w:id="1940093290">
                  <w:marLeft w:val="0"/>
                  <w:marRight w:val="0"/>
                  <w:marTop w:val="0"/>
                  <w:marBottom w:val="0"/>
                  <w:divBdr>
                    <w:top w:val="none" w:sz="0" w:space="0" w:color="auto"/>
                    <w:left w:val="none" w:sz="0" w:space="0" w:color="auto"/>
                    <w:bottom w:val="none" w:sz="0" w:space="0" w:color="auto"/>
                    <w:right w:val="none" w:sz="0" w:space="0" w:color="auto"/>
                  </w:divBdr>
                  <w:divsChild>
                    <w:div w:id="740905335">
                      <w:marLeft w:val="0"/>
                      <w:marRight w:val="0"/>
                      <w:marTop w:val="0"/>
                      <w:marBottom w:val="0"/>
                      <w:divBdr>
                        <w:top w:val="none" w:sz="0" w:space="0" w:color="auto"/>
                        <w:left w:val="none" w:sz="0" w:space="0" w:color="auto"/>
                        <w:bottom w:val="none" w:sz="0" w:space="0" w:color="auto"/>
                        <w:right w:val="none" w:sz="0" w:space="0" w:color="auto"/>
                      </w:divBdr>
                    </w:div>
                  </w:divsChild>
                </w:div>
                <w:div w:id="1464424513">
                  <w:marLeft w:val="0"/>
                  <w:marRight w:val="0"/>
                  <w:marTop w:val="0"/>
                  <w:marBottom w:val="0"/>
                  <w:divBdr>
                    <w:top w:val="none" w:sz="0" w:space="0" w:color="auto"/>
                    <w:left w:val="none" w:sz="0" w:space="0" w:color="auto"/>
                    <w:bottom w:val="none" w:sz="0" w:space="0" w:color="auto"/>
                    <w:right w:val="none" w:sz="0" w:space="0" w:color="auto"/>
                  </w:divBdr>
                  <w:divsChild>
                    <w:div w:id="77210976">
                      <w:marLeft w:val="0"/>
                      <w:marRight w:val="0"/>
                      <w:marTop w:val="0"/>
                      <w:marBottom w:val="0"/>
                      <w:divBdr>
                        <w:top w:val="none" w:sz="0" w:space="0" w:color="auto"/>
                        <w:left w:val="none" w:sz="0" w:space="0" w:color="auto"/>
                        <w:bottom w:val="none" w:sz="0" w:space="0" w:color="auto"/>
                        <w:right w:val="none" w:sz="0" w:space="0" w:color="auto"/>
                      </w:divBdr>
                    </w:div>
                  </w:divsChild>
                </w:div>
                <w:div w:id="435832126">
                  <w:marLeft w:val="0"/>
                  <w:marRight w:val="0"/>
                  <w:marTop w:val="0"/>
                  <w:marBottom w:val="0"/>
                  <w:divBdr>
                    <w:top w:val="none" w:sz="0" w:space="0" w:color="auto"/>
                    <w:left w:val="none" w:sz="0" w:space="0" w:color="auto"/>
                    <w:bottom w:val="none" w:sz="0" w:space="0" w:color="auto"/>
                    <w:right w:val="none" w:sz="0" w:space="0" w:color="auto"/>
                  </w:divBdr>
                  <w:divsChild>
                    <w:div w:id="1659727153">
                      <w:marLeft w:val="0"/>
                      <w:marRight w:val="0"/>
                      <w:marTop w:val="0"/>
                      <w:marBottom w:val="0"/>
                      <w:divBdr>
                        <w:top w:val="none" w:sz="0" w:space="0" w:color="auto"/>
                        <w:left w:val="none" w:sz="0" w:space="0" w:color="auto"/>
                        <w:bottom w:val="none" w:sz="0" w:space="0" w:color="auto"/>
                        <w:right w:val="none" w:sz="0" w:space="0" w:color="auto"/>
                      </w:divBdr>
                    </w:div>
                  </w:divsChild>
                </w:div>
                <w:div w:id="543173838">
                  <w:marLeft w:val="0"/>
                  <w:marRight w:val="0"/>
                  <w:marTop w:val="0"/>
                  <w:marBottom w:val="0"/>
                  <w:divBdr>
                    <w:top w:val="none" w:sz="0" w:space="0" w:color="auto"/>
                    <w:left w:val="none" w:sz="0" w:space="0" w:color="auto"/>
                    <w:bottom w:val="none" w:sz="0" w:space="0" w:color="auto"/>
                    <w:right w:val="none" w:sz="0" w:space="0" w:color="auto"/>
                  </w:divBdr>
                  <w:divsChild>
                    <w:div w:id="1939363006">
                      <w:marLeft w:val="0"/>
                      <w:marRight w:val="0"/>
                      <w:marTop w:val="0"/>
                      <w:marBottom w:val="0"/>
                      <w:divBdr>
                        <w:top w:val="none" w:sz="0" w:space="0" w:color="auto"/>
                        <w:left w:val="none" w:sz="0" w:space="0" w:color="auto"/>
                        <w:bottom w:val="none" w:sz="0" w:space="0" w:color="auto"/>
                        <w:right w:val="none" w:sz="0" w:space="0" w:color="auto"/>
                      </w:divBdr>
                    </w:div>
                  </w:divsChild>
                </w:div>
                <w:div w:id="1539196120">
                  <w:marLeft w:val="0"/>
                  <w:marRight w:val="0"/>
                  <w:marTop w:val="0"/>
                  <w:marBottom w:val="0"/>
                  <w:divBdr>
                    <w:top w:val="none" w:sz="0" w:space="0" w:color="auto"/>
                    <w:left w:val="none" w:sz="0" w:space="0" w:color="auto"/>
                    <w:bottom w:val="none" w:sz="0" w:space="0" w:color="auto"/>
                    <w:right w:val="none" w:sz="0" w:space="0" w:color="auto"/>
                  </w:divBdr>
                  <w:divsChild>
                    <w:div w:id="1626037554">
                      <w:marLeft w:val="0"/>
                      <w:marRight w:val="0"/>
                      <w:marTop w:val="0"/>
                      <w:marBottom w:val="0"/>
                      <w:divBdr>
                        <w:top w:val="none" w:sz="0" w:space="0" w:color="auto"/>
                        <w:left w:val="none" w:sz="0" w:space="0" w:color="auto"/>
                        <w:bottom w:val="none" w:sz="0" w:space="0" w:color="auto"/>
                        <w:right w:val="none" w:sz="0" w:space="0" w:color="auto"/>
                      </w:divBdr>
                    </w:div>
                  </w:divsChild>
                </w:div>
                <w:div w:id="593130865">
                  <w:marLeft w:val="0"/>
                  <w:marRight w:val="0"/>
                  <w:marTop w:val="0"/>
                  <w:marBottom w:val="0"/>
                  <w:divBdr>
                    <w:top w:val="none" w:sz="0" w:space="0" w:color="auto"/>
                    <w:left w:val="none" w:sz="0" w:space="0" w:color="auto"/>
                    <w:bottom w:val="none" w:sz="0" w:space="0" w:color="auto"/>
                    <w:right w:val="none" w:sz="0" w:space="0" w:color="auto"/>
                  </w:divBdr>
                  <w:divsChild>
                    <w:div w:id="646401344">
                      <w:marLeft w:val="0"/>
                      <w:marRight w:val="0"/>
                      <w:marTop w:val="0"/>
                      <w:marBottom w:val="0"/>
                      <w:divBdr>
                        <w:top w:val="none" w:sz="0" w:space="0" w:color="auto"/>
                        <w:left w:val="none" w:sz="0" w:space="0" w:color="auto"/>
                        <w:bottom w:val="none" w:sz="0" w:space="0" w:color="auto"/>
                        <w:right w:val="none" w:sz="0" w:space="0" w:color="auto"/>
                      </w:divBdr>
                    </w:div>
                  </w:divsChild>
                </w:div>
                <w:div w:id="2082558437">
                  <w:marLeft w:val="0"/>
                  <w:marRight w:val="0"/>
                  <w:marTop w:val="0"/>
                  <w:marBottom w:val="0"/>
                  <w:divBdr>
                    <w:top w:val="none" w:sz="0" w:space="0" w:color="auto"/>
                    <w:left w:val="none" w:sz="0" w:space="0" w:color="auto"/>
                    <w:bottom w:val="none" w:sz="0" w:space="0" w:color="auto"/>
                    <w:right w:val="none" w:sz="0" w:space="0" w:color="auto"/>
                  </w:divBdr>
                  <w:divsChild>
                    <w:div w:id="522403430">
                      <w:marLeft w:val="0"/>
                      <w:marRight w:val="0"/>
                      <w:marTop w:val="0"/>
                      <w:marBottom w:val="0"/>
                      <w:divBdr>
                        <w:top w:val="none" w:sz="0" w:space="0" w:color="auto"/>
                        <w:left w:val="none" w:sz="0" w:space="0" w:color="auto"/>
                        <w:bottom w:val="none" w:sz="0" w:space="0" w:color="auto"/>
                        <w:right w:val="none" w:sz="0" w:space="0" w:color="auto"/>
                      </w:divBdr>
                    </w:div>
                  </w:divsChild>
                </w:div>
                <w:div w:id="211966130">
                  <w:marLeft w:val="0"/>
                  <w:marRight w:val="0"/>
                  <w:marTop w:val="0"/>
                  <w:marBottom w:val="0"/>
                  <w:divBdr>
                    <w:top w:val="none" w:sz="0" w:space="0" w:color="auto"/>
                    <w:left w:val="none" w:sz="0" w:space="0" w:color="auto"/>
                    <w:bottom w:val="none" w:sz="0" w:space="0" w:color="auto"/>
                    <w:right w:val="none" w:sz="0" w:space="0" w:color="auto"/>
                  </w:divBdr>
                  <w:divsChild>
                    <w:div w:id="1778715822">
                      <w:marLeft w:val="0"/>
                      <w:marRight w:val="0"/>
                      <w:marTop w:val="0"/>
                      <w:marBottom w:val="0"/>
                      <w:divBdr>
                        <w:top w:val="none" w:sz="0" w:space="0" w:color="auto"/>
                        <w:left w:val="none" w:sz="0" w:space="0" w:color="auto"/>
                        <w:bottom w:val="none" w:sz="0" w:space="0" w:color="auto"/>
                        <w:right w:val="none" w:sz="0" w:space="0" w:color="auto"/>
                      </w:divBdr>
                    </w:div>
                  </w:divsChild>
                </w:div>
                <w:div w:id="1950501991">
                  <w:marLeft w:val="0"/>
                  <w:marRight w:val="0"/>
                  <w:marTop w:val="0"/>
                  <w:marBottom w:val="0"/>
                  <w:divBdr>
                    <w:top w:val="none" w:sz="0" w:space="0" w:color="auto"/>
                    <w:left w:val="none" w:sz="0" w:space="0" w:color="auto"/>
                    <w:bottom w:val="none" w:sz="0" w:space="0" w:color="auto"/>
                    <w:right w:val="none" w:sz="0" w:space="0" w:color="auto"/>
                  </w:divBdr>
                  <w:divsChild>
                    <w:div w:id="12158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8737258">
      <w:bodyDiv w:val="1"/>
      <w:marLeft w:val="0"/>
      <w:marRight w:val="0"/>
      <w:marTop w:val="0"/>
      <w:marBottom w:val="0"/>
      <w:divBdr>
        <w:top w:val="none" w:sz="0" w:space="0" w:color="auto"/>
        <w:left w:val="none" w:sz="0" w:space="0" w:color="auto"/>
        <w:bottom w:val="none" w:sz="0" w:space="0" w:color="auto"/>
        <w:right w:val="none" w:sz="0" w:space="0" w:color="auto"/>
      </w:divBdr>
      <w:divsChild>
        <w:div w:id="26757003">
          <w:marLeft w:val="0"/>
          <w:marRight w:val="0"/>
          <w:marTop w:val="0"/>
          <w:marBottom w:val="0"/>
          <w:divBdr>
            <w:top w:val="none" w:sz="0" w:space="0" w:color="auto"/>
            <w:left w:val="none" w:sz="0" w:space="0" w:color="auto"/>
            <w:bottom w:val="none" w:sz="0" w:space="0" w:color="auto"/>
            <w:right w:val="none" w:sz="0" w:space="0" w:color="auto"/>
          </w:divBdr>
        </w:div>
      </w:divsChild>
    </w:div>
    <w:div w:id="1862237360">
      <w:bodyDiv w:val="1"/>
      <w:marLeft w:val="0"/>
      <w:marRight w:val="0"/>
      <w:marTop w:val="0"/>
      <w:marBottom w:val="0"/>
      <w:divBdr>
        <w:top w:val="none" w:sz="0" w:space="0" w:color="auto"/>
        <w:left w:val="none" w:sz="0" w:space="0" w:color="auto"/>
        <w:bottom w:val="none" w:sz="0" w:space="0" w:color="auto"/>
        <w:right w:val="none" w:sz="0" w:space="0" w:color="auto"/>
      </w:divBdr>
      <w:divsChild>
        <w:div w:id="66775799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1801125D-7F23-40FC-9590-C5DC0BF4352F}"/>
</file>

<file path=customXml/itemProps2.xml><?xml version="1.0" encoding="utf-8"?>
<ds:datastoreItem xmlns:ds="http://schemas.openxmlformats.org/officeDocument/2006/customXml" ds:itemID="{0EE2AFB9-8DEF-4726-B89E-FC4869B90F6D}"/>
</file>

<file path=customXml/itemProps3.xml><?xml version="1.0" encoding="utf-8"?>
<ds:datastoreItem xmlns:ds="http://schemas.openxmlformats.org/officeDocument/2006/customXml" ds:itemID="{3B9FE28C-BAD2-47DD-95D4-5FEEF0908B83}"/>
</file>

<file path=docProps/app.xml><?xml version="1.0" encoding="utf-8"?>
<Properties xmlns="http://schemas.openxmlformats.org/officeDocument/2006/extended-properties" xmlns:vt="http://schemas.openxmlformats.org/officeDocument/2006/docPropsVTypes">
  <Template>Normal</Template>
  <TotalTime>17</TotalTime>
  <Pages>1</Pages>
  <Words>1250</Words>
  <Characters>7128</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Angharad Higgins (Swansea Bay UHB - Corporate Nursing)</dc:creator>
  <cp:keywords/>
  <dc:description/>
  <cp:lastModifiedBy>Angharad Higgins (Swansea Bay UHB - Corporate Nursing)</cp:lastModifiedBy>
  <cp:revision>20</cp:revision>
  <dcterms:created xsi:type="dcterms:W3CDTF">2026-04-15T13:50:00Z</dcterms:created>
  <dcterms:modified xsi:type="dcterms:W3CDTF">2026-04-15T16:03:00Z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