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714" w:type="dxa"/>
        <w:tblLayout w:type="fixed"/>
        <w:tblLook w:val="04A0" w:firstRow="1" w:lastRow="0" w:firstColumn="1" w:lastColumn="0" w:noHBand="0" w:noVBand="1"/>
      </w:tblPr>
      <w:tblGrid>
        <w:gridCol w:w="2836"/>
        <w:gridCol w:w="1994"/>
        <w:gridCol w:w="1691"/>
        <w:gridCol w:w="32"/>
        <w:gridCol w:w="1661"/>
        <w:gridCol w:w="675"/>
        <w:gridCol w:w="841"/>
      </w:tblGrid>
      <w:tr w:rsidRPr="00F8567E" w:rsidR="00083FC0" w:rsidTr="0E58ADAB" w14:paraId="6D2903E2" w14:textId="77777777">
        <w:tc>
          <w:tcPr>
            <w:tcW w:w="2836"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685" w:type="dxa"/>
            <w:gridSpan w:val="2"/>
            <w:tcMar/>
          </w:tcPr>
          <w:p w:rsidRPr="00F8567E" w:rsidR="00F5082D" w:rsidP="0E58ADAB" w:rsidRDefault="002D2A31" w14:paraId="6D2903DF" w14:textId="65721AD5">
            <w:pPr>
              <w:rPr>
                <w:rFonts w:ascii="Verdana" w:hAnsi="Verdana" w:cs="Arial"/>
                <w:b w:val="1"/>
                <w:bCs w:val="1"/>
                <w:sz w:val="24"/>
                <w:szCs w:val="24"/>
              </w:rPr>
            </w:pPr>
            <w:r w:rsidRPr="0E58ADAB" w:rsidR="002D2A31">
              <w:rPr>
                <w:rFonts w:ascii="Verdana" w:hAnsi="Verdana" w:cs="Arial"/>
                <w:b w:val="1"/>
                <w:bCs w:val="1"/>
                <w:sz w:val="24"/>
                <w:szCs w:val="24"/>
              </w:rPr>
              <w:t>21</w:t>
            </w:r>
            <w:r w:rsidRPr="0E58ADAB" w:rsidR="268253A2">
              <w:rPr>
                <w:rFonts w:ascii="Verdana" w:hAnsi="Verdana" w:cs="Arial"/>
                <w:b w:val="1"/>
                <w:bCs w:val="1"/>
                <w:sz w:val="24"/>
                <w:szCs w:val="24"/>
              </w:rPr>
              <w:t xml:space="preserve"> </w:t>
            </w:r>
            <w:r w:rsidRPr="0E58ADAB" w:rsidR="002D2A31">
              <w:rPr>
                <w:rFonts w:ascii="Verdana" w:hAnsi="Verdana" w:cs="Arial"/>
                <w:b w:val="1"/>
                <w:bCs w:val="1"/>
                <w:sz w:val="24"/>
                <w:szCs w:val="24"/>
              </w:rPr>
              <w:t>April 2026</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0E58ADAB" w:rsidRDefault="00F5082D" w14:paraId="6D2903E1" w14:textId="7C175056">
            <w:pPr>
              <w:rPr>
                <w:rFonts w:ascii="Verdana" w:hAnsi="Verdana" w:cs="Arial"/>
                <w:b w:val="1"/>
                <w:bCs w:val="1"/>
                <w:sz w:val="24"/>
                <w:szCs w:val="24"/>
              </w:rPr>
            </w:pPr>
            <w:r w:rsidRPr="0E58ADAB" w:rsidR="1A356876">
              <w:rPr>
                <w:rFonts w:ascii="Verdana" w:hAnsi="Verdana" w:cs="Arial"/>
                <w:b w:val="1"/>
                <w:bCs w:val="1"/>
                <w:sz w:val="24"/>
                <w:szCs w:val="24"/>
              </w:rPr>
              <w:t>3.7</w:t>
            </w:r>
          </w:p>
        </w:tc>
      </w:tr>
      <w:tr w:rsidRPr="00F8567E" w:rsidR="00CF25E9" w:rsidTr="0E58ADAB" w14:paraId="1EEB45B2" w14:textId="77777777">
        <w:tc>
          <w:tcPr>
            <w:tcW w:w="2836" w:type="dxa"/>
            <w:tcMar/>
          </w:tcPr>
          <w:p w:rsidRPr="00F8567E" w:rsidR="00CF25E9" w:rsidP="00CF25E9" w:rsidRDefault="00CF25E9"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894" w:type="dxa"/>
            <w:gridSpan w:val="6"/>
            <w:tcMar/>
          </w:tcPr>
          <w:p w:rsidRPr="00F8567E" w:rsidR="00CF25E9" w:rsidP="00CF25E9" w:rsidRDefault="00CF25E9" w14:paraId="5687483E" w14:textId="1F0B2A14">
            <w:pPr>
              <w:rPr>
                <w:rFonts w:ascii="Verdana" w:hAnsi="Verdana" w:cs="Arial"/>
                <w:b/>
                <w:sz w:val="24"/>
                <w:szCs w:val="24"/>
                <w:highlight w:val="yellow"/>
              </w:rPr>
            </w:pPr>
            <w:r w:rsidRPr="00492A8B">
              <w:rPr>
                <w:rFonts w:ascii="Verdana" w:hAnsi="Verdana" w:cs="Arial"/>
                <w:b/>
                <w:sz w:val="24"/>
                <w:szCs w:val="24"/>
              </w:rPr>
              <w:t xml:space="preserve">Workforce and OD Committee </w:t>
            </w:r>
          </w:p>
        </w:tc>
      </w:tr>
      <w:tr w:rsidRPr="00F8567E" w:rsidR="00CF25E9" w:rsidTr="0E58ADAB" w14:paraId="6D2903E5" w14:textId="77777777">
        <w:tc>
          <w:tcPr>
            <w:tcW w:w="2836" w:type="dxa"/>
            <w:tcMar/>
          </w:tcPr>
          <w:p w:rsidRPr="00F8567E" w:rsidR="00CF25E9" w:rsidP="00CF25E9" w:rsidRDefault="00CF25E9" w14:paraId="6D2903E3" w14:textId="77777777">
            <w:pPr>
              <w:rPr>
                <w:rFonts w:ascii="Verdana" w:hAnsi="Verdana" w:cs="Arial"/>
                <w:b/>
                <w:sz w:val="24"/>
                <w:szCs w:val="24"/>
              </w:rPr>
            </w:pPr>
            <w:r w:rsidRPr="00F8567E">
              <w:rPr>
                <w:rFonts w:ascii="Verdana" w:hAnsi="Verdana" w:cs="Arial"/>
                <w:b/>
                <w:sz w:val="24"/>
                <w:szCs w:val="24"/>
              </w:rPr>
              <w:t>Report Title</w:t>
            </w:r>
          </w:p>
        </w:tc>
        <w:tc>
          <w:tcPr>
            <w:tcW w:w="6894" w:type="dxa"/>
            <w:gridSpan w:val="6"/>
            <w:tcMar/>
          </w:tcPr>
          <w:p w:rsidRPr="00F8567E" w:rsidR="00CF25E9" w:rsidP="00CF25E9" w:rsidRDefault="00CF25E9" w14:paraId="6D2903E4" w14:textId="0A5A0C1F">
            <w:pPr>
              <w:rPr>
                <w:rFonts w:ascii="Verdana" w:hAnsi="Verdana" w:cs="Arial"/>
                <w:b/>
                <w:sz w:val="24"/>
                <w:szCs w:val="24"/>
              </w:rPr>
            </w:pPr>
            <w:r>
              <w:rPr>
                <w:rFonts w:ascii="Verdana" w:hAnsi="Verdana" w:cs="Arial"/>
                <w:b/>
                <w:sz w:val="24"/>
                <w:szCs w:val="24"/>
              </w:rPr>
              <w:t xml:space="preserve">Medical </w:t>
            </w:r>
            <w:r w:rsidRPr="00492A8B">
              <w:rPr>
                <w:rFonts w:ascii="Verdana" w:hAnsi="Verdana" w:cs="Arial"/>
                <w:b/>
                <w:sz w:val="24"/>
                <w:szCs w:val="24"/>
              </w:rPr>
              <w:t>Study Leave Internal Audit</w:t>
            </w:r>
          </w:p>
        </w:tc>
      </w:tr>
      <w:tr w:rsidRPr="00F8567E" w:rsidR="00CF25E9" w:rsidTr="0E58ADAB" w14:paraId="6D2903E8" w14:textId="77777777">
        <w:tc>
          <w:tcPr>
            <w:tcW w:w="2836" w:type="dxa"/>
            <w:tcMar/>
          </w:tcPr>
          <w:p w:rsidRPr="00F8567E" w:rsidR="00CF25E9" w:rsidP="00CF25E9" w:rsidRDefault="00CF25E9" w14:paraId="6D2903E6" w14:textId="77777777">
            <w:pPr>
              <w:rPr>
                <w:rFonts w:ascii="Verdana" w:hAnsi="Verdana" w:cs="Arial"/>
                <w:b/>
                <w:sz w:val="24"/>
                <w:szCs w:val="24"/>
              </w:rPr>
            </w:pPr>
            <w:r w:rsidRPr="00F8567E">
              <w:rPr>
                <w:rFonts w:ascii="Verdana" w:hAnsi="Verdana" w:cs="Arial"/>
                <w:b/>
                <w:sz w:val="24"/>
                <w:szCs w:val="24"/>
              </w:rPr>
              <w:t>Report Author</w:t>
            </w:r>
          </w:p>
        </w:tc>
        <w:tc>
          <w:tcPr>
            <w:tcW w:w="6894" w:type="dxa"/>
            <w:gridSpan w:val="6"/>
            <w:tcMar/>
          </w:tcPr>
          <w:p w:rsidRPr="00F8567E" w:rsidR="00CF25E9" w:rsidP="00CF25E9" w:rsidRDefault="00CF25E9" w14:paraId="6D2903E7" w14:textId="3B8FC659">
            <w:pPr>
              <w:rPr>
                <w:rFonts w:ascii="Verdana" w:hAnsi="Verdana" w:cs="Arial"/>
                <w:sz w:val="24"/>
                <w:szCs w:val="24"/>
              </w:rPr>
            </w:pPr>
            <w:r>
              <w:rPr>
                <w:rFonts w:ascii="Verdana" w:hAnsi="Verdana" w:cs="Arial"/>
                <w:sz w:val="24"/>
                <w:szCs w:val="24"/>
              </w:rPr>
              <w:t>Liz Wonnacott, Head of Service – Medical Director</w:t>
            </w:r>
          </w:p>
        </w:tc>
      </w:tr>
      <w:tr w:rsidRPr="00F8567E" w:rsidR="00CF25E9" w:rsidTr="0E58ADAB" w14:paraId="6D2903EB" w14:textId="77777777">
        <w:tc>
          <w:tcPr>
            <w:tcW w:w="2836" w:type="dxa"/>
            <w:tcMar/>
          </w:tcPr>
          <w:p w:rsidRPr="00F8567E" w:rsidR="00CF25E9" w:rsidP="00CF25E9" w:rsidRDefault="00CF25E9" w14:paraId="6D2903E9" w14:textId="77777777">
            <w:pPr>
              <w:rPr>
                <w:rFonts w:ascii="Verdana" w:hAnsi="Verdana" w:cs="Arial"/>
                <w:b/>
                <w:sz w:val="24"/>
                <w:szCs w:val="24"/>
              </w:rPr>
            </w:pPr>
            <w:r w:rsidRPr="00F8567E">
              <w:rPr>
                <w:rFonts w:ascii="Verdana" w:hAnsi="Verdana" w:cs="Arial"/>
                <w:b/>
                <w:sz w:val="24"/>
                <w:szCs w:val="24"/>
              </w:rPr>
              <w:t>Report Sponsor</w:t>
            </w:r>
          </w:p>
        </w:tc>
        <w:tc>
          <w:tcPr>
            <w:tcW w:w="6894" w:type="dxa"/>
            <w:gridSpan w:val="6"/>
            <w:tcMar/>
          </w:tcPr>
          <w:p w:rsidRPr="00F8567E" w:rsidR="00CF25E9" w:rsidP="00CF25E9" w:rsidRDefault="00FC0C5F" w14:paraId="6D2903EA" w14:textId="393671FE">
            <w:pPr>
              <w:rPr>
                <w:rFonts w:ascii="Verdana" w:hAnsi="Verdana" w:cs="Arial"/>
                <w:sz w:val="24"/>
                <w:szCs w:val="24"/>
              </w:rPr>
            </w:pPr>
            <w:r w:rsidRPr="00FC0C5F">
              <w:rPr>
                <w:rFonts w:ascii="Verdana" w:hAnsi="Verdana" w:cs="Arial"/>
                <w:sz w:val="24"/>
                <w:szCs w:val="24"/>
              </w:rPr>
              <w:t>Dr Raj Krishnan, Deputy Medical Director</w:t>
            </w:r>
          </w:p>
        </w:tc>
      </w:tr>
      <w:tr w:rsidRPr="00F8567E" w:rsidR="00CF25E9" w:rsidTr="0E58ADAB" w14:paraId="6D2903EE" w14:textId="77777777">
        <w:tc>
          <w:tcPr>
            <w:tcW w:w="2836" w:type="dxa"/>
            <w:tcMar/>
          </w:tcPr>
          <w:p w:rsidRPr="00F8567E" w:rsidR="00CF25E9" w:rsidP="00CF25E9" w:rsidRDefault="00CF25E9" w14:paraId="6D2903EC" w14:textId="77777777">
            <w:pPr>
              <w:rPr>
                <w:rFonts w:ascii="Verdana" w:hAnsi="Verdana" w:cs="Arial"/>
                <w:b/>
                <w:sz w:val="24"/>
                <w:szCs w:val="24"/>
              </w:rPr>
            </w:pPr>
            <w:r w:rsidRPr="00F8567E">
              <w:rPr>
                <w:rFonts w:ascii="Verdana" w:hAnsi="Verdana" w:cs="Arial"/>
                <w:b/>
                <w:sz w:val="24"/>
                <w:szCs w:val="24"/>
              </w:rPr>
              <w:t>Presented by</w:t>
            </w:r>
          </w:p>
        </w:tc>
        <w:tc>
          <w:tcPr>
            <w:tcW w:w="6894" w:type="dxa"/>
            <w:gridSpan w:val="6"/>
            <w:tcMar/>
          </w:tcPr>
          <w:p w:rsidRPr="00F8567E" w:rsidR="00CF25E9" w:rsidP="00CF25E9" w:rsidRDefault="00AB0AEF" w14:paraId="6D2903ED" w14:textId="7D1085D0">
            <w:pPr>
              <w:rPr>
                <w:rFonts w:ascii="Verdana" w:hAnsi="Verdana" w:cs="Arial"/>
                <w:sz w:val="24"/>
                <w:szCs w:val="24"/>
              </w:rPr>
            </w:pPr>
            <w:r>
              <w:rPr>
                <w:rFonts w:ascii="Verdana" w:hAnsi="Verdana" w:cs="Arial"/>
                <w:sz w:val="24"/>
                <w:szCs w:val="24"/>
              </w:rPr>
              <w:t xml:space="preserve">Dr Raj Krishnan, Deputy Medical Director </w:t>
            </w:r>
          </w:p>
        </w:tc>
      </w:tr>
      <w:tr w:rsidRPr="00F8567E" w:rsidR="00CF25E9" w:rsidTr="0E58ADAB" w14:paraId="6D2903F1" w14:textId="77777777">
        <w:tc>
          <w:tcPr>
            <w:tcW w:w="2836" w:type="dxa"/>
            <w:tcMar/>
          </w:tcPr>
          <w:p w:rsidRPr="00F8567E" w:rsidR="00CF25E9" w:rsidP="00CF25E9" w:rsidRDefault="00CF25E9"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894" w:type="dxa"/>
            <w:gridSpan w:val="6"/>
            <w:tcMar/>
          </w:tcPr>
          <w:p w:rsidRPr="00F8567E" w:rsidR="00CF25E9" w:rsidP="00CF25E9" w:rsidRDefault="00CF25E9" w14:paraId="6D2903F0" w14:textId="56249BC9">
            <w:pPr>
              <w:rPr>
                <w:rFonts w:ascii="Verdana" w:hAnsi="Verdana" w:cs="Arial"/>
                <w:sz w:val="24"/>
                <w:szCs w:val="24"/>
              </w:rPr>
            </w:pPr>
            <w:r w:rsidRPr="00B22FA5">
              <w:rPr>
                <w:rFonts w:ascii="Verdana" w:hAnsi="Verdana" w:cs="Arial"/>
                <w:sz w:val="24"/>
                <w:szCs w:val="24"/>
              </w:rPr>
              <w:t>Open</w:t>
            </w:r>
          </w:p>
        </w:tc>
      </w:tr>
      <w:tr w:rsidRPr="00F8567E" w:rsidR="00CF25E9" w:rsidTr="0E58ADAB" w14:paraId="6D2903F8" w14:textId="77777777">
        <w:tc>
          <w:tcPr>
            <w:tcW w:w="2836" w:type="dxa"/>
            <w:tcMar/>
          </w:tcPr>
          <w:p w:rsidRPr="00F8567E" w:rsidR="00CF25E9" w:rsidP="00CF25E9" w:rsidRDefault="00CF25E9"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894" w:type="dxa"/>
            <w:gridSpan w:val="6"/>
            <w:tcMar/>
          </w:tcPr>
          <w:p w:rsidRPr="00F8567E" w:rsidR="00CF25E9" w:rsidP="00CF25E9" w:rsidRDefault="00CF25E9" w14:paraId="6D2903F7" w14:textId="55795EDC">
            <w:pPr>
              <w:rPr>
                <w:rFonts w:ascii="Verdana" w:hAnsi="Verdana" w:cs="Arial"/>
                <w:sz w:val="24"/>
                <w:szCs w:val="24"/>
              </w:rPr>
            </w:pPr>
            <w:bookmarkStart w:name="_Hlk222411375" w:id="0"/>
            <w:r w:rsidRPr="004924F9">
              <w:rPr>
                <w:rFonts w:ascii="Verdana" w:hAnsi="Verdana" w:cs="Arial"/>
                <w:sz w:val="24"/>
                <w:szCs w:val="24"/>
              </w:rPr>
              <w:t xml:space="preserve">The purpose of the report is to provide an update on the </w:t>
            </w:r>
            <w:r>
              <w:rPr>
                <w:rFonts w:ascii="Verdana" w:hAnsi="Verdana" w:cs="Arial"/>
                <w:sz w:val="24"/>
                <w:szCs w:val="24"/>
              </w:rPr>
              <w:t>management response</w:t>
            </w:r>
            <w:r w:rsidRPr="004924F9">
              <w:rPr>
                <w:rFonts w:ascii="Verdana" w:hAnsi="Verdana" w:cs="Arial"/>
                <w:sz w:val="24"/>
                <w:szCs w:val="24"/>
              </w:rPr>
              <w:t xml:space="preserve"> to deliver the recommendations of </w:t>
            </w:r>
            <w:r>
              <w:rPr>
                <w:rFonts w:ascii="Verdana" w:hAnsi="Verdana" w:cs="Arial"/>
                <w:sz w:val="24"/>
                <w:szCs w:val="24"/>
              </w:rPr>
              <w:t>the</w:t>
            </w:r>
            <w:r w:rsidRPr="004924F9">
              <w:rPr>
                <w:rFonts w:ascii="Verdana" w:hAnsi="Verdana" w:cs="Arial"/>
                <w:sz w:val="24"/>
                <w:szCs w:val="24"/>
              </w:rPr>
              <w:t xml:space="preserve"> </w:t>
            </w:r>
            <w:r>
              <w:rPr>
                <w:rFonts w:ascii="Verdana" w:hAnsi="Verdana" w:cs="Arial"/>
                <w:sz w:val="24"/>
                <w:szCs w:val="24"/>
              </w:rPr>
              <w:t>m</w:t>
            </w:r>
            <w:r w:rsidRPr="004924F9">
              <w:rPr>
                <w:rFonts w:ascii="Verdana" w:hAnsi="Verdana" w:cs="Arial"/>
                <w:sz w:val="24"/>
                <w:szCs w:val="24"/>
              </w:rPr>
              <w:t xml:space="preserve">edical </w:t>
            </w:r>
            <w:r>
              <w:rPr>
                <w:rFonts w:ascii="Verdana" w:hAnsi="Verdana" w:cs="Arial"/>
                <w:sz w:val="24"/>
                <w:szCs w:val="24"/>
              </w:rPr>
              <w:t>s</w:t>
            </w:r>
            <w:r w:rsidRPr="004924F9">
              <w:rPr>
                <w:rFonts w:ascii="Verdana" w:hAnsi="Verdana" w:cs="Arial"/>
                <w:sz w:val="24"/>
                <w:szCs w:val="24"/>
              </w:rPr>
              <w:t xml:space="preserve">tudy </w:t>
            </w:r>
            <w:r>
              <w:rPr>
                <w:rFonts w:ascii="Verdana" w:hAnsi="Verdana" w:cs="Arial"/>
                <w:sz w:val="24"/>
                <w:szCs w:val="24"/>
              </w:rPr>
              <w:t xml:space="preserve">leave </w:t>
            </w:r>
            <w:r w:rsidRPr="004924F9">
              <w:rPr>
                <w:rFonts w:ascii="Verdana" w:hAnsi="Verdana" w:cs="Arial"/>
                <w:sz w:val="24"/>
                <w:szCs w:val="24"/>
              </w:rPr>
              <w:t xml:space="preserve">internal audit. </w:t>
            </w:r>
            <w:bookmarkEnd w:id="0"/>
          </w:p>
        </w:tc>
      </w:tr>
      <w:tr w:rsidRPr="00F8567E" w:rsidR="00653AEC" w:rsidTr="0E58ADAB" w14:paraId="6D290402" w14:textId="77777777">
        <w:tc>
          <w:tcPr>
            <w:tcW w:w="2836" w:type="dxa"/>
            <w:tcMar/>
          </w:tcPr>
          <w:p w:rsidRPr="00F8567E" w:rsidR="00653AEC" w:rsidP="00653AEC" w:rsidRDefault="00653AEC"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53AEC" w:rsidP="00653AEC" w:rsidRDefault="00653AEC" w14:paraId="6D2903FA" w14:textId="77777777">
            <w:pPr>
              <w:rPr>
                <w:rFonts w:ascii="Verdana" w:hAnsi="Verdana" w:cs="Arial"/>
                <w:b/>
                <w:sz w:val="24"/>
                <w:szCs w:val="24"/>
              </w:rPr>
            </w:pPr>
          </w:p>
          <w:p w:rsidRPr="00F8567E" w:rsidR="00653AEC" w:rsidP="00653AEC" w:rsidRDefault="00653AEC" w14:paraId="6D2903FB" w14:textId="77777777">
            <w:pPr>
              <w:rPr>
                <w:rFonts w:ascii="Verdana" w:hAnsi="Verdana" w:cs="Arial"/>
                <w:b/>
                <w:sz w:val="24"/>
                <w:szCs w:val="24"/>
              </w:rPr>
            </w:pPr>
          </w:p>
          <w:p w:rsidRPr="00F8567E" w:rsidR="00653AEC" w:rsidP="00653AEC" w:rsidRDefault="00653AEC" w14:paraId="6D2903FC" w14:textId="77777777">
            <w:pPr>
              <w:rPr>
                <w:rFonts w:ascii="Verdana" w:hAnsi="Verdana" w:cs="Arial"/>
                <w:b/>
                <w:sz w:val="24"/>
                <w:szCs w:val="24"/>
              </w:rPr>
            </w:pPr>
          </w:p>
        </w:tc>
        <w:tc>
          <w:tcPr>
            <w:tcW w:w="6894" w:type="dxa"/>
            <w:gridSpan w:val="6"/>
            <w:tcMar/>
          </w:tcPr>
          <w:p w:rsidR="00963A28" w:rsidP="00963A28" w:rsidRDefault="00963A28" w14:paraId="37E86AD3" w14:textId="77777777">
            <w:pPr>
              <w:pStyle w:val="Default"/>
              <w:numPr>
                <w:ilvl w:val="0"/>
                <w:numId w:val="11"/>
              </w:numPr>
              <w:rPr>
                <w:rFonts w:ascii="Verdana" w:hAnsi="Verdana" w:cs="Arial"/>
              </w:rPr>
            </w:pPr>
            <w:r w:rsidRPr="00681AA3">
              <w:rPr>
                <w:rFonts w:ascii="Verdana" w:hAnsi="Verdana" w:cs="Arial"/>
              </w:rPr>
              <w:t xml:space="preserve">The Study and Professional Leave Policy </w:t>
            </w:r>
            <w:r>
              <w:rPr>
                <w:rFonts w:ascii="Verdana" w:hAnsi="Verdana" w:cs="Arial"/>
              </w:rPr>
              <w:t>enables</w:t>
            </w:r>
            <w:r w:rsidRPr="00681AA3">
              <w:rPr>
                <w:rFonts w:ascii="Verdana" w:hAnsi="Verdana" w:cs="Arial"/>
              </w:rPr>
              <w:t xml:space="preserve"> </w:t>
            </w:r>
            <w:r>
              <w:rPr>
                <w:rFonts w:ascii="Verdana" w:hAnsi="Verdana" w:cs="Arial"/>
              </w:rPr>
              <w:t xml:space="preserve">consultant and non-training grades </w:t>
            </w:r>
            <w:r w:rsidRPr="00681AA3">
              <w:rPr>
                <w:rFonts w:ascii="Verdana" w:hAnsi="Verdana" w:cs="Arial"/>
              </w:rPr>
              <w:t xml:space="preserve">employed by the </w:t>
            </w:r>
            <w:r>
              <w:rPr>
                <w:rFonts w:ascii="Verdana" w:hAnsi="Verdana" w:cs="Arial"/>
              </w:rPr>
              <w:t>he</w:t>
            </w:r>
            <w:r w:rsidRPr="00681AA3">
              <w:rPr>
                <w:rFonts w:ascii="Verdana" w:hAnsi="Verdana" w:cs="Arial"/>
              </w:rPr>
              <w:t xml:space="preserve">alth </w:t>
            </w:r>
            <w:r>
              <w:rPr>
                <w:rFonts w:ascii="Verdana" w:hAnsi="Verdana" w:cs="Arial"/>
              </w:rPr>
              <w:t>b</w:t>
            </w:r>
            <w:r w:rsidRPr="00681AA3">
              <w:rPr>
                <w:rFonts w:ascii="Verdana" w:hAnsi="Verdana" w:cs="Arial"/>
              </w:rPr>
              <w:t>oard opportunities to develop</w:t>
            </w:r>
            <w:r>
              <w:rPr>
                <w:rFonts w:ascii="Verdana" w:hAnsi="Verdana" w:cs="Arial"/>
              </w:rPr>
              <w:t>,</w:t>
            </w:r>
            <w:r w:rsidRPr="009B4D8F">
              <w:rPr>
                <w:rFonts w:ascii="Verdana" w:hAnsi="Verdana" w:cs="Arial"/>
              </w:rPr>
              <w:t xml:space="preserve"> </w:t>
            </w:r>
            <w:r>
              <w:rPr>
                <w:rFonts w:ascii="Verdana" w:hAnsi="Verdana" w:cs="Arial"/>
              </w:rPr>
              <w:t xml:space="preserve">and as such, </w:t>
            </w:r>
            <w:r w:rsidRPr="00681AA3">
              <w:rPr>
                <w:rFonts w:ascii="Verdana" w:hAnsi="Verdana" w:cs="Arial"/>
              </w:rPr>
              <w:t xml:space="preserve">sets out the process and requirements to access study and professional leave. </w:t>
            </w:r>
          </w:p>
          <w:p w:rsidRPr="00112A65" w:rsidR="00963A28" w:rsidP="00963A28" w:rsidRDefault="00963A28" w14:paraId="6A56EEA7" w14:textId="77777777">
            <w:pPr>
              <w:pStyle w:val="ListParagraph"/>
              <w:numPr>
                <w:ilvl w:val="0"/>
                <w:numId w:val="11"/>
              </w:numPr>
              <w:rPr>
                <w:rFonts w:ascii="Verdana" w:hAnsi="Verdana" w:cs="Arial"/>
                <w:sz w:val="24"/>
                <w:szCs w:val="24"/>
              </w:rPr>
            </w:pPr>
            <w:r w:rsidRPr="00112A65">
              <w:rPr>
                <w:rFonts w:ascii="Verdana" w:hAnsi="Verdana" w:cs="Arial"/>
                <w:sz w:val="24"/>
                <w:szCs w:val="24"/>
              </w:rPr>
              <w:t xml:space="preserve">In 2025, internal audit undertook a review to ‘establish if study leave provided to medical staff is being managed in accordance with Swansea Bay University Health Board’s procedure, complies with British Medical Association (BMA) guidance, is of value to both the professional and the health board; and is accounted for appropriately.’ </w:t>
            </w:r>
          </w:p>
          <w:p w:rsidR="00963A28" w:rsidP="00963A28" w:rsidRDefault="00963A28" w14:paraId="240E59E1" w14:textId="77777777">
            <w:pPr>
              <w:pStyle w:val="Default"/>
              <w:numPr>
                <w:ilvl w:val="0"/>
                <w:numId w:val="11"/>
              </w:numPr>
              <w:rPr>
                <w:rFonts w:ascii="Verdana" w:hAnsi="Verdana" w:cs="Arial"/>
                <w:i/>
                <w:iCs/>
              </w:rPr>
            </w:pPr>
            <w:r>
              <w:rPr>
                <w:rFonts w:ascii="Verdana" w:hAnsi="Verdana" w:cs="Arial"/>
              </w:rPr>
              <w:t xml:space="preserve">The overall rating for the audit was </w:t>
            </w:r>
            <w:r>
              <w:rPr>
                <w:rFonts w:ascii="Verdana" w:hAnsi="Verdana" w:cs="Arial"/>
                <w:i/>
                <w:iCs/>
              </w:rPr>
              <w:t>reasonable assurance.</w:t>
            </w:r>
          </w:p>
          <w:p w:rsidR="00963A28" w:rsidP="00963A28" w:rsidRDefault="00963A28" w14:paraId="559AE514" w14:textId="71DE890C">
            <w:pPr>
              <w:pStyle w:val="Default"/>
              <w:numPr>
                <w:ilvl w:val="0"/>
                <w:numId w:val="11"/>
              </w:numPr>
              <w:rPr>
                <w:rFonts w:ascii="Verdana" w:hAnsi="Verdana" w:cs="Arial"/>
              </w:rPr>
            </w:pPr>
            <w:r>
              <w:rPr>
                <w:rFonts w:ascii="Verdana" w:hAnsi="Verdana" w:cs="Arial"/>
              </w:rPr>
              <w:t>The management response, which is broken down into seven key findings, was shared with Audit Committee in November 2025.</w:t>
            </w:r>
          </w:p>
          <w:p w:rsidR="00963A28" w:rsidP="00651C2B" w:rsidRDefault="00963A28" w14:paraId="3B1F73CC" w14:textId="3ADCDAA2">
            <w:pPr>
              <w:pStyle w:val="Default"/>
              <w:numPr>
                <w:ilvl w:val="0"/>
                <w:numId w:val="11"/>
              </w:numPr>
              <w:rPr>
                <w:rFonts w:ascii="Verdana" w:hAnsi="Verdana" w:cs="Arial"/>
              </w:rPr>
            </w:pPr>
            <w:r w:rsidRPr="00963A28">
              <w:rPr>
                <w:rFonts w:ascii="Verdana" w:hAnsi="Verdana" w:cs="Arial"/>
              </w:rPr>
              <w:t>Of the seven, five have</w:t>
            </w:r>
            <w:r w:rsidR="00DE6EC3">
              <w:rPr>
                <w:rFonts w:ascii="Verdana" w:hAnsi="Verdana" w:cs="Arial"/>
              </w:rPr>
              <w:t xml:space="preserve"> since</w:t>
            </w:r>
            <w:r w:rsidRPr="00963A28">
              <w:rPr>
                <w:rFonts w:ascii="Verdana" w:hAnsi="Verdana" w:cs="Arial"/>
              </w:rPr>
              <w:t xml:space="preserve"> had evidence shared with the compliance team to support the</w:t>
            </w:r>
            <w:r w:rsidR="00DE6EC3">
              <w:rPr>
                <w:rFonts w:ascii="Verdana" w:hAnsi="Verdana" w:cs="Arial"/>
              </w:rPr>
              <w:t>ir</w:t>
            </w:r>
            <w:r w:rsidRPr="00963A28">
              <w:rPr>
                <w:rFonts w:ascii="Verdana" w:hAnsi="Verdana" w:cs="Arial"/>
              </w:rPr>
              <w:t xml:space="preserve"> closure.</w:t>
            </w:r>
          </w:p>
          <w:p w:rsidRPr="00963A28" w:rsidR="00653AEC" w:rsidP="00653AEC" w:rsidRDefault="00963A28" w14:paraId="6D290401" w14:textId="614115BA">
            <w:pPr>
              <w:pStyle w:val="Default"/>
              <w:numPr>
                <w:ilvl w:val="0"/>
                <w:numId w:val="11"/>
              </w:numPr>
              <w:rPr>
                <w:rFonts w:ascii="Verdana" w:hAnsi="Verdana" w:cs="Arial"/>
              </w:rPr>
            </w:pPr>
            <w:r w:rsidRPr="00963A28">
              <w:rPr>
                <w:rFonts w:ascii="Verdana" w:hAnsi="Verdana" w:cs="Arial"/>
              </w:rPr>
              <w:t xml:space="preserve">Of the two remaining, these require changes to the policy and are on track for the deadline of December 2026. </w:t>
            </w:r>
          </w:p>
        </w:tc>
      </w:tr>
      <w:tr w:rsidRPr="00F8567E" w:rsidR="00762BBE" w:rsidTr="0E58ADAB" w14:paraId="6D290409" w14:textId="77777777">
        <w:trPr>
          <w:trHeight w:val="97"/>
        </w:trPr>
        <w:tc>
          <w:tcPr>
            <w:tcW w:w="2836"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994"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0E58ADAB" w14:paraId="6D29040F" w14:textId="77777777">
        <w:trPr>
          <w:trHeight w:val="96"/>
        </w:trPr>
        <w:tc>
          <w:tcPr>
            <w:tcW w:w="2836"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994" w:type="dxa"/>
                <w:tcMar/>
              </w:tcPr>
              <w:p w:rsidRPr="00F8567E" w:rsidR="00762BBE" w:rsidP="00762BBE" w:rsidRDefault="00762BBE"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762BBE" w:rsidP="00762BBE" w:rsidRDefault="00762BBE"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762BBE" w:rsidP="00762BBE" w:rsidRDefault="00BC5AFC" w14:paraId="6D29040D" w14:textId="3274B8A0">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762BBE" w:rsidP="00762BBE"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762BBE" w:rsidTr="0E58ADAB" w14:paraId="6D290418" w14:textId="77777777">
        <w:tc>
          <w:tcPr>
            <w:tcW w:w="2836" w:type="dxa"/>
            <w:tcMar/>
          </w:tcPr>
          <w:p w:rsidRPr="00F8567E" w:rsidR="00762BBE" w:rsidP="00762BBE" w:rsidRDefault="00762BBE"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762BBE" w:rsidP="00762BBE" w:rsidRDefault="00762BBE" w14:paraId="6D290411" w14:textId="77777777">
            <w:pPr>
              <w:rPr>
                <w:rFonts w:ascii="Verdana" w:hAnsi="Verdana" w:cs="Arial"/>
                <w:b/>
                <w:sz w:val="24"/>
                <w:szCs w:val="24"/>
              </w:rPr>
            </w:pPr>
          </w:p>
        </w:tc>
        <w:tc>
          <w:tcPr>
            <w:tcW w:w="6894" w:type="dxa"/>
            <w:gridSpan w:val="6"/>
            <w:tcMar/>
          </w:tcPr>
          <w:p w:rsidRPr="005F30E2" w:rsidR="00BC5AFC" w:rsidP="00BC5AFC" w:rsidRDefault="00BC5AFC" w14:paraId="7191FB8A" w14:textId="77777777">
            <w:pPr>
              <w:ind w:right="96"/>
              <w:rPr>
                <w:rFonts w:ascii="Verdana" w:hAnsi="Verdana" w:cs="Arial"/>
                <w:sz w:val="24"/>
                <w:szCs w:val="24"/>
              </w:rPr>
            </w:pPr>
            <w:r w:rsidRPr="005F30E2">
              <w:rPr>
                <w:rFonts w:ascii="Verdana" w:hAnsi="Verdana" w:cs="Arial"/>
                <w:sz w:val="24"/>
                <w:szCs w:val="24"/>
              </w:rPr>
              <w:t>Members are asked to:</w:t>
            </w:r>
          </w:p>
          <w:p w:rsidRPr="005F30E2" w:rsidR="00BC5AFC" w:rsidP="00BC5AFC" w:rsidRDefault="00BC5AFC" w14:paraId="086BD59F" w14:textId="77777777">
            <w:pPr>
              <w:pStyle w:val="ListParagraph"/>
              <w:numPr>
                <w:ilvl w:val="0"/>
                <w:numId w:val="12"/>
              </w:numPr>
              <w:ind w:right="96"/>
              <w:rPr>
                <w:rFonts w:ascii="Verdana" w:hAnsi="Verdana" w:cs="Arial"/>
                <w:sz w:val="24"/>
                <w:szCs w:val="24"/>
              </w:rPr>
            </w:pPr>
            <w:r w:rsidRPr="005F30E2">
              <w:rPr>
                <w:rFonts w:ascii="Verdana" w:hAnsi="Verdana" w:cs="Arial"/>
                <w:b/>
                <w:bCs/>
                <w:sz w:val="24"/>
                <w:szCs w:val="24"/>
              </w:rPr>
              <w:t xml:space="preserve">BE ASSURED </w:t>
            </w:r>
            <w:r w:rsidRPr="001310D6">
              <w:rPr>
                <w:rFonts w:ascii="Verdana" w:hAnsi="Verdana" w:cs="Arial"/>
                <w:sz w:val="24"/>
                <w:szCs w:val="24"/>
              </w:rPr>
              <w:t>by the</w:t>
            </w:r>
            <w:r>
              <w:rPr>
                <w:rFonts w:ascii="Verdana" w:hAnsi="Verdana" w:cs="Arial"/>
                <w:b/>
                <w:bCs/>
                <w:sz w:val="24"/>
                <w:szCs w:val="24"/>
              </w:rPr>
              <w:t xml:space="preserve"> </w:t>
            </w:r>
            <w:r w:rsidRPr="005F30E2">
              <w:rPr>
                <w:rFonts w:ascii="Verdana" w:hAnsi="Verdana" w:cs="Arial"/>
                <w:i/>
                <w:iCs/>
                <w:sz w:val="24"/>
                <w:szCs w:val="24"/>
              </w:rPr>
              <w:t xml:space="preserve">reasonable assurance </w:t>
            </w:r>
            <w:r w:rsidRPr="005F30E2">
              <w:rPr>
                <w:rFonts w:ascii="Verdana" w:hAnsi="Verdana" w:cs="Arial"/>
                <w:sz w:val="24"/>
                <w:szCs w:val="24"/>
              </w:rPr>
              <w:t xml:space="preserve">rating </w:t>
            </w:r>
            <w:r>
              <w:rPr>
                <w:rFonts w:ascii="Verdana" w:hAnsi="Verdana" w:cs="Arial"/>
                <w:sz w:val="24"/>
                <w:szCs w:val="24"/>
              </w:rPr>
              <w:t xml:space="preserve">for </w:t>
            </w:r>
            <w:r w:rsidRPr="005F30E2">
              <w:rPr>
                <w:rFonts w:ascii="Verdana" w:hAnsi="Verdana" w:cs="Arial"/>
                <w:sz w:val="24"/>
                <w:szCs w:val="24"/>
              </w:rPr>
              <w:t xml:space="preserve">the internal audit review of the </w:t>
            </w:r>
            <w:r>
              <w:rPr>
                <w:rFonts w:ascii="Verdana" w:hAnsi="Verdana" w:cs="Arial"/>
                <w:sz w:val="24"/>
                <w:szCs w:val="24"/>
              </w:rPr>
              <w:t>medical study leave</w:t>
            </w:r>
            <w:r w:rsidRPr="005F30E2">
              <w:rPr>
                <w:rFonts w:ascii="Verdana" w:hAnsi="Verdana" w:cs="Arial"/>
                <w:sz w:val="24"/>
                <w:szCs w:val="24"/>
              </w:rPr>
              <w:t>;</w:t>
            </w:r>
          </w:p>
          <w:p w:rsidRPr="005F30E2" w:rsidR="00BC5AFC" w:rsidP="00BC5AFC" w:rsidRDefault="00BC5AFC" w14:paraId="2BEEEB3C" w14:textId="77777777">
            <w:pPr>
              <w:pStyle w:val="ListParagraph"/>
              <w:numPr>
                <w:ilvl w:val="0"/>
                <w:numId w:val="12"/>
              </w:numPr>
              <w:ind w:right="96"/>
              <w:rPr>
                <w:rFonts w:ascii="Verdana" w:hAnsi="Verdana" w:cs="Arial"/>
                <w:sz w:val="24"/>
                <w:szCs w:val="24"/>
              </w:rPr>
            </w:pPr>
            <w:r w:rsidRPr="005F30E2">
              <w:rPr>
                <w:rFonts w:ascii="Verdana" w:hAnsi="Verdana" w:cs="Arial"/>
                <w:b/>
                <w:bCs/>
                <w:sz w:val="24"/>
                <w:szCs w:val="24"/>
              </w:rPr>
              <w:t xml:space="preserve">BE ASSURED </w:t>
            </w:r>
            <w:r w:rsidRPr="005F30E2">
              <w:rPr>
                <w:rFonts w:ascii="Verdana" w:hAnsi="Verdana" w:cs="Arial"/>
                <w:sz w:val="24"/>
                <w:szCs w:val="24"/>
              </w:rPr>
              <w:t xml:space="preserve">a management response to address the key findings </w:t>
            </w:r>
            <w:r>
              <w:rPr>
                <w:rFonts w:ascii="Verdana" w:hAnsi="Verdana" w:cs="Arial"/>
                <w:sz w:val="24"/>
                <w:szCs w:val="24"/>
              </w:rPr>
              <w:t>is in place</w:t>
            </w:r>
            <w:r w:rsidRPr="005F30E2">
              <w:rPr>
                <w:rFonts w:ascii="Verdana" w:hAnsi="Verdana" w:cs="Arial"/>
                <w:sz w:val="24"/>
                <w:szCs w:val="24"/>
              </w:rPr>
              <w:t>;</w:t>
            </w:r>
          </w:p>
          <w:p w:rsidRPr="00BC5AFC" w:rsidR="00BC5AFC" w:rsidP="00BC5AFC" w:rsidRDefault="00BC5AFC" w14:paraId="6AB45622" w14:textId="77777777">
            <w:pPr>
              <w:pStyle w:val="ListParagraph"/>
              <w:numPr>
                <w:ilvl w:val="0"/>
                <w:numId w:val="12"/>
              </w:numPr>
              <w:ind w:right="96"/>
              <w:rPr>
                <w:rFonts w:ascii="Verdana" w:hAnsi="Verdana" w:cs="Arial"/>
              </w:rPr>
            </w:pPr>
            <w:r w:rsidRPr="005F30E2">
              <w:rPr>
                <w:rFonts w:ascii="Verdana" w:hAnsi="Verdana" w:cs="Arial"/>
                <w:b/>
                <w:bCs/>
                <w:sz w:val="24"/>
                <w:szCs w:val="24"/>
              </w:rPr>
              <w:lastRenderedPageBreak/>
              <w:t xml:space="preserve">BE ASSURED </w:t>
            </w:r>
            <w:r w:rsidRPr="005F30E2">
              <w:rPr>
                <w:rFonts w:ascii="Verdana" w:hAnsi="Verdana" w:cs="Arial"/>
                <w:sz w:val="24"/>
                <w:szCs w:val="24"/>
              </w:rPr>
              <w:t xml:space="preserve">progress against the management response is on track, with evidence for five of the seven </w:t>
            </w:r>
            <w:r>
              <w:rPr>
                <w:rFonts w:ascii="Verdana" w:hAnsi="Verdana" w:cs="Arial"/>
                <w:sz w:val="24"/>
                <w:szCs w:val="24"/>
              </w:rPr>
              <w:t>key findings</w:t>
            </w:r>
            <w:r w:rsidRPr="005F30E2">
              <w:rPr>
                <w:rFonts w:ascii="Verdana" w:hAnsi="Verdana" w:cs="Arial"/>
                <w:sz w:val="24"/>
                <w:szCs w:val="24"/>
              </w:rPr>
              <w:t xml:space="preserve"> supplied to support their closure;</w:t>
            </w:r>
          </w:p>
          <w:p w:rsidRPr="00F8567E" w:rsidR="00762BBE" w:rsidP="00BC5AFC" w:rsidRDefault="00BC5AFC" w14:paraId="6D290417" w14:textId="3CFA55A4">
            <w:pPr>
              <w:pStyle w:val="ListParagraph"/>
              <w:numPr>
                <w:ilvl w:val="0"/>
                <w:numId w:val="12"/>
              </w:numPr>
              <w:ind w:right="96"/>
              <w:rPr>
                <w:rFonts w:ascii="Verdana" w:hAnsi="Verdana" w:cs="Arial"/>
              </w:rPr>
            </w:pPr>
            <w:r w:rsidRPr="005F30E2">
              <w:rPr>
                <w:rFonts w:ascii="Verdana" w:hAnsi="Verdana" w:cs="Arial"/>
                <w:b/>
                <w:bCs/>
                <w:sz w:val="24"/>
                <w:szCs w:val="24"/>
              </w:rPr>
              <w:t>ACKNOWLEDGE</w:t>
            </w:r>
            <w:r w:rsidRPr="005F30E2">
              <w:rPr>
                <w:rFonts w:ascii="Verdana" w:hAnsi="Verdana" w:cs="Arial"/>
                <w:sz w:val="24"/>
                <w:szCs w:val="24"/>
              </w:rPr>
              <w:t xml:space="preserve"> that study leave is standing item on the Medical Workforce Group agenda and therefore future updates </w:t>
            </w:r>
            <w:r>
              <w:rPr>
                <w:rFonts w:ascii="Verdana" w:hAnsi="Verdana" w:cs="Arial"/>
                <w:sz w:val="24"/>
                <w:szCs w:val="24"/>
              </w:rPr>
              <w:t xml:space="preserve">to the committee </w:t>
            </w:r>
            <w:r w:rsidRPr="005F30E2">
              <w:rPr>
                <w:rFonts w:ascii="Verdana" w:hAnsi="Verdana" w:cs="Arial"/>
                <w:sz w:val="24"/>
                <w:szCs w:val="24"/>
              </w:rPr>
              <w:t xml:space="preserve">will form part of the summary report from this forum as opposed to a standalone report. </w:t>
            </w:r>
          </w:p>
        </w:tc>
      </w:tr>
    </w:tbl>
    <w:p w:rsidRPr="00F8567E" w:rsidR="0020539A" w:rsidRDefault="0020539A" w14:paraId="6D290419" w14:textId="77777777">
      <w:pPr>
        <w:rPr>
          <w:rFonts w:ascii="Verdana" w:hAnsi="Verdana"/>
          <w:sz w:val="24"/>
          <w:szCs w:val="24"/>
        </w:rPr>
      </w:pPr>
    </w:p>
    <w:p w:rsidRPr="00F8567E" w:rsidR="00451091" w:rsidP="00451091" w:rsidRDefault="0020539A" w14:paraId="0E75085E" w14:textId="13C1D41B">
      <w:pPr>
        <w:spacing w:after="0" w:line="240" w:lineRule="auto"/>
        <w:jc w:val="center"/>
        <w:rPr>
          <w:rFonts w:ascii="Verdana" w:hAnsi="Verdana" w:cs="Arial"/>
          <w:b/>
          <w:sz w:val="24"/>
          <w:szCs w:val="24"/>
        </w:rPr>
      </w:pPr>
      <w:r w:rsidRPr="00F8567E">
        <w:rPr>
          <w:rFonts w:ascii="Verdana" w:hAnsi="Verdana"/>
          <w:sz w:val="24"/>
          <w:szCs w:val="24"/>
        </w:rPr>
        <w:br w:type="page"/>
      </w:r>
      <w:r w:rsidRPr="00C8535E" w:rsidR="00172F32">
        <w:rPr>
          <w:rFonts w:ascii="Verdana" w:hAnsi="Verdana"/>
          <w:b/>
          <w:bCs/>
          <w:sz w:val="24"/>
          <w:szCs w:val="24"/>
        </w:rPr>
        <w:lastRenderedPageBreak/>
        <w:t>MEDICAL</w:t>
      </w:r>
      <w:r w:rsidR="00172F32">
        <w:rPr>
          <w:rFonts w:ascii="Verdana" w:hAnsi="Verdana"/>
          <w:sz w:val="24"/>
          <w:szCs w:val="24"/>
        </w:rPr>
        <w:t xml:space="preserve"> </w:t>
      </w:r>
      <w:r w:rsidRPr="00492A8B" w:rsidR="00172F32">
        <w:rPr>
          <w:rFonts w:ascii="Verdana" w:hAnsi="Verdana" w:cs="Arial"/>
          <w:b/>
          <w:sz w:val="24"/>
          <w:szCs w:val="24"/>
        </w:rPr>
        <w:t>STUDY LEAVE INTERNAL AUDIT</w:t>
      </w:r>
    </w:p>
    <w:p w:rsidRPr="00F8567E" w:rsidR="00451091" w:rsidP="00451091" w:rsidRDefault="00451091" w14:paraId="3ACEB67F" w14:textId="77777777">
      <w:pPr>
        <w:spacing w:after="0" w:line="240" w:lineRule="auto"/>
        <w:jc w:val="center"/>
        <w:rPr>
          <w:rFonts w:ascii="Verdana" w:hAnsi="Verdana" w:cs="Arial"/>
          <w:b/>
          <w:sz w:val="24"/>
          <w:szCs w:val="24"/>
        </w:rPr>
      </w:pPr>
    </w:p>
    <w:p w:rsidRPr="00F8567E" w:rsidR="00451091" w:rsidP="00451091" w:rsidRDefault="00451091" w14:paraId="273BF064"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rsidR="00451091" w:rsidP="00451091" w:rsidRDefault="00451091" w14:paraId="41820664" w14:textId="77777777">
      <w:pPr>
        <w:spacing w:after="0" w:line="240" w:lineRule="auto"/>
        <w:rPr>
          <w:rFonts w:ascii="Verdana" w:hAnsi="Verdana" w:cs="Arial"/>
          <w:sz w:val="24"/>
          <w:szCs w:val="24"/>
        </w:rPr>
      </w:pPr>
      <w:r w:rsidRPr="00C8535E">
        <w:rPr>
          <w:rFonts w:ascii="Verdana" w:hAnsi="Verdana" w:cs="Arial"/>
          <w:sz w:val="24"/>
          <w:szCs w:val="24"/>
        </w:rPr>
        <w:t>The purpose of the report is to provide an update on the management response to deliver the recommendations of the medical study leave internal audit.</w:t>
      </w:r>
    </w:p>
    <w:p w:rsidRPr="00C8535E" w:rsidR="00451091" w:rsidP="00451091" w:rsidRDefault="00451091" w14:paraId="343C10E8" w14:textId="77777777">
      <w:pPr>
        <w:spacing w:after="0" w:line="240" w:lineRule="auto"/>
        <w:rPr>
          <w:rFonts w:ascii="Verdana" w:hAnsi="Verdana" w:cs="Arial"/>
          <w:b/>
          <w:sz w:val="24"/>
          <w:szCs w:val="24"/>
        </w:rPr>
      </w:pPr>
    </w:p>
    <w:p w:rsidRPr="00F8567E" w:rsidR="00451091" w:rsidP="00451091" w:rsidRDefault="00451091" w14:paraId="7F61614E"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rsidRPr="00681AA3" w:rsidR="00451091" w:rsidP="00451091" w:rsidRDefault="00451091" w14:paraId="55DEE30C" w14:textId="4EEC7F1E">
      <w:pPr>
        <w:pStyle w:val="Default"/>
        <w:rPr>
          <w:rFonts w:ascii="Verdana" w:hAnsi="Verdana" w:cs="Arial"/>
        </w:rPr>
      </w:pPr>
      <w:r w:rsidRPr="0E58ADAB" w:rsidR="00451091">
        <w:rPr>
          <w:rFonts w:ascii="Verdana" w:hAnsi="Verdana" w:cs="Arial"/>
        </w:rPr>
        <w:t>T</w:t>
      </w:r>
      <w:r w:rsidRPr="0E58ADAB" w:rsidR="00451091">
        <w:rPr>
          <w:rFonts w:ascii="Verdana" w:hAnsi="Verdana" w:cs="Arial"/>
        </w:rPr>
        <w:t>he</w:t>
      </w:r>
      <w:r w:rsidRPr="0E58ADAB" w:rsidR="00451091">
        <w:rPr>
          <w:rFonts w:ascii="Verdana" w:hAnsi="Verdana" w:cs="Arial"/>
        </w:rPr>
        <w:t xml:space="preserve"> Medical</w:t>
      </w:r>
      <w:r w:rsidRPr="0E58ADAB" w:rsidR="00451091">
        <w:rPr>
          <w:rFonts w:ascii="Verdana" w:hAnsi="Verdana" w:cs="Arial"/>
        </w:rPr>
        <w:t xml:space="preserve"> Study and Professional Leave Policy </w:t>
      </w:r>
      <w:r w:rsidRPr="0E58ADAB" w:rsidR="0B4B3A6D">
        <w:rPr>
          <w:rFonts w:ascii="Verdana" w:hAnsi="Verdana" w:cs="Arial"/>
        </w:rPr>
        <w:t>enable</w:t>
      </w:r>
      <w:r w:rsidRPr="0E58ADAB" w:rsidR="00451091">
        <w:rPr>
          <w:rFonts w:ascii="Verdana" w:hAnsi="Verdana" w:cs="Arial"/>
        </w:rPr>
        <w:t xml:space="preserve"> </w:t>
      </w:r>
      <w:r w:rsidRPr="0E58ADAB" w:rsidR="00451091">
        <w:rPr>
          <w:rFonts w:ascii="Verdana" w:hAnsi="Verdana" w:cs="Arial"/>
        </w:rPr>
        <w:t xml:space="preserve">consultant and non-training grades </w:t>
      </w:r>
      <w:r w:rsidRPr="0E58ADAB" w:rsidR="00451091">
        <w:rPr>
          <w:rFonts w:ascii="Verdana" w:hAnsi="Verdana" w:cs="Arial"/>
        </w:rPr>
        <w:t xml:space="preserve">employed by the </w:t>
      </w:r>
      <w:r w:rsidRPr="0E58ADAB" w:rsidR="00451091">
        <w:rPr>
          <w:rFonts w:ascii="Verdana" w:hAnsi="Verdana" w:cs="Arial"/>
        </w:rPr>
        <w:t>he</w:t>
      </w:r>
      <w:r w:rsidRPr="0E58ADAB" w:rsidR="00451091">
        <w:rPr>
          <w:rFonts w:ascii="Verdana" w:hAnsi="Verdana" w:cs="Arial"/>
        </w:rPr>
        <w:t xml:space="preserve">alth </w:t>
      </w:r>
      <w:r w:rsidRPr="0E58ADAB" w:rsidR="00451091">
        <w:rPr>
          <w:rFonts w:ascii="Verdana" w:hAnsi="Verdana" w:cs="Arial"/>
        </w:rPr>
        <w:t>b</w:t>
      </w:r>
      <w:r w:rsidRPr="0E58ADAB" w:rsidR="00451091">
        <w:rPr>
          <w:rFonts w:ascii="Verdana" w:hAnsi="Verdana" w:cs="Arial"/>
        </w:rPr>
        <w:t>oard opportunities to develop</w:t>
      </w:r>
      <w:r w:rsidRPr="0E58ADAB" w:rsidR="00451091">
        <w:rPr>
          <w:rFonts w:ascii="Verdana" w:hAnsi="Verdana" w:cs="Arial"/>
        </w:rPr>
        <w:t>,</w:t>
      </w:r>
      <w:r w:rsidRPr="0E58ADAB" w:rsidR="00451091">
        <w:rPr>
          <w:rFonts w:ascii="Verdana" w:hAnsi="Verdana" w:cs="Arial"/>
        </w:rPr>
        <w:t xml:space="preserve"> </w:t>
      </w:r>
      <w:r w:rsidRPr="0E58ADAB" w:rsidR="00451091">
        <w:rPr>
          <w:rFonts w:ascii="Verdana" w:hAnsi="Verdana" w:cs="Arial"/>
        </w:rPr>
        <w:t xml:space="preserve">and as such, </w:t>
      </w:r>
      <w:r w:rsidRPr="0E58ADAB" w:rsidR="00451091">
        <w:rPr>
          <w:rFonts w:ascii="Verdana" w:hAnsi="Verdana" w:cs="Arial"/>
        </w:rPr>
        <w:t>sets out the process and requirements to access study and professional leave.</w:t>
      </w:r>
      <w:r w:rsidRPr="0E58ADAB" w:rsidR="00451091">
        <w:rPr>
          <w:rFonts w:ascii="Verdana" w:hAnsi="Verdana" w:cs="Arial"/>
        </w:rPr>
        <w:t xml:space="preserve"> </w:t>
      </w:r>
    </w:p>
    <w:p w:rsidRPr="00681AA3" w:rsidR="00451091" w:rsidP="00451091" w:rsidRDefault="00451091" w14:paraId="62B92AFC" w14:textId="77777777">
      <w:pPr>
        <w:pStyle w:val="Default"/>
        <w:rPr>
          <w:rFonts w:ascii="Verdana" w:hAnsi="Verdana" w:cs="Arial"/>
        </w:rPr>
      </w:pPr>
    </w:p>
    <w:p w:rsidR="00451091" w:rsidP="00451091" w:rsidRDefault="00451091" w14:paraId="74B2E766" w14:textId="77777777">
      <w:pPr>
        <w:pStyle w:val="Default"/>
        <w:rPr>
          <w:rFonts w:ascii="Verdana" w:hAnsi="Verdana" w:cs="Arial"/>
        </w:rPr>
      </w:pPr>
      <w:r>
        <w:rPr>
          <w:rFonts w:ascii="Verdana" w:hAnsi="Verdana" w:cs="Arial"/>
        </w:rPr>
        <w:t xml:space="preserve">The Executive Medical Director (EMD) is the executive lead for the policy, with the process overseen by the EMD department. They act as the final approver for all study leave requests for consultants and non-training grade doctors, after it has been approved by the department. </w:t>
      </w:r>
    </w:p>
    <w:p w:rsidR="00451091" w:rsidP="00451091" w:rsidRDefault="00451091" w14:paraId="0E643CCD" w14:textId="77777777">
      <w:pPr>
        <w:pStyle w:val="Default"/>
        <w:rPr>
          <w:rFonts w:ascii="Verdana" w:hAnsi="Verdana" w:cs="Arial"/>
        </w:rPr>
      </w:pPr>
    </w:p>
    <w:p w:rsidR="00451091" w:rsidP="00451091" w:rsidRDefault="00451091" w14:paraId="367D4AFB" w14:textId="0C757CBD">
      <w:pPr>
        <w:pStyle w:val="Default"/>
        <w:rPr>
          <w:rFonts w:ascii="Verdana" w:hAnsi="Verdana" w:cs="Arial"/>
        </w:rPr>
      </w:pPr>
      <w:r>
        <w:rPr>
          <w:rFonts w:ascii="Verdana" w:hAnsi="Verdana" w:cs="Arial"/>
        </w:rPr>
        <w:t>Requests are made via the Codi system, which is a Health Education and Improvement Wales (HEIW) based system. Doctors should provide six weeks’ notice of any request and any associated costs. The team review this information against any other study leave taken in a rolling three-year period to ensure it is within the time and funding allocation for the individual. The team also approves any expenses claims following the course, ensuring the costs are equal to or lesser in value than specified on the study leave request and include receipts or invoices.</w:t>
      </w:r>
    </w:p>
    <w:p w:rsidR="00451091" w:rsidP="00451091" w:rsidRDefault="00451091" w14:paraId="7FB25619" w14:textId="77777777">
      <w:pPr>
        <w:pStyle w:val="Default"/>
        <w:rPr>
          <w:rFonts w:ascii="Verdana" w:hAnsi="Verdana" w:cs="Arial"/>
        </w:rPr>
      </w:pPr>
    </w:p>
    <w:p w:rsidR="00451091" w:rsidP="00451091" w:rsidRDefault="00451091" w14:paraId="779DF1E4" w14:textId="77777777">
      <w:pPr>
        <w:pStyle w:val="Default"/>
        <w:rPr>
          <w:rFonts w:ascii="Verdana" w:hAnsi="Verdana" w:cs="Arial"/>
        </w:rPr>
      </w:pPr>
      <w:r>
        <w:rPr>
          <w:rFonts w:ascii="Verdana" w:hAnsi="Verdana" w:cs="Arial"/>
        </w:rPr>
        <w:t xml:space="preserve">To ensure compliance with the policy and to monitor any concerns, themes or trends, spot checks are undertaken against the document. </w:t>
      </w:r>
    </w:p>
    <w:p w:rsidRPr="00F8567E" w:rsidR="00451091" w:rsidP="00451091" w:rsidRDefault="00451091" w14:paraId="0155BEEE" w14:textId="77777777">
      <w:pPr>
        <w:pStyle w:val="ListParagraph"/>
        <w:spacing w:after="0" w:line="240" w:lineRule="auto"/>
        <w:rPr>
          <w:rFonts w:ascii="Verdana" w:hAnsi="Verdana" w:cs="Arial"/>
          <w:b/>
          <w:sz w:val="24"/>
          <w:szCs w:val="24"/>
        </w:rPr>
      </w:pPr>
    </w:p>
    <w:p w:rsidRPr="00F8567E" w:rsidR="00451091" w:rsidP="00451091" w:rsidRDefault="00451091" w14:paraId="518A50C1"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rsidRPr="00F959D6" w:rsidR="00451091" w:rsidP="00451091" w:rsidRDefault="00451091" w14:paraId="4248E0F8" w14:textId="77777777">
      <w:pPr>
        <w:spacing w:after="0" w:line="240" w:lineRule="auto"/>
        <w:rPr>
          <w:rFonts w:ascii="Verdana" w:hAnsi="Verdana" w:cs="Arial"/>
          <w:sz w:val="24"/>
          <w:szCs w:val="24"/>
        </w:rPr>
      </w:pPr>
      <w:r w:rsidRPr="00F959D6">
        <w:rPr>
          <w:rFonts w:ascii="Verdana" w:hAnsi="Verdana" w:cs="Arial"/>
          <w:sz w:val="24"/>
          <w:szCs w:val="24"/>
        </w:rPr>
        <w:t xml:space="preserve">In 2025, internal audit undertook a review to ‘establish if study leave provided to medical staff is being managed in accordance with Swansea Bay University Health Board’s procedure, complies with British Medical Association (BMA) guidance, is of value to both the professional and the health board; and is accounted for appropriately.’ </w:t>
      </w:r>
    </w:p>
    <w:p w:rsidRPr="00F959D6" w:rsidR="00451091" w:rsidP="00451091" w:rsidRDefault="00451091" w14:paraId="00EB5BC5" w14:textId="77777777">
      <w:pPr>
        <w:spacing w:after="0" w:line="240" w:lineRule="auto"/>
        <w:rPr>
          <w:rFonts w:ascii="Verdana" w:hAnsi="Verdana" w:cs="Arial"/>
          <w:sz w:val="24"/>
          <w:szCs w:val="24"/>
        </w:rPr>
      </w:pPr>
    </w:p>
    <w:p w:rsidR="00451091" w:rsidP="00451091" w:rsidRDefault="00451091" w14:paraId="602C4797" w14:textId="77777777">
      <w:pPr>
        <w:spacing w:after="0" w:line="240" w:lineRule="auto"/>
        <w:rPr>
          <w:rFonts w:ascii="Verdana" w:hAnsi="Verdana" w:cs="Arial"/>
          <w:sz w:val="24"/>
          <w:szCs w:val="24"/>
        </w:rPr>
      </w:pPr>
      <w:r>
        <w:rPr>
          <w:rFonts w:ascii="Verdana" w:hAnsi="Verdana" w:cs="Arial"/>
          <w:sz w:val="24"/>
          <w:szCs w:val="24"/>
        </w:rPr>
        <w:t xml:space="preserve">The overall rating for the audit was </w:t>
      </w:r>
      <w:r>
        <w:rPr>
          <w:rFonts w:ascii="Verdana" w:hAnsi="Verdana" w:cs="Arial"/>
          <w:i/>
          <w:iCs/>
          <w:sz w:val="24"/>
          <w:szCs w:val="24"/>
        </w:rPr>
        <w:t xml:space="preserve">reasonable assurance </w:t>
      </w:r>
      <w:r>
        <w:rPr>
          <w:rFonts w:ascii="Verdana" w:hAnsi="Verdana" w:cs="Arial"/>
          <w:sz w:val="24"/>
          <w:szCs w:val="24"/>
        </w:rPr>
        <w:t>with the breakdown against each of the objectives as follows:</w:t>
      </w:r>
    </w:p>
    <w:p w:rsidR="00F96FE1" w:rsidP="00451091" w:rsidRDefault="00F96FE1" w14:paraId="47DE51D6" w14:textId="77777777">
      <w:pPr>
        <w:spacing w:after="0" w:line="240" w:lineRule="auto"/>
        <w:rPr>
          <w:rFonts w:ascii="Verdana" w:hAnsi="Verdana" w:cs="Arial"/>
          <w:sz w:val="24"/>
          <w:szCs w:val="24"/>
        </w:rPr>
      </w:pPr>
    </w:p>
    <w:p w:rsidR="00F96FE1" w:rsidP="00451091" w:rsidRDefault="00F96FE1" w14:paraId="22EAC6BA" w14:textId="77777777">
      <w:pPr>
        <w:spacing w:after="0" w:line="240" w:lineRule="auto"/>
        <w:rPr>
          <w:rFonts w:ascii="Verdana" w:hAnsi="Verdana" w:cs="Arial"/>
          <w:sz w:val="24"/>
          <w:szCs w:val="24"/>
        </w:rPr>
      </w:pPr>
    </w:p>
    <w:p w:rsidR="00A83A6F" w:rsidP="00451091" w:rsidRDefault="00A83A6F" w14:paraId="3CC9E1B9" w14:textId="77777777">
      <w:pPr>
        <w:spacing w:after="0" w:line="240" w:lineRule="auto"/>
        <w:rPr>
          <w:rFonts w:ascii="Verdana" w:hAnsi="Verdana" w:cs="Arial"/>
          <w:sz w:val="24"/>
          <w:szCs w:val="24"/>
        </w:rPr>
      </w:pPr>
    </w:p>
    <w:p w:rsidR="00451091" w:rsidP="00451091" w:rsidRDefault="00451091" w14:paraId="1DC36073" w14:textId="77777777">
      <w:pPr>
        <w:spacing w:after="0" w:line="240" w:lineRule="auto"/>
        <w:rPr>
          <w:rFonts w:ascii="Verdana" w:hAnsi="Verdana" w:cs="Arial"/>
          <w:sz w:val="24"/>
          <w:szCs w:val="24"/>
        </w:rPr>
      </w:pPr>
    </w:p>
    <w:tbl>
      <w:tblPr>
        <w:tblStyle w:val="TableGrid"/>
        <w:tblW w:w="10632" w:type="dxa"/>
        <w:tblInd w:w="-572" w:type="dxa"/>
        <w:tblLook w:val="04A0" w:firstRow="1" w:lastRow="0" w:firstColumn="1" w:lastColumn="0" w:noHBand="0" w:noVBand="1"/>
      </w:tblPr>
      <w:tblGrid>
        <w:gridCol w:w="7938"/>
        <w:gridCol w:w="2694"/>
      </w:tblGrid>
      <w:tr w:rsidR="00451091" w:rsidTr="00A83A6F" w14:paraId="3E50A1BE" w14:textId="77777777">
        <w:trPr>
          <w:cantSplit/>
          <w:tblHeader/>
        </w:trPr>
        <w:tc>
          <w:tcPr>
            <w:tcW w:w="7938" w:type="dxa"/>
            <w:shd w:val="clear" w:color="auto" w:fill="44546A" w:themeFill="text2"/>
          </w:tcPr>
          <w:p w:rsidRPr="00A83A6F" w:rsidR="00451091" w:rsidP="00A769FC" w:rsidRDefault="00451091" w14:paraId="44A7C9D0" w14:textId="77777777">
            <w:pPr>
              <w:spacing w:before="40" w:after="40"/>
              <w:jc w:val="center"/>
              <w:rPr>
                <w:rFonts w:ascii="Verdana" w:hAnsi="Verdana" w:cs="Arial"/>
                <w:b/>
                <w:bCs/>
                <w:color w:val="FFFFFF" w:themeColor="background1"/>
                <w:sz w:val="24"/>
                <w:szCs w:val="24"/>
              </w:rPr>
            </w:pPr>
            <w:r w:rsidRPr="00A83A6F">
              <w:rPr>
                <w:rFonts w:ascii="Verdana" w:hAnsi="Verdana" w:cs="Arial"/>
                <w:b/>
                <w:bCs/>
                <w:color w:val="FFFFFF" w:themeColor="background1"/>
                <w:sz w:val="24"/>
                <w:szCs w:val="24"/>
              </w:rPr>
              <w:lastRenderedPageBreak/>
              <w:t>Objective</w:t>
            </w:r>
          </w:p>
        </w:tc>
        <w:tc>
          <w:tcPr>
            <w:tcW w:w="2694" w:type="dxa"/>
            <w:shd w:val="clear" w:color="auto" w:fill="44546A" w:themeFill="text2"/>
          </w:tcPr>
          <w:p w:rsidRPr="00A83A6F" w:rsidR="00451091" w:rsidP="00A769FC" w:rsidRDefault="00451091" w14:paraId="73F5F8A4" w14:textId="77777777">
            <w:pPr>
              <w:spacing w:before="40" w:after="40"/>
              <w:jc w:val="center"/>
              <w:rPr>
                <w:rFonts w:ascii="Verdana" w:hAnsi="Verdana" w:cs="Arial"/>
                <w:b/>
                <w:bCs/>
                <w:color w:val="FFFFFF" w:themeColor="background1"/>
                <w:sz w:val="24"/>
                <w:szCs w:val="24"/>
              </w:rPr>
            </w:pPr>
            <w:r w:rsidRPr="00A83A6F">
              <w:rPr>
                <w:rFonts w:ascii="Verdana" w:hAnsi="Verdana" w:cs="Arial"/>
                <w:b/>
                <w:bCs/>
                <w:color w:val="FFFFFF" w:themeColor="background1"/>
                <w:sz w:val="24"/>
                <w:szCs w:val="24"/>
              </w:rPr>
              <w:t>Assurance Rating</w:t>
            </w:r>
          </w:p>
        </w:tc>
      </w:tr>
      <w:tr w:rsidR="00451091" w:rsidTr="00A769FC" w14:paraId="3E21453A" w14:textId="77777777">
        <w:tc>
          <w:tcPr>
            <w:tcW w:w="7938" w:type="dxa"/>
          </w:tcPr>
          <w:p w:rsidR="00451091" w:rsidP="00A769FC" w:rsidRDefault="00451091" w14:paraId="3659BABC" w14:textId="019A4C47">
            <w:pPr>
              <w:spacing w:before="40" w:after="40"/>
              <w:rPr>
                <w:rFonts w:ascii="Verdana" w:hAnsi="Verdana" w:cs="Arial"/>
                <w:sz w:val="24"/>
                <w:szCs w:val="24"/>
              </w:rPr>
            </w:pPr>
            <w:r w:rsidRPr="00CC3C14">
              <w:rPr>
                <w:rFonts w:ascii="Verdana" w:hAnsi="Verdana" w:cs="Arial"/>
                <w:sz w:val="24"/>
                <w:szCs w:val="24"/>
              </w:rPr>
              <w:t>The health board has a study leave policy in place, that is appropriate, outlines roles and responsibilities, has been subject to formal approval and is appropriately approved and made available to all relevant staff</w:t>
            </w:r>
            <w:r w:rsidR="006B428E">
              <w:rPr>
                <w:rFonts w:ascii="Verdana" w:hAnsi="Verdana" w:cs="Arial"/>
                <w:sz w:val="24"/>
                <w:szCs w:val="24"/>
              </w:rPr>
              <w:t>.</w:t>
            </w:r>
          </w:p>
        </w:tc>
        <w:tc>
          <w:tcPr>
            <w:tcW w:w="2694" w:type="dxa"/>
            <w:shd w:val="clear" w:color="auto" w:fill="92D050"/>
          </w:tcPr>
          <w:p w:rsidR="00451091" w:rsidP="00A769FC" w:rsidRDefault="00451091" w14:paraId="2B5D876E" w14:textId="77777777">
            <w:pPr>
              <w:spacing w:before="40" w:after="40"/>
              <w:rPr>
                <w:rFonts w:ascii="Verdana" w:hAnsi="Verdana" w:cs="Arial"/>
                <w:sz w:val="24"/>
                <w:szCs w:val="24"/>
              </w:rPr>
            </w:pPr>
            <w:r>
              <w:rPr>
                <w:rFonts w:ascii="Verdana" w:hAnsi="Verdana" w:cs="Arial"/>
                <w:sz w:val="24"/>
                <w:szCs w:val="24"/>
              </w:rPr>
              <w:t>Reasonable</w:t>
            </w:r>
          </w:p>
        </w:tc>
      </w:tr>
      <w:tr w:rsidR="00451091" w:rsidTr="00A769FC" w14:paraId="47B7FCFC" w14:textId="77777777">
        <w:tc>
          <w:tcPr>
            <w:tcW w:w="7938" w:type="dxa"/>
          </w:tcPr>
          <w:p w:rsidR="00451091" w:rsidP="00A769FC" w:rsidRDefault="00451091" w14:paraId="1D6999BD" w14:textId="77777777">
            <w:pPr>
              <w:spacing w:before="40" w:after="40"/>
              <w:rPr>
                <w:rFonts w:ascii="Verdana" w:hAnsi="Verdana" w:cs="Arial"/>
                <w:sz w:val="24"/>
                <w:szCs w:val="24"/>
              </w:rPr>
            </w:pPr>
            <w:r w:rsidRPr="00A36C66">
              <w:rPr>
                <w:rFonts w:ascii="Verdana" w:hAnsi="Verdana" w:cs="Arial"/>
                <w:sz w:val="24"/>
                <w:szCs w:val="24"/>
              </w:rPr>
              <w:t>All episodes of study leave are appropriately applied for and are subject to appropriate approval in accordance with the procedure.</w:t>
            </w:r>
          </w:p>
        </w:tc>
        <w:tc>
          <w:tcPr>
            <w:tcW w:w="2694" w:type="dxa"/>
            <w:shd w:val="clear" w:color="auto" w:fill="92D050"/>
          </w:tcPr>
          <w:p w:rsidR="00451091" w:rsidP="00A769FC" w:rsidRDefault="00451091" w14:paraId="773BAF10" w14:textId="77777777">
            <w:pPr>
              <w:spacing w:before="40" w:after="40"/>
              <w:rPr>
                <w:rFonts w:ascii="Verdana" w:hAnsi="Verdana" w:cs="Arial"/>
                <w:sz w:val="24"/>
                <w:szCs w:val="24"/>
              </w:rPr>
            </w:pPr>
            <w:r w:rsidRPr="006D53DA">
              <w:rPr>
                <w:rFonts w:ascii="Verdana" w:hAnsi="Verdana" w:cs="Arial"/>
                <w:sz w:val="24"/>
                <w:szCs w:val="24"/>
              </w:rPr>
              <w:t>Reasonable</w:t>
            </w:r>
          </w:p>
        </w:tc>
      </w:tr>
      <w:tr w:rsidR="00451091" w:rsidTr="00A769FC" w14:paraId="1468D394" w14:textId="77777777">
        <w:tc>
          <w:tcPr>
            <w:tcW w:w="7938" w:type="dxa"/>
          </w:tcPr>
          <w:p w:rsidR="00451091" w:rsidP="00A769FC" w:rsidRDefault="00451091" w14:paraId="78713944" w14:textId="5CECC04E">
            <w:pPr>
              <w:spacing w:before="40" w:after="40"/>
              <w:rPr>
                <w:rFonts w:ascii="Verdana" w:hAnsi="Verdana" w:cs="Arial"/>
                <w:sz w:val="24"/>
                <w:szCs w:val="24"/>
              </w:rPr>
            </w:pPr>
            <w:r w:rsidRPr="00A36C66">
              <w:rPr>
                <w:rFonts w:ascii="Verdana" w:hAnsi="Verdana" w:cs="Arial"/>
                <w:sz w:val="24"/>
                <w:szCs w:val="24"/>
              </w:rPr>
              <w:t xml:space="preserve">All </w:t>
            </w:r>
            <w:r w:rsidRPr="00A36C66" w:rsidR="006B428E">
              <w:rPr>
                <w:rFonts w:ascii="Verdana" w:hAnsi="Verdana" w:cs="Arial"/>
                <w:sz w:val="24"/>
                <w:szCs w:val="24"/>
              </w:rPr>
              <w:t xml:space="preserve">medical </w:t>
            </w:r>
            <w:r w:rsidRPr="00A36C66">
              <w:rPr>
                <w:rFonts w:ascii="Verdana" w:hAnsi="Verdana" w:cs="Arial"/>
                <w:sz w:val="24"/>
                <w:szCs w:val="24"/>
              </w:rPr>
              <w:t>staff undertake study/professional leave in accordance with the recommended standards for study leave in the UK</w:t>
            </w:r>
            <w:r w:rsidR="006B428E">
              <w:rPr>
                <w:rFonts w:ascii="Verdana" w:hAnsi="Verdana" w:cs="Arial"/>
                <w:sz w:val="24"/>
                <w:szCs w:val="24"/>
              </w:rPr>
              <w:t>.</w:t>
            </w:r>
          </w:p>
        </w:tc>
        <w:tc>
          <w:tcPr>
            <w:tcW w:w="2694" w:type="dxa"/>
            <w:shd w:val="clear" w:color="auto" w:fill="92D050"/>
          </w:tcPr>
          <w:p w:rsidR="00451091" w:rsidP="00A769FC" w:rsidRDefault="00451091" w14:paraId="2AAEF139" w14:textId="77777777">
            <w:pPr>
              <w:spacing w:before="40" w:after="40"/>
              <w:rPr>
                <w:rFonts w:ascii="Verdana" w:hAnsi="Verdana" w:cs="Arial"/>
                <w:sz w:val="24"/>
                <w:szCs w:val="24"/>
              </w:rPr>
            </w:pPr>
            <w:r w:rsidRPr="006D53DA">
              <w:rPr>
                <w:rFonts w:ascii="Verdana" w:hAnsi="Verdana" w:cs="Arial"/>
                <w:sz w:val="24"/>
                <w:szCs w:val="24"/>
              </w:rPr>
              <w:t>Reasonable</w:t>
            </w:r>
          </w:p>
        </w:tc>
      </w:tr>
      <w:tr w:rsidR="00451091" w:rsidTr="00A769FC" w14:paraId="3816023B" w14:textId="77777777">
        <w:tc>
          <w:tcPr>
            <w:tcW w:w="7938" w:type="dxa"/>
          </w:tcPr>
          <w:p w:rsidR="00451091" w:rsidP="00A769FC" w:rsidRDefault="00451091" w14:paraId="14898D44" w14:textId="4A453AC7">
            <w:pPr>
              <w:spacing w:before="40" w:after="40"/>
              <w:rPr>
                <w:rFonts w:ascii="Verdana" w:hAnsi="Verdana" w:cs="Arial"/>
                <w:sz w:val="24"/>
                <w:szCs w:val="24"/>
              </w:rPr>
            </w:pPr>
            <w:r w:rsidRPr="00683359">
              <w:rPr>
                <w:rFonts w:ascii="Verdana" w:hAnsi="Verdana" w:cs="Arial"/>
                <w:sz w:val="24"/>
                <w:szCs w:val="24"/>
              </w:rPr>
              <w:t>The costs associated with study leave are identified and accounted for appropriately</w:t>
            </w:r>
            <w:r w:rsidR="006B428E">
              <w:rPr>
                <w:rFonts w:ascii="Verdana" w:hAnsi="Verdana" w:cs="Arial"/>
                <w:sz w:val="24"/>
                <w:szCs w:val="24"/>
              </w:rPr>
              <w:t>.</w:t>
            </w:r>
          </w:p>
        </w:tc>
        <w:tc>
          <w:tcPr>
            <w:tcW w:w="2694" w:type="dxa"/>
            <w:shd w:val="clear" w:color="auto" w:fill="92D050"/>
          </w:tcPr>
          <w:p w:rsidR="00451091" w:rsidP="00A769FC" w:rsidRDefault="00451091" w14:paraId="7BFD1B87" w14:textId="77777777">
            <w:pPr>
              <w:spacing w:before="40" w:after="40"/>
              <w:rPr>
                <w:rFonts w:ascii="Verdana" w:hAnsi="Verdana" w:cs="Arial"/>
                <w:sz w:val="24"/>
                <w:szCs w:val="24"/>
              </w:rPr>
            </w:pPr>
            <w:r w:rsidRPr="006D53DA">
              <w:rPr>
                <w:rFonts w:ascii="Verdana" w:hAnsi="Verdana" w:cs="Arial"/>
                <w:sz w:val="24"/>
                <w:szCs w:val="24"/>
              </w:rPr>
              <w:t>Reasonable</w:t>
            </w:r>
          </w:p>
        </w:tc>
      </w:tr>
      <w:tr w:rsidR="00451091" w:rsidTr="00A769FC" w14:paraId="2BA42123" w14:textId="77777777">
        <w:tc>
          <w:tcPr>
            <w:tcW w:w="7938" w:type="dxa"/>
          </w:tcPr>
          <w:p w:rsidRPr="00683359" w:rsidR="00451091" w:rsidP="00A769FC" w:rsidRDefault="00451091" w14:paraId="3F605266" w14:textId="77777777">
            <w:pPr>
              <w:spacing w:before="40" w:after="40"/>
              <w:rPr>
                <w:rFonts w:ascii="Verdana" w:hAnsi="Verdana" w:cs="Arial"/>
                <w:sz w:val="24"/>
                <w:szCs w:val="24"/>
              </w:rPr>
            </w:pPr>
            <w:r w:rsidRPr="00683359">
              <w:rPr>
                <w:rFonts w:ascii="Verdana" w:hAnsi="Verdana" w:cs="Arial"/>
                <w:sz w:val="24"/>
                <w:szCs w:val="24"/>
              </w:rPr>
              <w:t>There is appropriate oversight for the management of medical study leave.</w:t>
            </w:r>
          </w:p>
        </w:tc>
        <w:tc>
          <w:tcPr>
            <w:tcW w:w="2694" w:type="dxa"/>
            <w:shd w:val="clear" w:color="auto" w:fill="FFC000"/>
          </w:tcPr>
          <w:p w:rsidR="00451091" w:rsidP="00A769FC" w:rsidRDefault="00451091" w14:paraId="6D45D909" w14:textId="77777777">
            <w:pPr>
              <w:spacing w:before="40" w:after="40"/>
              <w:rPr>
                <w:rFonts w:ascii="Verdana" w:hAnsi="Verdana" w:cs="Arial"/>
                <w:sz w:val="24"/>
                <w:szCs w:val="24"/>
              </w:rPr>
            </w:pPr>
            <w:r>
              <w:rPr>
                <w:rFonts w:ascii="Verdana" w:hAnsi="Verdana" w:cs="Arial"/>
                <w:sz w:val="24"/>
                <w:szCs w:val="24"/>
              </w:rPr>
              <w:t xml:space="preserve">Limited </w:t>
            </w:r>
          </w:p>
        </w:tc>
      </w:tr>
    </w:tbl>
    <w:p w:rsidR="00451091" w:rsidP="00451091" w:rsidRDefault="00451091" w14:paraId="529800B9" w14:textId="77777777">
      <w:pPr>
        <w:spacing w:after="0" w:line="240" w:lineRule="auto"/>
        <w:rPr>
          <w:rFonts w:ascii="Verdana" w:hAnsi="Verdana" w:cs="Arial"/>
          <w:sz w:val="24"/>
          <w:szCs w:val="24"/>
        </w:rPr>
      </w:pPr>
    </w:p>
    <w:p w:rsidR="00451091" w:rsidP="00451091" w:rsidRDefault="00451091" w14:paraId="2C609E36" w14:textId="77777777">
      <w:pPr>
        <w:spacing w:after="0" w:line="240" w:lineRule="auto"/>
        <w:rPr>
          <w:rFonts w:ascii="Verdana" w:hAnsi="Verdana" w:cs="Arial"/>
          <w:sz w:val="24"/>
          <w:szCs w:val="24"/>
        </w:rPr>
      </w:pPr>
      <w:r>
        <w:rPr>
          <w:rFonts w:ascii="Verdana" w:hAnsi="Verdana" w:cs="Arial"/>
          <w:sz w:val="24"/>
          <w:szCs w:val="24"/>
        </w:rPr>
        <w:t xml:space="preserve">The full report and management response, which has seven key findings to address, were presented to the Audit Committee and are at </w:t>
      </w:r>
      <w:r w:rsidRPr="0061125D">
        <w:rPr>
          <w:rFonts w:ascii="Verdana" w:hAnsi="Verdana" w:cs="Arial"/>
          <w:b/>
          <w:bCs/>
          <w:sz w:val="24"/>
          <w:szCs w:val="24"/>
        </w:rPr>
        <w:t>appendix one</w:t>
      </w:r>
      <w:r>
        <w:rPr>
          <w:rFonts w:ascii="Verdana" w:hAnsi="Verdana" w:cs="Arial"/>
          <w:sz w:val="24"/>
          <w:szCs w:val="24"/>
        </w:rPr>
        <w:t xml:space="preserve"> for information. </w:t>
      </w:r>
    </w:p>
    <w:p w:rsidR="00451091" w:rsidP="00451091" w:rsidRDefault="00451091" w14:paraId="11A251C4" w14:textId="77777777">
      <w:pPr>
        <w:spacing w:after="0" w:line="240" w:lineRule="auto"/>
        <w:rPr>
          <w:rFonts w:ascii="Verdana" w:hAnsi="Verdana" w:cs="Arial"/>
          <w:sz w:val="24"/>
          <w:szCs w:val="24"/>
        </w:rPr>
      </w:pPr>
    </w:p>
    <w:p w:rsidR="00451091" w:rsidP="00451091" w:rsidRDefault="00451091" w14:paraId="1B277F02" w14:textId="27BE3C5F">
      <w:pPr>
        <w:spacing w:after="0" w:line="240" w:lineRule="auto"/>
        <w:rPr>
          <w:rFonts w:ascii="Verdana" w:hAnsi="Verdana" w:cs="Arial"/>
          <w:sz w:val="24"/>
          <w:szCs w:val="24"/>
        </w:rPr>
      </w:pPr>
      <w:r>
        <w:rPr>
          <w:rFonts w:ascii="Verdana" w:hAnsi="Verdana" w:cs="Arial"/>
          <w:sz w:val="24"/>
          <w:szCs w:val="24"/>
        </w:rPr>
        <w:t>Four key findings have a deadline of 31</w:t>
      </w:r>
      <w:r w:rsidRPr="004045DB">
        <w:rPr>
          <w:rFonts w:ascii="Verdana" w:hAnsi="Verdana" w:cs="Arial"/>
          <w:sz w:val="24"/>
          <w:szCs w:val="24"/>
          <w:vertAlign w:val="superscript"/>
        </w:rPr>
        <w:t>st</w:t>
      </w:r>
      <w:r>
        <w:rPr>
          <w:rFonts w:ascii="Verdana" w:hAnsi="Verdana" w:cs="Arial"/>
          <w:sz w:val="24"/>
          <w:szCs w:val="24"/>
        </w:rPr>
        <w:t xml:space="preserve"> March 2026 for completion, all of which are on track, and evidence to support the closure of these has been shared for consideration </w:t>
      </w:r>
      <w:r w:rsidR="00D41C09">
        <w:rPr>
          <w:rFonts w:ascii="Verdana" w:hAnsi="Verdana" w:cs="Arial"/>
          <w:sz w:val="24"/>
          <w:szCs w:val="24"/>
        </w:rPr>
        <w:t>to</w:t>
      </w:r>
      <w:r>
        <w:rPr>
          <w:rFonts w:ascii="Verdana" w:hAnsi="Verdana" w:cs="Arial"/>
          <w:sz w:val="24"/>
          <w:szCs w:val="24"/>
        </w:rPr>
        <w:t xml:space="preserve"> the compliance team. Three are due by December 2026, with one already submitted for closure. The remaining two require changes to the policy, for which the process is lengthy in nature, as it needs to be amended in partnership with the Local Negotiating Committee</w:t>
      </w:r>
      <w:r w:rsidR="00E14505">
        <w:rPr>
          <w:rFonts w:ascii="Verdana" w:hAnsi="Verdana" w:cs="Arial"/>
          <w:sz w:val="24"/>
          <w:szCs w:val="24"/>
        </w:rPr>
        <w:t xml:space="preserve"> (LNC)</w:t>
      </w:r>
      <w:r>
        <w:rPr>
          <w:rFonts w:ascii="Verdana" w:hAnsi="Verdana" w:cs="Arial"/>
          <w:sz w:val="24"/>
          <w:szCs w:val="24"/>
        </w:rPr>
        <w:t xml:space="preserve"> and BMA before it can be taken through the health board’s governance processes for approval. </w:t>
      </w:r>
    </w:p>
    <w:p w:rsidR="00451091" w:rsidP="00451091" w:rsidRDefault="00451091" w14:paraId="5540290C" w14:textId="77777777">
      <w:pPr>
        <w:spacing w:after="0" w:line="240" w:lineRule="auto"/>
        <w:rPr>
          <w:rFonts w:ascii="Verdana" w:hAnsi="Verdana" w:cs="Arial"/>
          <w:sz w:val="24"/>
          <w:szCs w:val="24"/>
        </w:rPr>
      </w:pPr>
    </w:p>
    <w:p w:rsidR="00451091" w:rsidP="00451091" w:rsidRDefault="00451091" w14:paraId="1973897A" w14:textId="77777777">
      <w:pPr>
        <w:spacing w:after="0" w:line="240" w:lineRule="auto"/>
        <w:rPr>
          <w:rFonts w:ascii="Verdana" w:hAnsi="Verdana" w:cs="Arial"/>
          <w:sz w:val="24"/>
          <w:szCs w:val="24"/>
        </w:rPr>
      </w:pPr>
      <w:r>
        <w:rPr>
          <w:rFonts w:ascii="Verdana" w:hAnsi="Verdana" w:cs="Arial"/>
          <w:sz w:val="24"/>
          <w:szCs w:val="24"/>
        </w:rPr>
        <w:t xml:space="preserve">In terms of the objective which received </w:t>
      </w:r>
      <w:r w:rsidRPr="0008081B">
        <w:rPr>
          <w:rFonts w:ascii="Verdana" w:hAnsi="Verdana" w:cs="Arial"/>
          <w:i/>
          <w:iCs/>
          <w:sz w:val="24"/>
          <w:szCs w:val="24"/>
        </w:rPr>
        <w:t>limited assurance</w:t>
      </w:r>
      <w:r>
        <w:rPr>
          <w:rFonts w:ascii="Verdana" w:hAnsi="Verdana" w:cs="Arial"/>
          <w:sz w:val="24"/>
          <w:szCs w:val="24"/>
        </w:rPr>
        <w:t>, the finding of the audit was that ‘</w:t>
      </w:r>
      <w:r w:rsidRPr="00B30761">
        <w:rPr>
          <w:rFonts w:ascii="Verdana" w:hAnsi="Verdana" w:cs="Arial"/>
          <w:sz w:val="24"/>
          <w:szCs w:val="24"/>
        </w:rPr>
        <w:t>there is no formal reporting framework in place for the oversight of medical study leave at either local or Board committee level</w:t>
      </w:r>
      <w:r>
        <w:rPr>
          <w:rFonts w:ascii="Verdana" w:hAnsi="Verdana" w:cs="Arial"/>
          <w:sz w:val="24"/>
          <w:szCs w:val="24"/>
        </w:rPr>
        <w:t xml:space="preserve">’. </w:t>
      </w:r>
    </w:p>
    <w:p w:rsidR="00451091" w:rsidP="00451091" w:rsidRDefault="00451091" w14:paraId="006DD82E" w14:textId="77777777">
      <w:pPr>
        <w:spacing w:after="0" w:line="240" w:lineRule="auto"/>
        <w:rPr>
          <w:rFonts w:ascii="Verdana" w:hAnsi="Verdana" w:cs="Arial"/>
          <w:sz w:val="24"/>
          <w:szCs w:val="24"/>
        </w:rPr>
      </w:pPr>
    </w:p>
    <w:p w:rsidR="00451091" w:rsidP="00451091" w:rsidRDefault="00451091" w14:paraId="110AFB6F" w14:textId="77777777">
      <w:pPr>
        <w:spacing w:after="0" w:line="240" w:lineRule="auto"/>
        <w:rPr>
          <w:rFonts w:ascii="Verdana" w:hAnsi="Verdana" w:cs="Arial"/>
          <w:sz w:val="24"/>
          <w:szCs w:val="24"/>
        </w:rPr>
      </w:pPr>
      <w:r>
        <w:rPr>
          <w:rFonts w:ascii="Verdana" w:hAnsi="Verdana" w:cs="Arial"/>
          <w:sz w:val="24"/>
          <w:szCs w:val="24"/>
        </w:rPr>
        <w:t xml:space="preserve">As such, it is now a standing agenda item on the bi-monthly Medical Workforce Group, and a report will be received at each meeting on the latest activity, trends and themes. This will be reported to the Workforce and OD Committee as part of the group’s summary report, rather than a separate report going forward. </w:t>
      </w:r>
    </w:p>
    <w:p w:rsidR="00451091" w:rsidP="00451091" w:rsidRDefault="00451091" w14:paraId="6D5C96EE" w14:textId="77777777">
      <w:pPr>
        <w:spacing w:after="0" w:line="240" w:lineRule="auto"/>
        <w:rPr>
          <w:rFonts w:ascii="Verdana" w:hAnsi="Verdana" w:cs="Arial"/>
          <w:sz w:val="24"/>
          <w:szCs w:val="24"/>
        </w:rPr>
      </w:pPr>
    </w:p>
    <w:p w:rsidRPr="00193A57" w:rsidR="00451091" w:rsidP="00451091" w:rsidRDefault="00451091" w14:paraId="14172A5A" w14:textId="77777777">
      <w:pPr>
        <w:spacing w:after="0" w:line="240" w:lineRule="auto"/>
        <w:rPr>
          <w:rFonts w:ascii="Verdana" w:hAnsi="Verdana" w:cs="Arial"/>
          <w:sz w:val="24"/>
          <w:szCs w:val="24"/>
        </w:rPr>
      </w:pPr>
      <w:r>
        <w:rPr>
          <w:rFonts w:ascii="Verdana" w:hAnsi="Verdana" w:cs="Arial"/>
          <w:sz w:val="24"/>
          <w:szCs w:val="24"/>
        </w:rPr>
        <w:t>Reporting commenced to the Medical Workforce Group in December 2025, through a verbal update and the sharing of the internal audit report, while the first written report was received in February 2026 and included details of spot checks introduced as part of the audit recommendations as well as current activity levels.</w:t>
      </w:r>
    </w:p>
    <w:p w:rsidR="00451091" w:rsidP="00451091" w:rsidRDefault="00451091" w14:paraId="57C0808E" w14:textId="77777777">
      <w:pPr>
        <w:spacing w:after="0" w:line="240" w:lineRule="auto"/>
        <w:rPr>
          <w:rFonts w:ascii="Verdana" w:hAnsi="Verdana" w:cs="Arial"/>
          <w:sz w:val="24"/>
          <w:szCs w:val="24"/>
        </w:rPr>
      </w:pPr>
    </w:p>
    <w:p w:rsidR="00451091" w:rsidP="00451091" w:rsidRDefault="007454D0" w14:paraId="0F10BAD4" w14:textId="5B0B5426">
      <w:pPr>
        <w:spacing w:after="0" w:line="240" w:lineRule="auto"/>
        <w:rPr>
          <w:rFonts w:ascii="Verdana" w:hAnsi="Verdana" w:cs="Arial"/>
          <w:sz w:val="24"/>
          <w:szCs w:val="24"/>
        </w:rPr>
      </w:pPr>
      <w:r>
        <w:rPr>
          <w:rFonts w:ascii="Verdana" w:hAnsi="Verdana" w:cs="Arial"/>
          <w:sz w:val="24"/>
          <w:szCs w:val="24"/>
        </w:rPr>
        <w:t>A</w:t>
      </w:r>
      <w:r w:rsidR="00451091">
        <w:rPr>
          <w:rFonts w:ascii="Verdana" w:hAnsi="Verdana" w:cs="Arial"/>
          <w:sz w:val="24"/>
          <w:szCs w:val="24"/>
        </w:rPr>
        <w:t xml:space="preserve">ctions completed to address the </w:t>
      </w:r>
      <w:r>
        <w:rPr>
          <w:rFonts w:ascii="Verdana" w:hAnsi="Verdana" w:cs="Arial"/>
          <w:sz w:val="24"/>
          <w:szCs w:val="24"/>
        </w:rPr>
        <w:t xml:space="preserve">other </w:t>
      </w:r>
      <w:r w:rsidR="00451091">
        <w:rPr>
          <w:rFonts w:ascii="Verdana" w:hAnsi="Verdana" w:cs="Arial"/>
          <w:sz w:val="24"/>
          <w:szCs w:val="24"/>
        </w:rPr>
        <w:t>findings of the audit include:</w:t>
      </w:r>
    </w:p>
    <w:p w:rsidR="00451091" w:rsidP="00451091" w:rsidRDefault="00451091" w14:paraId="0FDC186E" w14:textId="77777777">
      <w:pPr>
        <w:pStyle w:val="ListParagraph"/>
        <w:numPr>
          <w:ilvl w:val="0"/>
          <w:numId w:val="6"/>
        </w:numPr>
        <w:spacing w:after="0" w:line="240" w:lineRule="auto"/>
        <w:rPr>
          <w:rFonts w:ascii="Verdana" w:hAnsi="Verdana" w:cs="Arial"/>
          <w:sz w:val="24"/>
          <w:szCs w:val="24"/>
        </w:rPr>
      </w:pPr>
      <w:r>
        <w:rPr>
          <w:rFonts w:ascii="Verdana" w:hAnsi="Verdana" w:cs="Arial"/>
          <w:sz w:val="24"/>
          <w:szCs w:val="24"/>
        </w:rPr>
        <w:t>Updating of the Codi system to ensure the EMD department is the final approver for relevant users. There had been a small number for whom this was the service leads, with no review by the EMD department to ensure the request was in-line with the policy. This has now been addressed;</w:t>
      </w:r>
    </w:p>
    <w:p w:rsidR="00451091" w:rsidP="00451091" w:rsidRDefault="00451091" w14:paraId="09A1FD65" w14:textId="77777777">
      <w:pPr>
        <w:pStyle w:val="ListParagraph"/>
        <w:numPr>
          <w:ilvl w:val="0"/>
          <w:numId w:val="6"/>
        </w:numPr>
        <w:spacing w:after="0" w:line="240" w:lineRule="auto"/>
        <w:rPr>
          <w:rFonts w:ascii="Verdana" w:hAnsi="Verdana" w:cs="Arial"/>
          <w:sz w:val="24"/>
          <w:szCs w:val="24"/>
        </w:rPr>
      </w:pPr>
      <w:r>
        <w:rPr>
          <w:rFonts w:ascii="Verdana" w:hAnsi="Verdana" w:cs="Arial"/>
          <w:sz w:val="24"/>
          <w:szCs w:val="24"/>
        </w:rPr>
        <w:t>Development of a standard operating procedure (SOP) for the appeals process. When applications are declined, the individual has the right of appeal, and this is reviewed by a service group medical director. The SOP sets out the process to ensure a consistent approach. This was agreed by the Medical Workforce Group, and a regular review of appeal themes will be reported to identify any trends or areas to follow-up;</w:t>
      </w:r>
    </w:p>
    <w:p w:rsidR="00451091" w:rsidP="00451091" w:rsidRDefault="00451091" w14:paraId="2682BF78" w14:textId="02FE874F">
      <w:pPr>
        <w:pStyle w:val="ListParagraph"/>
        <w:numPr>
          <w:ilvl w:val="0"/>
          <w:numId w:val="6"/>
        </w:numPr>
        <w:spacing w:after="0" w:line="240" w:lineRule="auto"/>
        <w:rPr>
          <w:rFonts w:ascii="Verdana" w:hAnsi="Verdana" w:cs="Arial"/>
          <w:sz w:val="24"/>
          <w:szCs w:val="24"/>
        </w:rPr>
      </w:pPr>
      <w:r>
        <w:rPr>
          <w:rFonts w:ascii="Verdana" w:hAnsi="Verdana" w:cs="Arial"/>
          <w:sz w:val="24"/>
          <w:szCs w:val="24"/>
        </w:rPr>
        <w:t>Discussion with the national expenses team to determine if the expenses system can provide access to historic study leave claims for checks to be undertaken on the receipts to ensure they match with the request approved on Codi. This is not possible</w:t>
      </w:r>
      <w:r w:rsidR="00E21DB0">
        <w:rPr>
          <w:rFonts w:ascii="Verdana" w:hAnsi="Verdana" w:cs="Arial"/>
          <w:sz w:val="24"/>
          <w:szCs w:val="24"/>
        </w:rPr>
        <w:t>,</w:t>
      </w:r>
      <w:r>
        <w:rPr>
          <w:rFonts w:ascii="Verdana" w:hAnsi="Verdana" w:cs="Arial"/>
          <w:sz w:val="24"/>
          <w:szCs w:val="24"/>
        </w:rPr>
        <w:t xml:space="preserve"> so spot checks are now undertaken by the EMD department on a bi-annual basis</w:t>
      </w:r>
      <w:r w:rsidR="00E21DB0">
        <w:rPr>
          <w:rFonts w:ascii="Verdana" w:hAnsi="Verdana" w:cs="Arial"/>
          <w:sz w:val="24"/>
          <w:szCs w:val="24"/>
        </w:rPr>
        <w:t>,</w:t>
      </w:r>
      <w:r>
        <w:rPr>
          <w:rFonts w:ascii="Verdana" w:hAnsi="Verdana" w:cs="Arial"/>
          <w:sz w:val="24"/>
          <w:szCs w:val="24"/>
        </w:rPr>
        <w:t xml:space="preserve"> asking a sample of doctors to produce the receipts for specific claims</w:t>
      </w:r>
      <w:r w:rsidR="0070423C">
        <w:rPr>
          <w:rFonts w:ascii="Verdana" w:hAnsi="Verdana" w:cs="Arial"/>
          <w:sz w:val="24"/>
          <w:szCs w:val="24"/>
        </w:rPr>
        <w:t>;</w:t>
      </w:r>
    </w:p>
    <w:p w:rsidR="00451091" w:rsidP="00451091" w:rsidRDefault="00451091" w14:paraId="00F825C8" w14:textId="77777777">
      <w:pPr>
        <w:pStyle w:val="ListParagraph"/>
        <w:numPr>
          <w:ilvl w:val="0"/>
          <w:numId w:val="6"/>
        </w:numPr>
        <w:spacing w:after="0" w:line="240" w:lineRule="auto"/>
        <w:rPr>
          <w:rFonts w:ascii="Verdana" w:hAnsi="Verdana" w:cs="Arial"/>
          <w:sz w:val="24"/>
          <w:szCs w:val="24"/>
        </w:rPr>
      </w:pPr>
      <w:r>
        <w:rPr>
          <w:rFonts w:ascii="Verdana" w:hAnsi="Verdana" w:cs="Arial"/>
          <w:sz w:val="24"/>
          <w:szCs w:val="24"/>
        </w:rPr>
        <w:t>Reminders sent to doctors to select the study leave cost code when making expenses claims, otherwise the costs are reimbursed by the service. For these instances, an SOP has been agreed with finance to support a ‘miscoding’ process so they can identify and recharge any costs paid by the service which should have been from the study leave budget. A default cannot be set on the doctors’ expenses accounts as there is a risk general expenses will be coded to the EMD department.</w:t>
      </w:r>
    </w:p>
    <w:p w:rsidR="00451091" w:rsidP="00451091" w:rsidRDefault="00451091" w14:paraId="4ACE0C33" w14:textId="77777777">
      <w:pPr>
        <w:spacing w:after="0" w:line="240" w:lineRule="auto"/>
        <w:rPr>
          <w:rFonts w:ascii="Verdana" w:hAnsi="Verdana" w:cs="Arial"/>
          <w:sz w:val="24"/>
          <w:szCs w:val="24"/>
        </w:rPr>
      </w:pPr>
    </w:p>
    <w:p w:rsidR="00451091" w:rsidP="00451091" w:rsidRDefault="00451091" w14:paraId="5DB6D040" w14:textId="77777777">
      <w:pPr>
        <w:spacing w:after="0" w:line="240" w:lineRule="auto"/>
        <w:rPr>
          <w:rFonts w:ascii="Verdana" w:hAnsi="Verdana" w:cs="Arial"/>
          <w:sz w:val="24"/>
          <w:szCs w:val="24"/>
        </w:rPr>
      </w:pPr>
      <w:r w:rsidRPr="00585BE4">
        <w:rPr>
          <w:rFonts w:ascii="Verdana" w:hAnsi="Verdana" w:cs="Arial"/>
          <w:sz w:val="24"/>
          <w:szCs w:val="24"/>
        </w:rPr>
        <w:t xml:space="preserve">The only areas of the </w:t>
      </w:r>
      <w:r>
        <w:rPr>
          <w:rFonts w:ascii="Verdana" w:hAnsi="Verdana" w:cs="Arial"/>
          <w:sz w:val="24"/>
          <w:szCs w:val="24"/>
        </w:rPr>
        <w:t>management response</w:t>
      </w:r>
      <w:r w:rsidRPr="00585BE4">
        <w:rPr>
          <w:rFonts w:ascii="Verdana" w:hAnsi="Verdana" w:cs="Arial"/>
          <w:sz w:val="24"/>
          <w:szCs w:val="24"/>
        </w:rPr>
        <w:t xml:space="preserve"> yet to be addressed relate to changes to the policy. </w:t>
      </w:r>
    </w:p>
    <w:p w:rsidR="00451091" w:rsidP="00451091" w:rsidRDefault="00451091" w14:paraId="496016BE" w14:textId="77777777">
      <w:pPr>
        <w:spacing w:after="0" w:line="240" w:lineRule="auto"/>
        <w:rPr>
          <w:rFonts w:ascii="Verdana" w:hAnsi="Verdana" w:cs="Arial"/>
          <w:sz w:val="24"/>
          <w:szCs w:val="24"/>
        </w:rPr>
      </w:pPr>
    </w:p>
    <w:p w:rsidR="00451091" w:rsidP="00451091" w:rsidRDefault="00451091" w14:paraId="06555BA8" w14:textId="5EE81AEC">
      <w:pPr>
        <w:spacing w:after="0" w:line="240" w:lineRule="auto"/>
        <w:rPr>
          <w:rFonts w:ascii="Verdana" w:hAnsi="Verdana" w:cs="Arial"/>
          <w:sz w:val="24"/>
          <w:szCs w:val="24"/>
        </w:rPr>
      </w:pPr>
      <w:r>
        <w:rPr>
          <w:rFonts w:ascii="Verdana" w:hAnsi="Verdana" w:cs="Arial"/>
          <w:sz w:val="24"/>
          <w:szCs w:val="24"/>
        </w:rPr>
        <w:t>One of the</w:t>
      </w:r>
      <w:r w:rsidRPr="00585BE4">
        <w:rPr>
          <w:rFonts w:ascii="Verdana" w:hAnsi="Verdana" w:cs="Arial"/>
          <w:sz w:val="24"/>
          <w:szCs w:val="24"/>
        </w:rPr>
        <w:t xml:space="preserve"> main points to address </w:t>
      </w:r>
      <w:r w:rsidR="00E95239">
        <w:rPr>
          <w:rFonts w:ascii="Verdana" w:hAnsi="Verdana" w:cs="Arial"/>
          <w:sz w:val="24"/>
          <w:szCs w:val="24"/>
        </w:rPr>
        <w:t>is</w:t>
      </w:r>
      <w:r w:rsidRPr="00585BE4">
        <w:rPr>
          <w:rFonts w:ascii="Verdana" w:hAnsi="Verdana" w:cs="Arial"/>
          <w:sz w:val="24"/>
          <w:szCs w:val="24"/>
        </w:rPr>
        <w:t xml:space="preserve"> clarity as to who should be approving the requests from a </w:t>
      </w:r>
      <w:r>
        <w:rPr>
          <w:rFonts w:ascii="Verdana" w:hAnsi="Verdana" w:cs="Arial"/>
          <w:sz w:val="24"/>
          <w:szCs w:val="24"/>
        </w:rPr>
        <w:t>clinical</w:t>
      </w:r>
      <w:r w:rsidRPr="00585BE4">
        <w:rPr>
          <w:rFonts w:ascii="Verdana" w:hAnsi="Verdana" w:cs="Arial"/>
          <w:sz w:val="24"/>
          <w:szCs w:val="24"/>
        </w:rPr>
        <w:t xml:space="preserve"> point of view</w:t>
      </w:r>
      <w:r>
        <w:rPr>
          <w:rFonts w:ascii="Verdana" w:hAnsi="Verdana" w:cs="Arial"/>
          <w:sz w:val="24"/>
          <w:szCs w:val="24"/>
        </w:rPr>
        <w:t xml:space="preserve">. This is the clinical lead/clinical director. This will be reflected in the policy and a list of individuals maintained by the EMD department. </w:t>
      </w:r>
    </w:p>
    <w:p w:rsidR="00451091" w:rsidP="00451091" w:rsidRDefault="00451091" w14:paraId="13A9ED56" w14:textId="77777777">
      <w:pPr>
        <w:spacing w:after="0" w:line="240" w:lineRule="auto"/>
        <w:rPr>
          <w:rFonts w:ascii="Verdana" w:hAnsi="Verdana" w:cs="Arial"/>
          <w:sz w:val="24"/>
          <w:szCs w:val="24"/>
        </w:rPr>
      </w:pPr>
    </w:p>
    <w:p w:rsidRPr="00585BE4" w:rsidR="00451091" w:rsidP="00451091" w:rsidRDefault="00451091" w14:paraId="7902C3A5" w14:textId="7253BF96">
      <w:pPr>
        <w:spacing w:after="0" w:line="240" w:lineRule="auto"/>
        <w:rPr>
          <w:rFonts w:ascii="Verdana" w:hAnsi="Verdana" w:cs="Arial"/>
          <w:sz w:val="24"/>
          <w:szCs w:val="24"/>
        </w:rPr>
      </w:pPr>
      <w:r>
        <w:rPr>
          <w:rFonts w:ascii="Verdana" w:hAnsi="Verdana" w:cs="Arial"/>
          <w:sz w:val="24"/>
          <w:szCs w:val="24"/>
        </w:rPr>
        <w:t>The other area to update on the policy is</w:t>
      </w:r>
      <w:r w:rsidRPr="00585BE4">
        <w:rPr>
          <w:rFonts w:ascii="Verdana" w:hAnsi="Verdana" w:cs="Arial"/>
          <w:sz w:val="24"/>
          <w:szCs w:val="24"/>
        </w:rPr>
        <w:t xml:space="preserve"> responsibility for </w:t>
      </w:r>
      <w:r w:rsidR="005D1AE3">
        <w:rPr>
          <w:rFonts w:ascii="Verdana" w:hAnsi="Verdana" w:cs="Arial"/>
          <w:sz w:val="24"/>
          <w:szCs w:val="24"/>
        </w:rPr>
        <w:t>ensuring</w:t>
      </w:r>
      <w:r w:rsidRPr="00585BE4">
        <w:rPr>
          <w:rFonts w:ascii="Verdana" w:hAnsi="Verdana" w:cs="Arial"/>
          <w:sz w:val="24"/>
          <w:szCs w:val="24"/>
        </w:rPr>
        <w:t xml:space="preserve"> any study leave entered onto Allocate, an activity manager system, matches with that of Codi</w:t>
      </w:r>
      <w:r>
        <w:rPr>
          <w:rFonts w:ascii="Verdana" w:hAnsi="Verdana" w:cs="Arial"/>
          <w:sz w:val="24"/>
          <w:szCs w:val="24"/>
        </w:rPr>
        <w:t xml:space="preserve">. The day-to-day process sits with the services, who have been asked to identify a responsible person to the EMD department. Spot checks will be undertaken </w:t>
      </w:r>
      <w:r w:rsidR="005D1AE3">
        <w:rPr>
          <w:rFonts w:ascii="Verdana" w:hAnsi="Verdana" w:cs="Arial"/>
          <w:sz w:val="24"/>
          <w:szCs w:val="24"/>
        </w:rPr>
        <w:t xml:space="preserve">by the EMD department, </w:t>
      </w:r>
      <w:r w:rsidRPr="00585BE4">
        <w:rPr>
          <w:rFonts w:ascii="Verdana" w:hAnsi="Verdana" w:cs="Arial"/>
          <w:sz w:val="24"/>
          <w:szCs w:val="24"/>
        </w:rPr>
        <w:t xml:space="preserve">and any anomalies reported to the service </w:t>
      </w:r>
      <w:r>
        <w:rPr>
          <w:rFonts w:ascii="Verdana" w:hAnsi="Verdana" w:cs="Arial"/>
          <w:sz w:val="24"/>
          <w:szCs w:val="24"/>
        </w:rPr>
        <w:t>representative</w:t>
      </w:r>
      <w:r w:rsidRPr="00585BE4">
        <w:rPr>
          <w:rFonts w:ascii="Verdana" w:hAnsi="Verdana" w:cs="Arial"/>
          <w:sz w:val="24"/>
          <w:szCs w:val="24"/>
        </w:rPr>
        <w:t xml:space="preserve"> for the relevant system to be corrected.  </w:t>
      </w:r>
    </w:p>
    <w:p w:rsidR="00451091" w:rsidP="00451091" w:rsidRDefault="00451091" w14:paraId="7A18951D" w14:textId="77777777">
      <w:pPr>
        <w:spacing w:after="0" w:line="240" w:lineRule="auto"/>
        <w:rPr>
          <w:rFonts w:ascii="Verdana" w:hAnsi="Verdana" w:cs="Arial"/>
          <w:sz w:val="24"/>
          <w:szCs w:val="24"/>
        </w:rPr>
      </w:pPr>
    </w:p>
    <w:p w:rsidR="00451091" w:rsidP="00451091" w:rsidRDefault="00451091" w14:paraId="1C1D6343" w14:textId="55832329">
      <w:pPr>
        <w:spacing w:after="0" w:line="240" w:lineRule="auto"/>
        <w:rPr>
          <w:rFonts w:ascii="Verdana" w:hAnsi="Verdana" w:cs="Arial"/>
          <w:sz w:val="24"/>
          <w:szCs w:val="24"/>
        </w:rPr>
      </w:pPr>
      <w:r w:rsidRPr="00EF47E4">
        <w:rPr>
          <w:rFonts w:ascii="Verdana" w:hAnsi="Verdana" w:cs="Arial"/>
          <w:sz w:val="24"/>
          <w:szCs w:val="24"/>
        </w:rPr>
        <w:lastRenderedPageBreak/>
        <w:t xml:space="preserve">Work has commenced </w:t>
      </w:r>
      <w:r>
        <w:rPr>
          <w:rFonts w:ascii="Verdana" w:hAnsi="Verdana" w:cs="Arial"/>
          <w:sz w:val="24"/>
          <w:szCs w:val="24"/>
        </w:rPr>
        <w:t xml:space="preserve">updating the policy, not just to address the key findings of the audit, but also </w:t>
      </w:r>
      <w:r w:rsidRPr="00EF47E4">
        <w:rPr>
          <w:rFonts w:ascii="Verdana" w:hAnsi="Verdana" w:cs="Arial"/>
          <w:sz w:val="24"/>
          <w:szCs w:val="24"/>
        </w:rPr>
        <w:t xml:space="preserve">to refresh </w:t>
      </w:r>
      <w:r w:rsidR="00172F32">
        <w:rPr>
          <w:rFonts w:ascii="Verdana" w:hAnsi="Verdana" w:cs="Arial"/>
          <w:sz w:val="24"/>
          <w:szCs w:val="24"/>
        </w:rPr>
        <w:t xml:space="preserve">it </w:t>
      </w:r>
      <w:r w:rsidRPr="00EF47E4">
        <w:rPr>
          <w:rFonts w:ascii="Verdana" w:hAnsi="Verdana" w:cs="Arial"/>
          <w:sz w:val="24"/>
          <w:szCs w:val="24"/>
        </w:rPr>
        <w:t>in its entirety, as it was due for review in October 2026.</w:t>
      </w:r>
      <w:r>
        <w:rPr>
          <w:rFonts w:ascii="Verdana" w:hAnsi="Verdana" w:cs="Arial"/>
          <w:sz w:val="24"/>
          <w:szCs w:val="24"/>
        </w:rPr>
        <w:t xml:space="preserve"> This will be taken through the health board’s governance processes later in the year and reported through to the Medical Workforce Group.</w:t>
      </w:r>
    </w:p>
    <w:p w:rsidRPr="00EF47E4" w:rsidR="00451091" w:rsidP="00451091" w:rsidRDefault="00451091" w14:paraId="2E75C035" w14:textId="77777777">
      <w:pPr>
        <w:spacing w:after="0" w:line="240" w:lineRule="auto"/>
        <w:rPr>
          <w:rFonts w:ascii="Verdana" w:hAnsi="Verdana" w:cs="Arial"/>
          <w:b/>
          <w:sz w:val="24"/>
          <w:szCs w:val="24"/>
        </w:rPr>
      </w:pPr>
    </w:p>
    <w:p w:rsidRPr="00F8567E" w:rsidR="00451091" w:rsidP="00451091" w:rsidRDefault="00451091" w14:paraId="765B73F0"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rsidR="00451091" w:rsidP="00451091" w:rsidRDefault="00451091" w14:paraId="2D7BB15B" w14:textId="62DEAB2F">
      <w:pPr>
        <w:spacing w:after="0" w:line="240" w:lineRule="auto"/>
        <w:rPr>
          <w:rFonts w:ascii="Verdana" w:hAnsi="Verdana" w:cs="Arial"/>
          <w:sz w:val="24"/>
          <w:szCs w:val="24"/>
        </w:rPr>
      </w:pPr>
      <w:r w:rsidRPr="00AF5EBC">
        <w:rPr>
          <w:rFonts w:ascii="Verdana" w:hAnsi="Verdana" w:cs="Arial"/>
          <w:sz w:val="24"/>
          <w:szCs w:val="24"/>
        </w:rPr>
        <w:t>While there are no financial implications associated with this report, the health board does have a specific budget for medical study and professional leave</w:t>
      </w:r>
      <w:r w:rsidR="00172F32">
        <w:rPr>
          <w:rFonts w:ascii="Verdana" w:hAnsi="Verdana" w:cs="Arial"/>
          <w:sz w:val="24"/>
          <w:szCs w:val="24"/>
        </w:rPr>
        <w:t>. This managed b</w:t>
      </w:r>
      <w:r w:rsidRPr="00AF5EBC">
        <w:rPr>
          <w:rFonts w:ascii="Verdana" w:hAnsi="Verdana" w:cs="Arial"/>
          <w:sz w:val="24"/>
          <w:szCs w:val="24"/>
        </w:rPr>
        <w:t>y the EMD departmen</w:t>
      </w:r>
      <w:r>
        <w:rPr>
          <w:rFonts w:ascii="Verdana" w:hAnsi="Verdana" w:cs="Arial"/>
          <w:sz w:val="24"/>
          <w:szCs w:val="24"/>
        </w:rPr>
        <w:t xml:space="preserve">t to ensure it is not exceeded. </w:t>
      </w:r>
    </w:p>
    <w:p w:rsidRPr="00AF5EBC" w:rsidR="00451091" w:rsidP="00451091" w:rsidRDefault="00451091" w14:paraId="7D4FAA93" w14:textId="77777777">
      <w:pPr>
        <w:spacing w:after="0" w:line="240" w:lineRule="auto"/>
        <w:ind w:left="360"/>
        <w:rPr>
          <w:rFonts w:ascii="Verdana" w:hAnsi="Verdana" w:cs="Arial"/>
          <w:b/>
          <w:sz w:val="24"/>
          <w:szCs w:val="24"/>
        </w:rPr>
      </w:pPr>
    </w:p>
    <w:p w:rsidRPr="00F8567E" w:rsidR="00451091" w:rsidP="00451091" w:rsidRDefault="00451091" w14:paraId="744FC448" w14:textId="77777777">
      <w:pPr>
        <w:pStyle w:val="ListParagraph"/>
        <w:widowControl w:val="0"/>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rsidRPr="005F30E2" w:rsidR="00451091" w:rsidP="00451091" w:rsidRDefault="00451091" w14:paraId="3329FA2A" w14:textId="77777777">
      <w:pPr>
        <w:widowControl w:val="0"/>
        <w:spacing w:after="0" w:line="240" w:lineRule="auto"/>
        <w:ind w:right="96"/>
        <w:rPr>
          <w:rFonts w:ascii="Verdana" w:hAnsi="Verdana" w:cs="Arial"/>
          <w:sz w:val="24"/>
          <w:szCs w:val="24"/>
        </w:rPr>
      </w:pPr>
      <w:r w:rsidRPr="005F30E2">
        <w:rPr>
          <w:rFonts w:ascii="Verdana" w:hAnsi="Verdana" w:cs="Arial"/>
          <w:sz w:val="24"/>
          <w:szCs w:val="24"/>
        </w:rPr>
        <w:t>Members are asked to:</w:t>
      </w:r>
    </w:p>
    <w:p w:rsidRPr="005F30E2" w:rsidR="00451091" w:rsidP="00451091" w:rsidRDefault="00451091" w14:paraId="6C6EE869" w14:textId="77777777">
      <w:pPr>
        <w:pStyle w:val="ListParagraph"/>
        <w:numPr>
          <w:ilvl w:val="0"/>
          <w:numId w:val="12"/>
        </w:numPr>
        <w:spacing w:after="0" w:line="240" w:lineRule="auto"/>
        <w:ind w:right="96"/>
        <w:rPr>
          <w:rFonts w:ascii="Verdana" w:hAnsi="Verdana" w:cs="Arial"/>
          <w:sz w:val="24"/>
          <w:szCs w:val="24"/>
        </w:rPr>
      </w:pPr>
      <w:r w:rsidRPr="005F30E2">
        <w:rPr>
          <w:rFonts w:ascii="Verdana" w:hAnsi="Verdana" w:cs="Arial"/>
          <w:b/>
          <w:bCs/>
          <w:sz w:val="24"/>
          <w:szCs w:val="24"/>
        </w:rPr>
        <w:t xml:space="preserve">BE ASSURED </w:t>
      </w:r>
      <w:r w:rsidRPr="001310D6">
        <w:rPr>
          <w:rFonts w:ascii="Verdana" w:hAnsi="Verdana" w:cs="Arial"/>
          <w:sz w:val="24"/>
          <w:szCs w:val="24"/>
        </w:rPr>
        <w:t>by the</w:t>
      </w:r>
      <w:r>
        <w:rPr>
          <w:rFonts w:ascii="Verdana" w:hAnsi="Verdana" w:cs="Arial"/>
          <w:b/>
          <w:bCs/>
          <w:sz w:val="24"/>
          <w:szCs w:val="24"/>
        </w:rPr>
        <w:t xml:space="preserve"> </w:t>
      </w:r>
      <w:r w:rsidRPr="005F30E2">
        <w:rPr>
          <w:rFonts w:ascii="Verdana" w:hAnsi="Verdana" w:cs="Arial"/>
          <w:i/>
          <w:iCs/>
          <w:sz w:val="24"/>
          <w:szCs w:val="24"/>
        </w:rPr>
        <w:t xml:space="preserve">reasonable assurance </w:t>
      </w:r>
      <w:r w:rsidRPr="005F30E2">
        <w:rPr>
          <w:rFonts w:ascii="Verdana" w:hAnsi="Verdana" w:cs="Arial"/>
          <w:sz w:val="24"/>
          <w:szCs w:val="24"/>
        </w:rPr>
        <w:t xml:space="preserve">rating </w:t>
      </w:r>
      <w:r>
        <w:rPr>
          <w:rFonts w:ascii="Verdana" w:hAnsi="Verdana" w:cs="Arial"/>
          <w:sz w:val="24"/>
          <w:szCs w:val="24"/>
        </w:rPr>
        <w:t xml:space="preserve">for </w:t>
      </w:r>
      <w:r w:rsidRPr="005F30E2">
        <w:rPr>
          <w:rFonts w:ascii="Verdana" w:hAnsi="Verdana" w:cs="Arial"/>
          <w:sz w:val="24"/>
          <w:szCs w:val="24"/>
        </w:rPr>
        <w:t xml:space="preserve">the internal audit review of the </w:t>
      </w:r>
      <w:r>
        <w:rPr>
          <w:rFonts w:ascii="Verdana" w:hAnsi="Verdana" w:cs="Arial"/>
          <w:sz w:val="24"/>
          <w:szCs w:val="24"/>
        </w:rPr>
        <w:t>medical study leave</w:t>
      </w:r>
      <w:r w:rsidRPr="005F30E2">
        <w:rPr>
          <w:rFonts w:ascii="Verdana" w:hAnsi="Verdana" w:cs="Arial"/>
          <w:sz w:val="24"/>
          <w:szCs w:val="24"/>
        </w:rPr>
        <w:t>;</w:t>
      </w:r>
    </w:p>
    <w:p w:rsidRPr="005F30E2" w:rsidR="00451091" w:rsidP="00451091" w:rsidRDefault="00451091" w14:paraId="75D6E519" w14:textId="77777777">
      <w:pPr>
        <w:pStyle w:val="ListParagraph"/>
        <w:numPr>
          <w:ilvl w:val="0"/>
          <w:numId w:val="12"/>
        </w:numPr>
        <w:spacing w:after="0" w:line="240" w:lineRule="auto"/>
        <w:ind w:right="96"/>
        <w:rPr>
          <w:rFonts w:ascii="Verdana" w:hAnsi="Verdana" w:cs="Arial"/>
          <w:sz w:val="24"/>
          <w:szCs w:val="24"/>
        </w:rPr>
      </w:pPr>
      <w:r w:rsidRPr="005F30E2">
        <w:rPr>
          <w:rFonts w:ascii="Verdana" w:hAnsi="Verdana" w:cs="Arial"/>
          <w:b/>
          <w:bCs/>
          <w:sz w:val="24"/>
          <w:szCs w:val="24"/>
        </w:rPr>
        <w:t xml:space="preserve">BE ASSURED </w:t>
      </w:r>
      <w:r w:rsidRPr="005F30E2">
        <w:rPr>
          <w:rFonts w:ascii="Verdana" w:hAnsi="Verdana" w:cs="Arial"/>
          <w:sz w:val="24"/>
          <w:szCs w:val="24"/>
        </w:rPr>
        <w:t xml:space="preserve">a management response to address the key findings </w:t>
      </w:r>
      <w:r>
        <w:rPr>
          <w:rFonts w:ascii="Verdana" w:hAnsi="Verdana" w:cs="Arial"/>
          <w:sz w:val="24"/>
          <w:szCs w:val="24"/>
        </w:rPr>
        <w:t>is in place</w:t>
      </w:r>
      <w:r w:rsidRPr="005F30E2">
        <w:rPr>
          <w:rFonts w:ascii="Verdana" w:hAnsi="Verdana" w:cs="Arial"/>
          <w:sz w:val="24"/>
          <w:szCs w:val="24"/>
        </w:rPr>
        <w:t>;</w:t>
      </w:r>
    </w:p>
    <w:p w:rsidRPr="00DC065D" w:rsidR="00451091" w:rsidP="00451091" w:rsidRDefault="00451091" w14:paraId="501FF215" w14:textId="77777777">
      <w:pPr>
        <w:pStyle w:val="ListParagraph"/>
        <w:numPr>
          <w:ilvl w:val="0"/>
          <w:numId w:val="12"/>
        </w:numPr>
        <w:spacing w:after="0" w:line="240" w:lineRule="auto"/>
        <w:ind w:right="96"/>
        <w:rPr>
          <w:rFonts w:ascii="Verdana" w:hAnsi="Verdana" w:cs="Arial"/>
          <w:b/>
          <w:sz w:val="24"/>
          <w:szCs w:val="24"/>
        </w:rPr>
      </w:pPr>
      <w:r w:rsidRPr="00DC065D">
        <w:rPr>
          <w:rFonts w:ascii="Verdana" w:hAnsi="Verdana" w:cs="Arial"/>
          <w:b/>
          <w:bCs/>
          <w:sz w:val="24"/>
          <w:szCs w:val="24"/>
        </w:rPr>
        <w:t xml:space="preserve">BE ASSURED </w:t>
      </w:r>
      <w:r w:rsidRPr="00DC065D">
        <w:rPr>
          <w:rFonts w:ascii="Verdana" w:hAnsi="Verdana" w:cs="Arial"/>
          <w:sz w:val="24"/>
          <w:szCs w:val="24"/>
        </w:rPr>
        <w:t>progress against the management response is on track, with evidence for five of the seven key findings supplied to support their closure;</w:t>
      </w:r>
    </w:p>
    <w:p w:rsidRPr="00DC065D" w:rsidR="00451091" w:rsidP="00451091" w:rsidRDefault="00451091" w14:paraId="7496EF29" w14:textId="77777777">
      <w:pPr>
        <w:pStyle w:val="ListParagraph"/>
        <w:numPr>
          <w:ilvl w:val="0"/>
          <w:numId w:val="12"/>
        </w:numPr>
        <w:spacing w:after="0" w:line="240" w:lineRule="auto"/>
        <w:ind w:right="96"/>
        <w:rPr>
          <w:rFonts w:ascii="Verdana" w:hAnsi="Verdana" w:cs="Arial"/>
          <w:b/>
          <w:sz w:val="24"/>
          <w:szCs w:val="24"/>
        </w:rPr>
      </w:pPr>
      <w:r w:rsidRPr="00DC065D">
        <w:rPr>
          <w:rFonts w:ascii="Verdana" w:hAnsi="Verdana" w:cs="Arial"/>
          <w:b/>
          <w:bCs/>
          <w:sz w:val="24"/>
          <w:szCs w:val="24"/>
        </w:rPr>
        <w:t>ACKNOWLEDGE</w:t>
      </w:r>
      <w:r w:rsidRPr="00DC065D">
        <w:rPr>
          <w:rFonts w:ascii="Verdana" w:hAnsi="Verdana" w:cs="Arial"/>
          <w:sz w:val="24"/>
          <w:szCs w:val="24"/>
        </w:rPr>
        <w:t xml:space="preserve"> that study leave is standing item on the Medical Workforce Group agenda and therefore future updates to the committee will form part of the summary report from this forum as opposed to a standalone report.</w:t>
      </w:r>
    </w:p>
    <w:p w:rsidRPr="00F8567E" w:rsidR="00C33A04" w:rsidP="00451091" w:rsidRDefault="00C33A04" w14:paraId="6D29042C" w14:textId="5D61E86F">
      <w:pPr>
        <w:spacing w:after="0" w:line="240" w:lineRule="auto"/>
        <w:jc w:val="center"/>
        <w:rPr>
          <w:rFonts w:ascii="Verdana" w:hAnsi="Verdana"/>
          <w:sz w:val="24"/>
          <w:szCs w:val="24"/>
        </w:rPr>
      </w:pPr>
    </w:p>
    <w:p w:rsidRPr="00F8567E" w:rsidR="00C33A04" w:rsidP="00F531BD" w:rsidRDefault="00C33A04" w14:paraId="6D29042D" w14:textId="77777777">
      <w:pPr>
        <w:rPr>
          <w:rFonts w:ascii="Verdana" w:hAnsi="Verdana" w:cs="Arial"/>
          <w:b/>
          <w:sz w:val="24"/>
          <w:szCs w:val="24"/>
        </w:rPr>
      </w:pPr>
    </w:p>
    <w:p w:rsidR="00762BBE" w:rsidP="00F531BD" w:rsidRDefault="00762BBE" w14:paraId="6D29042E" w14:textId="77777777">
      <w:pPr>
        <w:rPr>
          <w:rFonts w:ascii="Verdana" w:hAnsi="Verdana" w:cs="Arial"/>
          <w:b/>
          <w:sz w:val="24"/>
          <w:szCs w:val="24"/>
        </w:rPr>
      </w:pPr>
    </w:p>
    <w:p w:rsidRPr="00F8567E" w:rsidR="00762BBE" w:rsidP="00F531BD" w:rsidRDefault="00762BBE" w14:paraId="6D29042F" w14:textId="77777777">
      <w:pPr>
        <w:rPr>
          <w:rFonts w:ascii="Verdana" w:hAnsi="Verdana" w:cs="Arial"/>
          <w:b/>
          <w:sz w:val="24"/>
          <w:szCs w:val="24"/>
        </w:rPr>
      </w:pPr>
    </w:p>
    <w:p w:rsidR="00FE7070" w:rsidRDefault="00FE7070" w14:paraId="6D290430" w14:textId="28FBE2CF">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00C95B3C" w14:paraId="6D290436" w14:textId="77777777">
        <w:tc>
          <w:tcPr>
            <w:tcW w:w="9245" w:type="dxa"/>
            <w:gridSpan w:val="4"/>
            <w:shd w:val="clear" w:color="auto" w:fill="D5DCE4" w:themeFill="text2" w:themeFillTint="33"/>
          </w:tcPr>
          <w:p w:rsidRPr="001F2857" w:rsidR="00034194" w:rsidRDefault="0020539A" w14:paraId="6D290435" w14:textId="704162EF">
            <w:pPr>
              <w:rPr>
                <w:rFonts w:ascii="Verdana" w:hAnsi="Verdana" w:cs="Arial"/>
                <w:b/>
                <w:sz w:val="24"/>
                <w:szCs w:val="24"/>
              </w:rPr>
            </w:pPr>
            <w:r w:rsidRPr="00F8567E">
              <w:rPr>
                <w:rFonts w:ascii="Verdana" w:hAnsi="Verdana" w:cs="Arial"/>
                <w:b/>
                <w:sz w:val="24"/>
                <w:szCs w:val="24"/>
              </w:rPr>
              <w:lastRenderedPageBreak/>
              <w:t>Governance and Assurance</w:t>
            </w: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F8567E" w:rsidR="00F5324A" w:rsidP="0020539A" w:rsidRDefault="00451091" w14:paraId="6D29043D" w14:textId="65205AD2">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5"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4C"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50"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F8567E" w:rsidR="00F5324A" w:rsidP="00133EA1" w:rsidRDefault="00451091" w14:paraId="6D290454" w14:textId="02A258F1">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8"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F8567E" w:rsidR="00F5324A" w:rsidP="00133EA1" w:rsidRDefault="00451091" w14:paraId="6D29045C" w14:textId="4E9B0A97">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CD7AA5"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2"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6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00F5324A" w:rsidRDefault="00F5324A" w14:paraId="6D290469" w14:textId="77777777">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E"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2"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F8567E" w:rsidR="00F5324A" w:rsidP="00133EA1" w:rsidRDefault="00451091" w14:paraId="6D29047A" w14:textId="5D9A3D7A">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CD7AA5" w14:paraId="6D29047D" w14:textId="77777777">
        <w:tc>
          <w:tcPr>
            <w:tcW w:w="9245" w:type="dxa"/>
            <w:gridSpan w:val="4"/>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00C95B3C" w14:paraId="6D290480" w14:textId="77777777">
        <w:tc>
          <w:tcPr>
            <w:tcW w:w="9245" w:type="dxa"/>
            <w:gridSpan w:val="4"/>
          </w:tcPr>
          <w:p w:rsidRPr="00F8567E" w:rsidR="00F5324A" w:rsidP="00705CCE" w:rsidRDefault="00705CCE" w14:paraId="6D29047F" w14:textId="0E67D677">
            <w:pPr>
              <w:rPr>
                <w:rFonts w:ascii="Verdana" w:hAnsi="Verdana" w:cs="Arial"/>
                <w:b/>
                <w:sz w:val="24"/>
                <w:szCs w:val="24"/>
              </w:rPr>
            </w:pPr>
            <w:r w:rsidRPr="00FE0B9F">
              <w:rPr>
                <w:rFonts w:ascii="Verdana" w:hAnsi="Verdana" w:cs="Arial"/>
                <w:sz w:val="24"/>
                <w:szCs w:val="24"/>
              </w:rPr>
              <w:t>Study and professional leave allows secondary care doctors and dentists to remain up to date and proficient within their clinical practice in line with educational</w:t>
            </w:r>
            <w:r>
              <w:rPr>
                <w:rFonts w:ascii="Verdana" w:hAnsi="Verdana" w:cs="Arial"/>
                <w:sz w:val="24"/>
                <w:szCs w:val="24"/>
              </w:rPr>
              <w:t xml:space="preserve">/Royal College </w:t>
            </w:r>
            <w:r w:rsidRPr="00FE0B9F">
              <w:rPr>
                <w:rFonts w:ascii="Verdana" w:hAnsi="Verdana" w:cs="Arial"/>
                <w:sz w:val="24"/>
                <w:szCs w:val="24"/>
              </w:rPr>
              <w:t>requirements - giving assurance to the health board, staff and public. The leave allows colleagues the opportunity to gain additional knowledge, skills and education within their area of expertise</w:t>
            </w:r>
            <w:r>
              <w:rPr>
                <w:rFonts w:ascii="Verdana" w:hAnsi="Verdana" w:cs="Arial"/>
                <w:sz w:val="24"/>
                <w:szCs w:val="24"/>
              </w:rPr>
              <w:t>,</w:t>
            </w:r>
            <w:r w:rsidRPr="00FE0B9F">
              <w:rPr>
                <w:rFonts w:ascii="Verdana" w:hAnsi="Verdana" w:cs="Arial"/>
                <w:sz w:val="24"/>
                <w:szCs w:val="24"/>
              </w:rPr>
              <w:t xml:space="preserve"> thus promoting learning and educational opportunities.</w:t>
            </w:r>
          </w:p>
        </w:tc>
      </w:tr>
      <w:tr w:rsidRPr="00F8567E" w:rsidR="00F5324A" w:rsidTr="00CD7AA5" w14:paraId="6D290482" w14:textId="77777777">
        <w:tc>
          <w:tcPr>
            <w:tcW w:w="9245" w:type="dxa"/>
            <w:gridSpan w:val="4"/>
            <w:shd w:val="clear" w:color="auto" w:fill="D5DCE4" w:themeFill="text2" w:themeFillTint="33"/>
          </w:tcPr>
          <w:p w:rsidRPr="00F8567E" w:rsidR="00F5324A" w:rsidP="00F5324A" w:rsidRDefault="00F5324A" w14:paraId="6D290481" w14:textId="77777777">
            <w:pPr>
              <w:rPr>
                <w:rFonts w:ascii="Verdana" w:hAnsi="Verdana" w:cs="Arial"/>
                <w:b/>
                <w:sz w:val="24"/>
                <w:szCs w:val="24"/>
              </w:rPr>
            </w:pPr>
            <w:r w:rsidRPr="00F8567E">
              <w:rPr>
                <w:rFonts w:ascii="Verdana" w:hAnsi="Verdana" w:cs="Arial"/>
                <w:b/>
                <w:sz w:val="24"/>
                <w:szCs w:val="24"/>
              </w:rPr>
              <w:t>Financial Implications</w:t>
            </w:r>
          </w:p>
        </w:tc>
      </w:tr>
      <w:tr w:rsidRPr="00F8567E" w:rsidR="00F5324A" w:rsidTr="00C95B3C" w14:paraId="6D290487" w14:textId="77777777">
        <w:tc>
          <w:tcPr>
            <w:tcW w:w="9245" w:type="dxa"/>
            <w:gridSpan w:val="4"/>
          </w:tcPr>
          <w:p w:rsidRPr="00F8567E" w:rsidR="00F5324A" w:rsidP="00F5324A" w:rsidRDefault="00637163" w14:paraId="6D290486" w14:textId="0E3E5FCB">
            <w:pPr>
              <w:ind w:right="96"/>
              <w:rPr>
                <w:rFonts w:ascii="Verdana" w:hAnsi="Verdana" w:cs="Arial"/>
                <w:color w:val="FF0000"/>
                <w:sz w:val="24"/>
                <w:szCs w:val="24"/>
              </w:rPr>
            </w:pPr>
            <w:r w:rsidRPr="00AF5EBC">
              <w:rPr>
                <w:rFonts w:ascii="Verdana" w:hAnsi="Verdana" w:cs="Arial"/>
                <w:sz w:val="24"/>
                <w:szCs w:val="24"/>
              </w:rPr>
              <w:t>While there are no financial implications associated with this report, the health board does have a specific budget for medical study and professional leave overseen by the EMD department</w:t>
            </w:r>
            <w:r>
              <w:rPr>
                <w:rFonts w:ascii="Verdana" w:hAnsi="Verdana" w:cs="Arial"/>
                <w:sz w:val="24"/>
                <w:szCs w:val="24"/>
              </w:rPr>
              <w:t xml:space="preserve"> to ensure it is not exceeded.</w:t>
            </w:r>
          </w:p>
        </w:tc>
      </w:tr>
      <w:tr w:rsidRPr="00F8567E" w:rsidR="00F5324A" w:rsidTr="00CD7AA5" w14:paraId="6D290489" w14:textId="77777777">
        <w:tc>
          <w:tcPr>
            <w:tcW w:w="9245" w:type="dxa"/>
            <w:gridSpan w:val="4"/>
            <w:shd w:val="clear" w:color="auto" w:fill="D5DCE4" w:themeFill="text2" w:themeFillTint="33"/>
          </w:tcPr>
          <w:p w:rsidRPr="00F8567E" w:rsidR="00F5324A" w:rsidP="00F5324A" w:rsidRDefault="00F5324A" w14:paraId="6D290488" w14:textId="77777777">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Pr="00F8567E" w:rsidR="00F5324A" w:rsidTr="00C95B3C" w14:paraId="6D29048C" w14:textId="77777777">
        <w:tc>
          <w:tcPr>
            <w:tcW w:w="9245" w:type="dxa"/>
            <w:gridSpan w:val="4"/>
          </w:tcPr>
          <w:p w:rsidRPr="00F8567E" w:rsidR="00F5324A" w:rsidP="00F5324A" w:rsidRDefault="00E07C18" w14:paraId="6D29048B" w14:textId="08B7CFCC">
            <w:pPr>
              <w:ind w:right="96"/>
              <w:rPr>
                <w:rFonts w:ascii="Verdana" w:hAnsi="Verdana" w:cs="Arial"/>
                <w:color w:val="FF0000"/>
                <w:sz w:val="24"/>
                <w:szCs w:val="24"/>
              </w:rPr>
            </w:pPr>
            <w:r>
              <w:rPr>
                <w:rFonts w:ascii="Verdana" w:hAnsi="Verdana" w:cs="Arial"/>
                <w:sz w:val="24"/>
                <w:szCs w:val="24"/>
              </w:rPr>
              <w:t xml:space="preserve">Study leave is part of the </w:t>
            </w:r>
            <w:r w:rsidRPr="000F53A7">
              <w:rPr>
                <w:rFonts w:ascii="Verdana" w:hAnsi="Verdana" w:cs="Arial"/>
                <w:sz w:val="24"/>
                <w:szCs w:val="24"/>
              </w:rPr>
              <w:t>Consultant Contract in Wales 2003</w:t>
            </w:r>
            <w:r>
              <w:rPr>
                <w:rFonts w:ascii="Verdana" w:hAnsi="Verdana" w:cs="Arial"/>
                <w:sz w:val="24"/>
                <w:szCs w:val="24"/>
              </w:rPr>
              <w:t>.</w:t>
            </w:r>
          </w:p>
        </w:tc>
      </w:tr>
      <w:tr w:rsidRPr="00F8567E" w:rsidR="00F5324A" w:rsidTr="00CD7AA5" w14:paraId="6D29048E" w14:textId="77777777">
        <w:tc>
          <w:tcPr>
            <w:tcW w:w="9245" w:type="dxa"/>
            <w:gridSpan w:val="4"/>
            <w:shd w:val="clear" w:color="auto" w:fill="D5DCE4" w:themeFill="text2" w:themeFillTint="33"/>
          </w:tcPr>
          <w:p w:rsidRPr="00F8567E" w:rsidR="00F5324A" w:rsidP="00F5324A" w:rsidRDefault="00F5324A" w14:paraId="6D29048D" w14:textId="77777777">
            <w:pPr>
              <w:ind w:right="96"/>
              <w:rPr>
                <w:rFonts w:ascii="Verdana" w:hAnsi="Verdana" w:cs="Arial"/>
                <w:b/>
                <w:color w:val="FF0000"/>
                <w:sz w:val="24"/>
                <w:szCs w:val="24"/>
              </w:rPr>
            </w:pPr>
            <w:r w:rsidRPr="00F8567E">
              <w:rPr>
                <w:rFonts w:ascii="Verdana" w:hAnsi="Verdana" w:cs="Arial"/>
                <w:b/>
                <w:sz w:val="24"/>
                <w:szCs w:val="24"/>
              </w:rPr>
              <w:t>Staffing Implications</w:t>
            </w:r>
          </w:p>
        </w:tc>
      </w:tr>
      <w:tr w:rsidRPr="00F8567E" w:rsidR="00F5324A" w:rsidTr="00C95B3C" w14:paraId="6D290491" w14:textId="77777777">
        <w:tc>
          <w:tcPr>
            <w:tcW w:w="9245" w:type="dxa"/>
            <w:gridSpan w:val="4"/>
          </w:tcPr>
          <w:p w:rsidRPr="00F8567E" w:rsidR="00F5324A" w:rsidP="00762BBE" w:rsidRDefault="001217BD" w14:paraId="6D290490" w14:textId="1C2B0227">
            <w:pPr>
              <w:ind w:right="96"/>
              <w:rPr>
                <w:rFonts w:ascii="Verdana" w:hAnsi="Verdana" w:cs="Arial"/>
                <w:color w:val="FF0000"/>
                <w:sz w:val="24"/>
                <w:szCs w:val="24"/>
              </w:rPr>
            </w:pPr>
            <w:r w:rsidRPr="007E2C38">
              <w:rPr>
                <w:rFonts w:ascii="Verdana" w:hAnsi="Verdana" w:cs="Arial"/>
                <w:sz w:val="24"/>
                <w:szCs w:val="24"/>
              </w:rPr>
              <w:t>There are no staffing implications associated with this report</w:t>
            </w:r>
            <w:r>
              <w:rPr>
                <w:rFonts w:ascii="Verdana" w:hAnsi="Verdana" w:cs="Arial"/>
                <w:sz w:val="24"/>
                <w:szCs w:val="24"/>
              </w:rPr>
              <w:t xml:space="preserve"> – any requests for leave by the service should ensure there is appropriate cover. </w:t>
            </w:r>
          </w:p>
        </w:tc>
      </w:tr>
      <w:tr w:rsidRPr="00F8567E" w:rsidR="00F5324A" w:rsidTr="00CD7AA5" w14:paraId="6D290493" w14:textId="77777777">
        <w:tc>
          <w:tcPr>
            <w:tcW w:w="9245" w:type="dxa"/>
            <w:gridSpan w:val="4"/>
            <w:shd w:val="clear" w:color="auto" w:fill="D5DCE4" w:themeFill="text2" w:themeFillTint="33"/>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lastRenderedPageBreak/>
              <w:t>Long Term Implications (including the impact of the Well-being of Future Generations (Wales) Act 2015)</w:t>
            </w:r>
          </w:p>
        </w:tc>
      </w:tr>
      <w:tr w:rsidRPr="00F8567E" w:rsidR="00F5324A" w:rsidTr="00C95B3C" w14:paraId="6D290496" w14:textId="77777777">
        <w:tc>
          <w:tcPr>
            <w:tcW w:w="9245" w:type="dxa"/>
            <w:gridSpan w:val="4"/>
          </w:tcPr>
          <w:p w:rsidRPr="00F8567E" w:rsidR="00F5324A" w:rsidP="00F5324A" w:rsidRDefault="00856F6B" w14:paraId="6D290495" w14:textId="6A8C0325">
            <w:pPr>
              <w:ind w:right="96"/>
              <w:rPr>
                <w:rFonts w:ascii="Verdana" w:hAnsi="Verdana" w:cs="Arial"/>
                <w:color w:val="FF0000"/>
                <w:sz w:val="24"/>
                <w:szCs w:val="24"/>
              </w:rPr>
            </w:pPr>
            <w:r w:rsidRPr="002919C2">
              <w:rPr>
                <w:rFonts w:ascii="Verdana" w:hAnsi="Verdana" w:cs="Arial"/>
                <w:sz w:val="24"/>
                <w:szCs w:val="24"/>
              </w:rPr>
              <w:t xml:space="preserve">Study and professional leave </w:t>
            </w:r>
            <w:r w:rsidRPr="002919C2">
              <w:rPr>
                <w:rFonts w:ascii="Verdana" w:hAnsi="Verdana" w:cs="Arial"/>
                <w:sz w:val="24"/>
              </w:rPr>
              <w:t xml:space="preserve">ensures all secondary care doctors and dentists are given the opportunity to further develop their skills and education to continue to provide high-quality care for the longer-term. </w:t>
            </w:r>
          </w:p>
        </w:tc>
      </w:tr>
      <w:tr w:rsidRPr="00F8567E" w:rsidR="00102D26" w:rsidTr="00C95B3C" w14:paraId="6D29049A" w14:textId="77777777">
        <w:tc>
          <w:tcPr>
            <w:tcW w:w="2470" w:type="dxa"/>
            <w:gridSpan w:val="2"/>
          </w:tcPr>
          <w:p w:rsidRPr="00F8567E" w:rsidR="00102D26" w:rsidP="00102D26" w:rsidRDefault="00102D26"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rsidRPr="00F8567E" w:rsidR="00102D26" w:rsidP="00102D26" w:rsidRDefault="00102D26" w14:paraId="6D290499" w14:textId="4D9ABBB0">
            <w:pPr>
              <w:ind w:right="96"/>
              <w:rPr>
                <w:rFonts w:ascii="Verdana" w:hAnsi="Verdana" w:cs="Arial"/>
                <w:color w:val="FF0000"/>
                <w:sz w:val="24"/>
                <w:szCs w:val="24"/>
              </w:rPr>
            </w:pPr>
            <w:r w:rsidRPr="005B01A1">
              <w:rPr>
                <w:rFonts w:ascii="Verdana" w:hAnsi="Verdana" w:cs="Arial"/>
                <w:sz w:val="24"/>
                <w:szCs w:val="24"/>
              </w:rPr>
              <w:t>First report</w:t>
            </w:r>
          </w:p>
        </w:tc>
      </w:tr>
      <w:tr w:rsidRPr="00F8567E" w:rsidR="00102D26" w:rsidTr="00C95B3C" w14:paraId="6D29049F" w14:textId="77777777">
        <w:tc>
          <w:tcPr>
            <w:tcW w:w="2470" w:type="dxa"/>
            <w:gridSpan w:val="2"/>
          </w:tcPr>
          <w:p w:rsidRPr="00F8567E" w:rsidR="00102D26" w:rsidP="00102D26" w:rsidRDefault="00102D26"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rsidRPr="00F8567E" w:rsidR="00102D26" w:rsidP="00102D26" w:rsidRDefault="00102D26" w14:paraId="6D29049E" w14:textId="441F391C">
            <w:pPr>
              <w:ind w:right="96"/>
              <w:rPr>
                <w:rFonts w:ascii="Verdana" w:hAnsi="Verdana" w:cs="Arial"/>
                <w:color w:val="FF0000"/>
                <w:sz w:val="24"/>
                <w:szCs w:val="24"/>
              </w:rPr>
            </w:pPr>
            <w:r w:rsidRPr="005B01A1">
              <w:rPr>
                <w:rFonts w:ascii="Verdana" w:hAnsi="Verdana" w:cs="Arial"/>
                <w:sz w:val="24"/>
                <w:szCs w:val="24"/>
              </w:rPr>
              <w:t xml:space="preserve">Appendix one – </w:t>
            </w:r>
            <w:r>
              <w:rPr>
                <w:rFonts w:ascii="Verdana" w:hAnsi="Verdana" w:cs="Arial"/>
                <w:sz w:val="24"/>
                <w:szCs w:val="24"/>
              </w:rPr>
              <w:t>Medical Study Leave F</w:t>
            </w:r>
            <w:r w:rsidRPr="005B01A1">
              <w:rPr>
                <w:rFonts w:ascii="Verdana" w:hAnsi="Verdana" w:cs="Arial"/>
                <w:sz w:val="24"/>
                <w:szCs w:val="24"/>
              </w:rPr>
              <w:t xml:space="preserve">inal </w:t>
            </w:r>
            <w:r>
              <w:rPr>
                <w:rFonts w:ascii="Verdana" w:hAnsi="Verdana" w:cs="Arial"/>
                <w:sz w:val="24"/>
                <w:szCs w:val="24"/>
              </w:rPr>
              <w:t>I</w:t>
            </w:r>
            <w:r w:rsidRPr="005B01A1">
              <w:rPr>
                <w:rFonts w:ascii="Verdana" w:hAnsi="Verdana" w:cs="Arial"/>
                <w:sz w:val="24"/>
                <w:szCs w:val="24"/>
              </w:rPr>
              <w:t xml:space="preserve">nternal </w:t>
            </w:r>
            <w:r>
              <w:rPr>
                <w:rFonts w:ascii="Verdana" w:hAnsi="Verdana" w:cs="Arial"/>
                <w:sz w:val="24"/>
                <w:szCs w:val="24"/>
              </w:rPr>
              <w:t>A</w:t>
            </w:r>
            <w:r w:rsidRPr="005B01A1">
              <w:rPr>
                <w:rFonts w:ascii="Verdana" w:hAnsi="Verdana" w:cs="Arial"/>
                <w:sz w:val="24"/>
                <w:szCs w:val="24"/>
              </w:rPr>
              <w:t xml:space="preserve">udit </w:t>
            </w:r>
            <w:r>
              <w:rPr>
                <w:rFonts w:ascii="Verdana" w:hAnsi="Verdana" w:cs="Arial"/>
                <w:sz w:val="24"/>
                <w:szCs w:val="24"/>
              </w:rPr>
              <w:t>R</w:t>
            </w:r>
            <w:r w:rsidRPr="005B01A1">
              <w:rPr>
                <w:rFonts w:ascii="Verdana" w:hAnsi="Verdana" w:cs="Arial"/>
                <w:sz w:val="24"/>
                <w:szCs w:val="24"/>
              </w:rPr>
              <w:t xml:space="preserve">eport and </w:t>
            </w:r>
            <w:r>
              <w:rPr>
                <w:rFonts w:ascii="Verdana" w:hAnsi="Verdana" w:cs="Arial"/>
                <w:sz w:val="24"/>
                <w:szCs w:val="24"/>
              </w:rPr>
              <w:t>M</w:t>
            </w:r>
            <w:r w:rsidRPr="005B01A1">
              <w:rPr>
                <w:rFonts w:ascii="Verdana" w:hAnsi="Verdana" w:cs="Arial"/>
                <w:sz w:val="24"/>
                <w:szCs w:val="24"/>
              </w:rPr>
              <w:t xml:space="preserve">anagement </w:t>
            </w:r>
            <w:r>
              <w:rPr>
                <w:rFonts w:ascii="Verdana" w:hAnsi="Verdana" w:cs="Arial"/>
                <w:sz w:val="24"/>
                <w:szCs w:val="24"/>
              </w:rPr>
              <w:t>R</w:t>
            </w:r>
            <w:r w:rsidRPr="005B01A1">
              <w:rPr>
                <w:rFonts w:ascii="Verdana" w:hAnsi="Verdana" w:cs="Arial"/>
                <w:sz w:val="24"/>
                <w:szCs w:val="24"/>
              </w:rPr>
              <w:t>esponse</w:t>
            </w:r>
          </w:p>
        </w:tc>
      </w:tr>
    </w:tbl>
    <w:p w:rsidRPr="00F8567E" w:rsidR="00034194" w:rsidRDefault="00034194" w14:paraId="6D2904A0" w14:textId="77777777">
      <w:pPr>
        <w:rPr>
          <w:rFonts w:ascii="Verdana" w:hAnsi="Verdana"/>
          <w:sz w:val="24"/>
          <w:szCs w:val="24"/>
        </w:rPr>
      </w:pPr>
    </w:p>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B2671" w:rsidP="00C107F2" w:rsidRDefault="008B2671" w14:paraId="16DFDE36" w14:textId="77777777">
      <w:pPr>
        <w:spacing w:after="0" w:line="240" w:lineRule="auto"/>
      </w:pPr>
      <w:r>
        <w:separator/>
      </w:r>
    </w:p>
  </w:endnote>
  <w:endnote w:type="continuationSeparator" w:id="0">
    <w:p w:rsidR="008B2671" w:rsidP="00C107F2" w:rsidRDefault="008B2671" w14:paraId="6914CFBE"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svg="http://schemas.microsoft.com/office/drawing/2016/SVG/main" mc:Ignorable="w14 w15 w16se w16cid w16 w16cex w16sdtdh w16sdtfl w16du wp14">
  <w:sdt>
    <w:sdtPr>
      <w:rPr>
        <w:rFonts w:ascii="Verdana" w:hAnsi="Verdana"/>
        <w:sz w:val="20"/>
        <w:szCs w:val="20"/>
      </w:rPr>
      <w:id w:val="443046536"/>
      <w:docPartObj>
        <w:docPartGallery w:val="Page Numbers (Bottom of Page)"/>
        <w:docPartUnique/>
      </w:docPartObj>
    </w:sdtPr>
    <w:sdtEndPr>
      <w:rPr>
        <w:rFonts w:ascii="Verdana" w:hAnsi="Verdana"/>
        <w:sz w:val="20"/>
        <w:szCs w:val="20"/>
      </w:rPr>
    </w:sdtEndPr>
    <w:sdtContent>
      <w:p w:rsidR="00736718" w:rsidP="0004232B" w:rsidRDefault="00F52272" w14:paraId="5219B4C8" w14:textId="3A52102B">
        <w:pPr>
          <w:pStyle w:val="Footer"/>
          <w:rPr>
            <w:rFonts w:ascii="Verdana" w:hAnsi="Verdana"/>
            <w:sz w:val="20"/>
            <w:szCs w:val="20"/>
          </w:rPr>
        </w:pPr>
        <w:r>
          <w:rPr>
            <w:noProof/>
          </w:rPr>
          <w:drawing>
            <wp:anchor distT="0" distB="0" distL="114300" distR="114300" simplePos="0" relativeHeight="251658241" behindDoc="0" locked="0" layoutInCell="1" allowOverlap="1" wp14:anchorId="65223FE8" wp14:editId="3840E6C0">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p w:rsidRPr="00366FDD" w:rsidR="0032747D" w:rsidP="00736718" w:rsidRDefault="0032747D" w14:paraId="5EE9C96C" w14:textId="2E5D84E0">
        <w:pPr>
          <w:pStyle w:val="Footer"/>
          <w:jc w:val="right"/>
          <w:rPr>
            <w:rFonts w:ascii="Verdana" w:hAnsi="Verdana"/>
            <w:sz w:val="20"/>
            <w:szCs w:val="20"/>
          </w:rPr>
        </w:pPr>
        <w:r w:rsidRPr="00366FDD">
          <w:rPr>
            <w:rFonts w:ascii="Verdana" w:hAnsi="Verdana"/>
            <w:sz w:val="20"/>
            <w:szCs w:val="20"/>
          </w:rPr>
          <w:fldChar w:fldCharType="begin"/>
        </w:r>
        <w:r w:rsidRPr="00366FDD">
          <w:rPr>
            <w:rFonts w:ascii="Verdana" w:hAnsi="Verdana"/>
            <w:sz w:val="20"/>
            <w:szCs w:val="20"/>
          </w:rPr>
          <w:instrText>PAGE   \* MERGEFORMAT</w:instrText>
        </w:r>
        <w:r w:rsidRPr="00366FDD">
          <w:rPr>
            <w:rFonts w:ascii="Verdana" w:hAnsi="Verdana"/>
            <w:sz w:val="20"/>
            <w:szCs w:val="20"/>
          </w:rPr>
          <w:fldChar w:fldCharType="separate"/>
        </w:r>
        <w:r w:rsidRPr="00366FDD">
          <w:rPr>
            <w:rFonts w:ascii="Verdana" w:hAnsi="Verdana"/>
            <w:sz w:val="20"/>
            <w:szCs w:val="20"/>
          </w:rPr>
          <w:t>2</w:t>
        </w:r>
        <w:r w:rsidRPr="00366FDD">
          <w:rPr>
            <w:rFonts w:ascii="Verdana" w:hAnsi="Verdana"/>
            <w:sz w:val="20"/>
            <w:szCs w:val="20"/>
          </w:rPr>
          <w:fldChar w:fldCharType="end"/>
        </w:r>
        <w:r w:rsidRPr="00366FDD" w:rsidR="005D3DF1">
          <w:rPr>
            <w:rFonts w:ascii="Verdana" w:hAnsi="Verdana"/>
            <w:sz w:val="20"/>
            <w:szCs w:val="20"/>
          </w:rPr>
          <w:t xml:space="preserve"> of </w:t>
        </w:r>
        <w:r w:rsidR="00C44C75">
          <w:rPr>
            <w:rFonts w:ascii="Verdana" w:hAnsi="Verdana"/>
            <w:sz w:val="20"/>
            <w:szCs w:val="20"/>
          </w:rPr>
          <w:t>8</w:t>
        </w:r>
      </w:p>
    </w:sdtContent>
  </w:sdt>
  <w:p w:rsidRPr="00366FDD" w:rsidR="003324CB" w:rsidP="002B7C9A" w:rsidRDefault="00C44C75" w14:paraId="6D2904A9" w14:textId="22E41E54">
    <w:pPr>
      <w:pStyle w:val="Footer"/>
      <w:jc w:val="right"/>
      <w:rPr>
        <w:rFonts w:ascii="Verdana" w:hAnsi="Verdana"/>
        <w:sz w:val="20"/>
        <w:szCs w:val="20"/>
      </w:rPr>
    </w:pPr>
    <w:r w:rsidRPr="0E58ADAB" w:rsidR="0E58ADAB">
      <w:rPr>
        <w:rFonts w:ascii="Verdana" w:hAnsi="Verdana"/>
        <w:sz w:val="20"/>
        <w:szCs w:val="20"/>
      </w:rPr>
      <w:t>Workforce and OD</w:t>
    </w:r>
    <w:r w:rsidRPr="0E58ADAB" w:rsidR="0E58ADAB">
      <w:rPr>
        <w:rFonts w:ascii="Verdana" w:hAnsi="Verdana"/>
        <w:sz w:val="20"/>
        <w:szCs w:val="20"/>
      </w:rPr>
      <w:t xml:space="preserve"> </w:t>
    </w:r>
    <w:r w:rsidRPr="0E58ADAB" w:rsidR="0E58ADAB">
      <w:rPr>
        <w:rFonts w:ascii="Verdana" w:hAnsi="Verdana"/>
        <w:sz w:val="20"/>
        <w:szCs w:val="20"/>
      </w:rPr>
      <w:t xml:space="preserve">Committee – </w:t>
    </w:r>
    <w:r w:rsidRPr="0E58ADAB" w:rsidR="0E58ADAB">
      <w:rPr>
        <w:rFonts w:ascii="Verdana" w:hAnsi="Verdana"/>
        <w:sz w:val="20"/>
        <w:szCs w:val="20"/>
      </w:rPr>
      <w:t>21</w:t>
    </w:r>
    <w:r w:rsidRPr="0E58ADAB" w:rsidR="0E58ADAB">
      <w:rPr>
        <w:rFonts w:ascii="Verdana" w:hAnsi="Verdana"/>
        <w:sz w:val="20"/>
        <w:szCs w:val="20"/>
      </w:rPr>
      <w:t xml:space="preserve"> April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B2671" w:rsidP="00C107F2" w:rsidRDefault="008B2671" w14:paraId="657A55CD" w14:textId="77777777">
      <w:pPr>
        <w:spacing w:after="0" w:line="240" w:lineRule="auto"/>
      </w:pPr>
      <w:r>
        <w:separator/>
      </w:r>
    </w:p>
  </w:footnote>
  <w:footnote w:type="continuationSeparator" w:id="0">
    <w:p w:rsidR="008B2671" w:rsidP="00C107F2" w:rsidRDefault="008B2671" w14:paraId="5B666A39"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1694887D">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5BCF4DFB"/>
    <w:multiLevelType w:val="hybridMultilevel"/>
    <w:tmpl w:val="D016848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C9B0EA7"/>
    <w:multiLevelType w:val="hybridMultilevel"/>
    <w:tmpl w:val="B3B6E5F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4"/>
  </w:num>
  <w:num w:numId="3" w16cid:durableId="358313792">
    <w:abstractNumId w:val="3"/>
  </w:num>
  <w:num w:numId="4" w16cid:durableId="1144618638">
    <w:abstractNumId w:val="2"/>
  </w:num>
  <w:num w:numId="5" w16cid:durableId="211239042">
    <w:abstractNumId w:val="1"/>
  </w:num>
  <w:num w:numId="6" w16cid:durableId="1874800944">
    <w:abstractNumId w:val="9"/>
  </w:num>
  <w:num w:numId="7" w16cid:durableId="263198079">
    <w:abstractNumId w:val="11"/>
  </w:num>
  <w:num w:numId="8" w16cid:durableId="1535070366">
    <w:abstractNumId w:val="6"/>
  </w:num>
  <w:num w:numId="9" w16cid:durableId="1823614381">
    <w:abstractNumId w:val="7"/>
  </w:num>
  <w:num w:numId="10" w16cid:durableId="875429971">
    <w:abstractNumId w:val="8"/>
  </w:num>
  <w:num w:numId="11" w16cid:durableId="1489590603">
    <w:abstractNumId w:val="5"/>
  </w:num>
  <w:num w:numId="12" w16cid:durableId="54914659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32B"/>
    <w:rsid w:val="00054F8C"/>
    <w:rsid w:val="00083FC0"/>
    <w:rsid w:val="000F361B"/>
    <w:rsid w:val="00102D26"/>
    <w:rsid w:val="001217BD"/>
    <w:rsid w:val="00133EA1"/>
    <w:rsid w:val="0016096B"/>
    <w:rsid w:val="00172F32"/>
    <w:rsid w:val="001B6093"/>
    <w:rsid w:val="001F2857"/>
    <w:rsid w:val="0020539A"/>
    <w:rsid w:val="002153D1"/>
    <w:rsid w:val="00233330"/>
    <w:rsid w:val="00241662"/>
    <w:rsid w:val="002518B7"/>
    <w:rsid w:val="002615E4"/>
    <w:rsid w:val="00272BD5"/>
    <w:rsid w:val="002950FF"/>
    <w:rsid w:val="00296CD9"/>
    <w:rsid w:val="002B7C9A"/>
    <w:rsid w:val="002C3DD6"/>
    <w:rsid w:val="002D2A31"/>
    <w:rsid w:val="0030739E"/>
    <w:rsid w:val="0032747D"/>
    <w:rsid w:val="003324CB"/>
    <w:rsid w:val="00345A7B"/>
    <w:rsid w:val="00366FDD"/>
    <w:rsid w:val="003B31B1"/>
    <w:rsid w:val="003C0FF8"/>
    <w:rsid w:val="00414894"/>
    <w:rsid w:val="00421140"/>
    <w:rsid w:val="00427055"/>
    <w:rsid w:val="004464C5"/>
    <w:rsid w:val="00451091"/>
    <w:rsid w:val="00461835"/>
    <w:rsid w:val="004671D2"/>
    <w:rsid w:val="0052297E"/>
    <w:rsid w:val="00574BCF"/>
    <w:rsid w:val="00576395"/>
    <w:rsid w:val="00585277"/>
    <w:rsid w:val="005D1652"/>
    <w:rsid w:val="005D1AE3"/>
    <w:rsid w:val="005D2C4A"/>
    <w:rsid w:val="005D3DF1"/>
    <w:rsid w:val="005D5AFA"/>
    <w:rsid w:val="0060643C"/>
    <w:rsid w:val="006128A3"/>
    <w:rsid w:val="006201D0"/>
    <w:rsid w:val="00637163"/>
    <w:rsid w:val="00653AEC"/>
    <w:rsid w:val="00655190"/>
    <w:rsid w:val="00662218"/>
    <w:rsid w:val="00685AE0"/>
    <w:rsid w:val="006B428E"/>
    <w:rsid w:val="006D1998"/>
    <w:rsid w:val="00703D77"/>
    <w:rsid w:val="0070423C"/>
    <w:rsid w:val="00705CCE"/>
    <w:rsid w:val="00711095"/>
    <w:rsid w:val="0072604C"/>
    <w:rsid w:val="00736718"/>
    <w:rsid w:val="007454D0"/>
    <w:rsid w:val="0075502E"/>
    <w:rsid w:val="00762BBE"/>
    <w:rsid w:val="00767E3E"/>
    <w:rsid w:val="00820546"/>
    <w:rsid w:val="00856F6B"/>
    <w:rsid w:val="008B2671"/>
    <w:rsid w:val="008C15D9"/>
    <w:rsid w:val="008D0747"/>
    <w:rsid w:val="00905058"/>
    <w:rsid w:val="009112DC"/>
    <w:rsid w:val="00963A28"/>
    <w:rsid w:val="009744AA"/>
    <w:rsid w:val="009801B7"/>
    <w:rsid w:val="00983F5E"/>
    <w:rsid w:val="00996159"/>
    <w:rsid w:val="009E7AF7"/>
    <w:rsid w:val="00A83A6F"/>
    <w:rsid w:val="00A83E54"/>
    <w:rsid w:val="00A84941"/>
    <w:rsid w:val="00AB0AEF"/>
    <w:rsid w:val="00AD064D"/>
    <w:rsid w:val="00AD71BC"/>
    <w:rsid w:val="00B0479E"/>
    <w:rsid w:val="00B0564E"/>
    <w:rsid w:val="00B12FB6"/>
    <w:rsid w:val="00B224D7"/>
    <w:rsid w:val="00B35ECC"/>
    <w:rsid w:val="00B517CF"/>
    <w:rsid w:val="00B667D3"/>
    <w:rsid w:val="00B70ED7"/>
    <w:rsid w:val="00B93032"/>
    <w:rsid w:val="00BA2507"/>
    <w:rsid w:val="00BB764F"/>
    <w:rsid w:val="00BC241D"/>
    <w:rsid w:val="00BC5AFC"/>
    <w:rsid w:val="00C107F2"/>
    <w:rsid w:val="00C2143D"/>
    <w:rsid w:val="00C33A04"/>
    <w:rsid w:val="00C44C75"/>
    <w:rsid w:val="00C56152"/>
    <w:rsid w:val="00C61658"/>
    <w:rsid w:val="00C95B3C"/>
    <w:rsid w:val="00CA1009"/>
    <w:rsid w:val="00CA6D65"/>
    <w:rsid w:val="00CB1C7D"/>
    <w:rsid w:val="00CD7AA5"/>
    <w:rsid w:val="00CF25E9"/>
    <w:rsid w:val="00D00931"/>
    <w:rsid w:val="00D41C09"/>
    <w:rsid w:val="00DA0F82"/>
    <w:rsid w:val="00DA51E0"/>
    <w:rsid w:val="00DA76AD"/>
    <w:rsid w:val="00DD41FA"/>
    <w:rsid w:val="00DE6EC3"/>
    <w:rsid w:val="00E06294"/>
    <w:rsid w:val="00E07C18"/>
    <w:rsid w:val="00E11CC7"/>
    <w:rsid w:val="00E14505"/>
    <w:rsid w:val="00E21DB0"/>
    <w:rsid w:val="00E223FB"/>
    <w:rsid w:val="00E242E5"/>
    <w:rsid w:val="00E87B30"/>
    <w:rsid w:val="00E95239"/>
    <w:rsid w:val="00EF31AD"/>
    <w:rsid w:val="00F01249"/>
    <w:rsid w:val="00F06D6F"/>
    <w:rsid w:val="00F11CD2"/>
    <w:rsid w:val="00F1387A"/>
    <w:rsid w:val="00F5082D"/>
    <w:rsid w:val="00F52272"/>
    <w:rsid w:val="00F531BD"/>
    <w:rsid w:val="00F5324A"/>
    <w:rsid w:val="00F55629"/>
    <w:rsid w:val="00F57042"/>
    <w:rsid w:val="00F57C68"/>
    <w:rsid w:val="00F7169E"/>
    <w:rsid w:val="00F7288F"/>
    <w:rsid w:val="00F82EA6"/>
    <w:rsid w:val="00F8567E"/>
    <w:rsid w:val="00F96FE1"/>
    <w:rsid w:val="00FA0CA9"/>
    <w:rsid w:val="00FC0C5F"/>
    <w:rsid w:val="00FC4D74"/>
    <w:rsid w:val="00FE0783"/>
    <w:rsid w:val="00FE7070"/>
    <w:rsid w:val="0B4B3A6D"/>
    <w:rsid w:val="0E58ADAB"/>
    <w:rsid w:val="12413FBE"/>
    <w:rsid w:val="1A356876"/>
    <w:rsid w:val="268253A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0574D57-16E1-437E-8B96-ABAFCD43E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73932C53-5C4E-4A50-9493-D52821F08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Sophie Herbert (Swansea Bay UHB - Corporate Governance )</cp:lastModifiedBy>
  <cp:revision>31</cp:revision>
  <dcterms:created xsi:type="dcterms:W3CDTF">2026-03-24T10:58:00Z</dcterms:created>
  <dcterms:modified xsi:type="dcterms:W3CDTF">2026-04-02T14:01:06Z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