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="00083FC0" w:rsidRPr="004E4615" w14:paraId="6D2903E2" w14:textId="77777777" w:rsidTr="6D726176">
        <w:tc>
          <w:tcPr>
            <w:tcW w:w="2977" w:type="dxa"/>
            <w:shd w:val="clear" w:color="auto" w:fill="163E64"/>
          </w:tcPr>
          <w:p w14:paraId="6D2903DE" w14:textId="77777777" w:rsidR="00F5082D" w:rsidRPr="004E4615" w:rsidRDefault="00F5082D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10-22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</w:tcPr>
              <w:p w14:paraId="6D2903DF" w14:textId="13CE6387" w:rsidR="00F5082D" w:rsidRPr="004E4615" w:rsidRDefault="00DF49E3" w:rsidP="004E4615">
                <w:pPr>
                  <w:jc w:val="both"/>
                  <w:rPr>
                    <w:b/>
                    <w:bCs/>
                  </w:rPr>
                </w:pPr>
                <w:r w:rsidRPr="004E4615">
                  <w:rPr>
                    <w:rStyle w:val="Style1"/>
                    <w:b/>
                    <w:bCs/>
                  </w:rPr>
                  <w:t>22 October 2026</w:t>
                </w:r>
              </w:p>
            </w:tc>
          </w:sdtContent>
        </w:sdt>
        <w:tc>
          <w:tcPr>
            <w:tcW w:w="2368" w:type="dxa"/>
            <w:shd w:val="clear" w:color="auto" w:fill="163E64"/>
          </w:tcPr>
          <w:p w14:paraId="6D2903E0" w14:textId="77777777" w:rsidR="00F5082D" w:rsidRPr="004E4615" w:rsidRDefault="00F5082D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Agenda Item</w:t>
            </w:r>
          </w:p>
        </w:tc>
        <w:tc>
          <w:tcPr>
            <w:tcW w:w="841" w:type="dxa"/>
          </w:tcPr>
          <w:p w14:paraId="6D2903E1" w14:textId="4981CBEF" w:rsidR="00F5082D" w:rsidRPr="004E4615" w:rsidRDefault="00741080" w:rsidP="004E4615">
            <w:pPr>
              <w:jc w:val="both"/>
              <w:rPr>
                <w:b/>
              </w:rPr>
            </w:pPr>
            <w:r>
              <w:rPr>
                <w:b/>
              </w:rPr>
              <w:t>6.3</w:t>
            </w:r>
          </w:p>
        </w:tc>
      </w:tr>
      <w:tr w:rsidR="00B0479E" w:rsidRPr="004E4615" w14:paraId="1EEB45B2" w14:textId="77777777" w:rsidTr="6D726176">
        <w:tc>
          <w:tcPr>
            <w:tcW w:w="2977" w:type="dxa"/>
            <w:shd w:val="clear" w:color="auto" w:fill="163E64"/>
          </w:tcPr>
          <w:p w14:paraId="4A48663E" w14:textId="6879CA0B" w:rsidR="00B0479E" w:rsidRPr="004E4615" w:rsidRDefault="00B0479E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  <w:listItem w:displayText="Remuneration and Terms of Service Committee" w:value="Remuneration and Terms of Service Committee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687483E" w14:textId="4C250445" w:rsidR="00B0479E" w:rsidRPr="004E4615" w:rsidRDefault="00A853AB" w:rsidP="004E4615">
                <w:pPr>
                  <w:jc w:val="both"/>
                  <w:rPr>
                    <w:b/>
                    <w:bCs/>
                  </w:rPr>
                </w:pPr>
                <w:r w:rsidRPr="004E4615">
                  <w:rPr>
                    <w:rStyle w:val="CorporateFont"/>
                    <w:b/>
                    <w:bCs/>
                  </w:rPr>
                  <w:t>Workforce and Organisational Development Committee</w:t>
                </w:r>
              </w:p>
            </w:tc>
          </w:sdtContent>
        </w:sdt>
      </w:tr>
      <w:tr w:rsidR="00083FC0" w:rsidRPr="004E4615" w14:paraId="6D2903E5" w14:textId="77777777" w:rsidTr="6D726176">
        <w:tc>
          <w:tcPr>
            <w:tcW w:w="2977" w:type="dxa"/>
            <w:shd w:val="clear" w:color="auto" w:fill="163E64"/>
          </w:tcPr>
          <w:p w14:paraId="6D2903E3" w14:textId="77777777" w:rsidR="00034194" w:rsidRPr="004E4615" w:rsidRDefault="00034194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</w:tcPr>
          <w:p w14:paraId="6D2903E4" w14:textId="76A5E92A" w:rsidR="00034194" w:rsidRPr="004E4615" w:rsidRDefault="00A853AB" w:rsidP="004E4615">
            <w:pPr>
              <w:jc w:val="both"/>
              <w:rPr>
                <w:b/>
                <w:bCs/>
              </w:rPr>
            </w:pPr>
            <w:r w:rsidRPr="004E4615">
              <w:rPr>
                <w:b/>
                <w:bCs/>
              </w:rPr>
              <w:t>Allied Health Professions &amp; Health Science WODC Key Issues Report</w:t>
            </w:r>
          </w:p>
        </w:tc>
      </w:tr>
      <w:tr w:rsidR="00083FC0" w:rsidRPr="004E4615" w14:paraId="6D2903E8" w14:textId="77777777" w:rsidTr="6D726176">
        <w:tc>
          <w:tcPr>
            <w:tcW w:w="2977" w:type="dxa"/>
            <w:shd w:val="clear" w:color="auto" w:fill="163E64"/>
          </w:tcPr>
          <w:p w14:paraId="6D2903E6" w14:textId="77777777" w:rsidR="00034194" w:rsidRPr="004E4615" w:rsidRDefault="00034194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</w:tcPr>
          <w:p w14:paraId="6D2903E7" w14:textId="1EF7040F" w:rsidR="00034194" w:rsidRPr="004E4615" w:rsidRDefault="00A853AB" w:rsidP="004E4615">
            <w:pPr>
              <w:jc w:val="both"/>
            </w:pPr>
            <w:r w:rsidRPr="004E4615">
              <w:t>Alison Clarke – Deputy Director of Allied Health Professions &amp; Health Science</w:t>
            </w:r>
            <w:r w:rsidRPr="004E4615">
              <w:br/>
            </w:r>
            <w:r w:rsidR="00245C09">
              <w:t>Fiona Hughes- Associate Group Director</w:t>
            </w:r>
          </w:p>
        </w:tc>
      </w:tr>
      <w:tr w:rsidR="00762BBE" w:rsidRPr="004E4615" w14:paraId="6D2903EB" w14:textId="77777777" w:rsidTr="6D726176">
        <w:tc>
          <w:tcPr>
            <w:tcW w:w="2977" w:type="dxa"/>
            <w:shd w:val="clear" w:color="auto" w:fill="163E64"/>
          </w:tcPr>
          <w:p w14:paraId="6D2903E9" w14:textId="77777777" w:rsidR="00762BBE" w:rsidRPr="004E4615" w:rsidRDefault="00762BBE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6D2903EA" w14:textId="10364FEE" w:rsidR="00762BBE" w:rsidRPr="004E4615" w:rsidRDefault="00896731" w:rsidP="004E4615">
                <w:pPr>
                  <w:jc w:val="both"/>
                </w:pPr>
                <w:r w:rsidRPr="004E4615">
                  <w:rPr>
                    <w:rStyle w:val="Style1"/>
                  </w:rPr>
                  <w:t>Executive Director of Nursing and Patient Experience</w:t>
                </w:r>
              </w:p>
            </w:tc>
          </w:sdtContent>
        </w:sdt>
      </w:tr>
      <w:tr w:rsidR="00762BBE" w:rsidRPr="004E4615" w14:paraId="6D2903EE" w14:textId="77777777" w:rsidTr="6D726176">
        <w:tc>
          <w:tcPr>
            <w:tcW w:w="2977" w:type="dxa"/>
            <w:shd w:val="clear" w:color="auto" w:fill="163E64"/>
          </w:tcPr>
          <w:p w14:paraId="6D2903EC" w14:textId="77777777" w:rsidR="00762BBE" w:rsidRPr="004E4615" w:rsidRDefault="00762BBE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</w:tcPr>
          <w:p w14:paraId="6D2903ED" w14:textId="74837B6D" w:rsidR="00762BBE" w:rsidRPr="004E4615" w:rsidRDefault="00A853AB" w:rsidP="004E4615">
            <w:pPr>
              <w:jc w:val="both"/>
            </w:pPr>
            <w:r w:rsidRPr="004E4615">
              <w:rPr>
                <w14:ligatures w14:val="standardContextual"/>
              </w:rPr>
              <w:t>Alison Clarke, Deputy Director of Allied Health Professions &amp; Health Science</w:t>
            </w:r>
          </w:p>
        </w:tc>
      </w:tr>
      <w:tr w:rsidR="00653AEC" w:rsidRPr="004E4615" w14:paraId="6D2903F1" w14:textId="77777777" w:rsidTr="6D726176">
        <w:tc>
          <w:tcPr>
            <w:tcW w:w="2977" w:type="dxa"/>
            <w:shd w:val="clear" w:color="auto" w:fill="C1A775"/>
          </w:tcPr>
          <w:p w14:paraId="6D2903EF" w14:textId="5CD60EB8" w:rsidR="00653AEC" w:rsidRPr="004E4615" w:rsidRDefault="00653AEC" w:rsidP="004E4615">
            <w:pPr>
              <w:jc w:val="both"/>
              <w:rPr>
                <w:b/>
                <w:bCs/>
              </w:rPr>
            </w:pPr>
            <w:r w:rsidRPr="004E4615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Choose FoI type"/>
              <w:tag w:val="Choose FoI type"/>
              <w:id w:val="-291602971"/>
              <w:lock w:val="sdtLocked"/>
              <w:placeholder>
                <w:docPart w:val="751D5878A9DB4631BDE7EB878E2E21A8"/>
              </w:placeholder>
              <w15:color w:val="000000"/>
              <w:dropDownList>
                <w:listItem w:displayText="Choose FoI type" w:value="Choose FoI type"/>
                <w:listItem w:displayText="Open" w:value="Open"/>
                <w:listItem w:displayText="Closed" w:value="Closed"/>
              </w:dropDownList>
            </w:sdtPr>
            <w:sdtEndPr>
              <w:rPr>
                <w:rStyle w:val="DefaultParagraphFont"/>
              </w:rPr>
            </w:sdtEndPr>
            <w:sdtContent>
              <w:p w14:paraId="6D2903F0" w14:textId="07CB9FD9" w:rsidR="00850C29" w:rsidRPr="004E4615" w:rsidRDefault="00A853AB" w:rsidP="004E4615">
                <w:pPr>
                  <w:jc w:val="both"/>
                </w:pPr>
                <w:r w:rsidRPr="004E4615">
                  <w:rPr>
                    <w:rStyle w:val="Style1"/>
                  </w:rPr>
                  <w:t>Open</w:t>
                </w:r>
              </w:p>
            </w:sdtContent>
          </w:sdt>
        </w:tc>
      </w:tr>
      <w:tr w:rsidR="00041CF6" w:rsidRPr="004E4615" w14:paraId="3533518D" w14:textId="77777777" w:rsidTr="6D726176">
        <w:tc>
          <w:tcPr>
            <w:tcW w:w="2977" w:type="dxa"/>
            <w:shd w:val="clear" w:color="auto" w:fill="C1A775"/>
          </w:tcPr>
          <w:p w14:paraId="388BDD7E" w14:textId="6876BB65" w:rsidR="00041CF6" w:rsidRPr="004E4615" w:rsidRDefault="00041CF6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FoI Cl</w:t>
            </w:r>
            <w:r w:rsidR="000E379E" w:rsidRPr="004E4615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EndPr>
            <w:rPr>
              <w:rStyle w:val="Style1"/>
            </w:rPr>
          </w:sdtEndPr>
          <w:sdtContent>
            <w:tc>
              <w:tcPr>
                <w:tcW w:w="6044" w:type="dxa"/>
                <w:gridSpan w:val="3"/>
              </w:tcPr>
              <w:p w14:paraId="68BCFC98" w14:textId="74614C13" w:rsidR="00041CF6" w:rsidRPr="004E4615" w:rsidRDefault="00EC231A" w:rsidP="004E4615">
                <w:pPr>
                  <w:jc w:val="both"/>
                  <w:rPr>
                    <w:rStyle w:val="Style1"/>
                  </w:rPr>
                </w:pPr>
                <w:r w:rsidRPr="004E4615"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="008F442A" w:rsidRPr="004E4615" w14:paraId="56774493" w14:textId="77777777" w:rsidTr="6D726176">
        <w:tc>
          <w:tcPr>
            <w:tcW w:w="5812" w:type="dxa"/>
            <w:gridSpan w:val="2"/>
            <w:shd w:val="clear" w:color="auto" w:fill="C1A775"/>
          </w:tcPr>
          <w:p w14:paraId="50DAF23B" w14:textId="77777777" w:rsidR="008F442A" w:rsidRPr="004E4615" w:rsidRDefault="008F442A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Impact Assessment Summary Outcome</w:t>
            </w:r>
          </w:p>
        </w:tc>
        <w:tc>
          <w:tcPr>
            <w:tcW w:w="3209" w:type="dxa"/>
            <w:gridSpan w:val="2"/>
            <w:shd w:val="clear" w:color="auto" w:fill="C1A775"/>
          </w:tcPr>
          <w:p w14:paraId="1FF00833" w14:textId="403A5B42" w:rsidR="008F442A" w:rsidRPr="004E4615" w:rsidRDefault="00FA5DEC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IA Completion date</w:t>
            </w:r>
          </w:p>
        </w:tc>
      </w:tr>
      <w:tr w:rsidR="00860674" w:rsidRPr="004E4615" w14:paraId="44E771AC" w14:textId="77777777" w:rsidTr="6D726176">
        <w:tc>
          <w:tcPr>
            <w:tcW w:w="5812" w:type="dxa"/>
            <w:gridSpan w:val="2"/>
          </w:tcPr>
          <w:p w14:paraId="5E84E502" w14:textId="2754BDE3" w:rsidR="00A35122" w:rsidRPr="00741080" w:rsidRDefault="000203BD" w:rsidP="004E4615">
            <w:pPr>
              <w:jc w:val="both"/>
            </w:pPr>
            <w:r w:rsidRPr="004E4615">
              <w:t>I</w:t>
            </w:r>
            <w:r w:rsidR="0053076A" w:rsidRPr="004E4615">
              <w:t>f a decision or action is required by Board / Committee a</w:t>
            </w:r>
            <w:r w:rsidR="001C06A8" w:rsidRPr="004E4615">
              <w:t xml:space="preserve"> Quality </w:t>
            </w:r>
            <w:r w:rsidR="0053076A" w:rsidRPr="004E4615">
              <w:t xml:space="preserve">Impact Assessment is </w:t>
            </w:r>
            <w:r w:rsidR="00E3794C" w:rsidRPr="004E4615">
              <w:t xml:space="preserve">necessary. In this section, include </w:t>
            </w:r>
            <w:r w:rsidR="004F7367" w:rsidRPr="004E4615">
              <w:t>a summary</w:t>
            </w:r>
            <w:r w:rsidR="00E3794C" w:rsidRPr="004E4615">
              <w:t xml:space="preserve"> of the IA outcome.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09" w:type="dxa"/>
                <w:gridSpan w:val="2"/>
              </w:tcPr>
              <w:p w14:paraId="6CF9C42A" w14:textId="06AA5658" w:rsidR="00860674" w:rsidRPr="004E4615" w:rsidRDefault="00B105BD" w:rsidP="004E4615">
                <w:pPr>
                  <w:jc w:val="both"/>
                  <w:rPr>
                    <w:bCs/>
                  </w:rPr>
                </w:pPr>
                <w:r w:rsidRPr="004E4615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EA4667" w:rsidRPr="004E4615" w14:paraId="2BABD8F1" w14:textId="77777777" w:rsidTr="6D726176">
        <w:tc>
          <w:tcPr>
            <w:tcW w:w="2977" w:type="dxa"/>
            <w:shd w:val="clear" w:color="auto" w:fill="C1A775"/>
          </w:tcPr>
          <w:p w14:paraId="4CAAEA69" w14:textId="77777777" w:rsidR="00EA4667" w:rsidRPr="004E4615" w:rsidRDefault="00EA4667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3EFA578" w14:textId="43022F6D" w:rsidR="00EA4667" w:rsidRPr="004E4615" w:rsidRDefault="00A853AB" w:rsidP="004E4615">
                <w:pPr>
                  <w:ind w:right="96"/>
                  <w:jc w:val="both"/>
                </w:pPr>
                <w:r w:rsidRPr="004E4615">
                  <w:rPr>
                    <w:rStyle w:val="Style1"/>
                  </w:rPr>
                  <w:t>For Assurance</w:t>
                </w:r>
              </w:p>
            </w:tc>
          </w:sdtContent>
        </w:sdt>
      </w:tr>
      <w:tr w:rsidR="00110100" w:rsidRPr="004E4615" w14:paraId="2607A37D" w14:textId="77777777" w:rsidTr="6D726176">
        <w:tc>
          <w:tcPr>
            <w:tcW w:w="9021" w:type="dxa"/>
            <w:gridSpan w:val="4"/>
            <w:shd w:val="clear" w:color="auto" w:fill="C1A775"/>
          </w:tcPr>
          <w:p w14:paraId="213FC224" w14:textId="4833FD62" w:rsidR="00110100" w:rsidRPr="004E4615" w:rsidRDefault="00110100" w:rsidP="004E4615">
            <w:pPr>
              <w:jc w:val="both"/>
            </w:pPr>
            <w:r w:rsidRPr="004E4615">
              <w:rPr>
                <w:b/>
              </w:rPr>
              <w:t>Report Summary; detailing any action required</w:t>
            </w:r>
          </w:p>
        </w:tc>
      </w:tr>
      <w:tr w:rsidR="00110100" w:rsidRPr="004E4615" w14:paraId="6D2903F8" w14:textId="77777777" w:rsidTr="6D726176">
        <w:tc>
          <w:tcPr>
            <w:tcW w:w="9021" w:type="dxa"/>
            <w:gridSpan w:val="4"/>
          </w:tcPr>
          <w:p w14:paraId="6D2903F7" w14:textId="223DC22A" w:rsidR="00110100" w:rsidRPr="004E4615" w:rsidRDefault="00A853AB" w:rsidP="004E4615">
            <w:pPr>
              <w:jc w:val="both"/>
              <w:rPr>
                <w:b/>
              </w:rPr>
            </w:pPr>
            <w:r w:rsidRPr="004E4615">
              <w:t>The report informs the Committee on current, relevant key workforce issues relating to Allied Health Professions (AHP) and Health</w:t>
            </w:r>
            <w:r w:rsidR="00B206A4" w:rsidRPr="004E4615">
              <w:t>care</w:t>
            </w:r>
            <w:r w:rsidRPr="004E4615">
              <w:t xml:space="preserve"> Science </w:t>
            </w:r>
            <w:r w:rsidR="00B206A4" w:rsidRPr="004E4615">
              <w:t xml:space="preserve">(HCS) </w:t>
            </w:r>
            <w:r w:rsidRPr="004E4615">
              <w:t>services.</w:t>
            </w:r>
          </w:p>
        </w:tc>
      </w:tr>
      <w:tr w:rsidR="00110100" w:rsidRPr="004E4615" w14:paraId="70491417" w14:textId="77777777" w:rsidTr="6D726176">
        <w:tc>
          <w:tcPr>
            <w:tcW w:w="9021" w:type="dxa"/>
            <w:gridSpan w:val="4"/>
            <w:shd w:val="clear" w:color="auto" w:fill="C1A775"/>
          </w:tcPr>
          <w:p w14:paraId="012E824A" w14:textId="7C1EDF26" w:rsidR="00110100" w:rsidRPr="004E4615" w:rsidRDefault="00110100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Key Issues</w:t>
            </w:r>
          </w:p>
        </w:tc>
      </w:tr>
      <w:tr w:rsidR="00110100" w:rsidRPr="004E4615" w14:paraId="6D290402" w14:textId="77777777" w:rsidTr="6D726176">
        <w:tc>
          <w:tcPr>
            <w:tcW w:w="9021" w:type="dxa"/>
            <w:gridSpan w:val="4"/>
          </w:tcPr>
          <w:p w14:paraId="2EE606E2" w14:textId="364E84F3" w:rsidR="00A853AB" w:rsidRPr="00A47699" w:rsidRDefault="00A853AB" w:rsidP="00A4769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cs="Verdana"/>
              </w:rPr>
            </w:pPr>
            <w:r w:rsidRPr="00A47699">
              <w:rPr>
                <w:rFonts w:cs="Verdana"/>
              </w:rPr>
              <w:t>Ongoing focus via AHP, H</w:t>
            </w:r>
            <w:r w:rsidR="00B206A4" w:rsidRPr="00A47699">
              <w:rPr>
                <w:rFonts w:cs="Verdana"/>
              </w:rPr>
              <w:t>C</w:t>
            </w:r>
            <w:r w:rsidRPr="00A47699">
              <w:rPr>
                <w:rFonts w:cs="Verdana"/>
              </w:rPr>
              <w:t>S &amp; Pharmacy Professional Workforce Board to support financial recovery of the health board.</w:t>
            </w:r>
          </w:p>
          <w:p w14:paraId="05E627D7" w14:textId="6182E3A4" w:rsidR="000151FC" w:rsidRPr="00494DF8" w:rsidRDefault="007A0876" w:rsidP="00494DF8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494DF8">
              <w:rPr>
                <w:rFonts w:eastAsia="Times New Roman" w:cs="Segoe UI"/>
                <w:lang w:eastAsia="en-GB"/>
              </w:rPr>
              <w:t xml:space="preserve">Demand for Advanced Practice funding continues to grow despite a reduction in </w:t>
            </w:r>
            <w:r w:rsidR="00494DF8" w:rsidRPr="00494DF8">
              <w:rPr>
                <w:rFonts w:eastAsia="Times New Roman" w:cs="Segoe UI"/>
                <w:lang w:eastAsia="en-GB"/>
              </w:rPr>
              <w:t>Health Education and Improvement Wales (</w:t>
            </w:r>
            <w:r w:rsidRPr="00494DF8">
              <w:rPr>
                <w:rFonts w:eastAsia="Times New Roman" w:cs="Segoe UI"/>
                <w:lang w:eastAsia="en-GB"/>
              </w:rPr>
              <w:t>HEIW</w:t>
            </w:r>
            <w:r w:rsidR="00494DF8" w:rsidRPr="00494DF8">
              <w:rPr>
                <w:rFonts w:eastAsia="Times New Roman" w:cs="Segoe UI"/>
                <w:lang w:eastAsia="en-GB"/>
              </w:rPr>
              <w:t>)</w:t>
            </w:r>
            <w:r w:rsidRPr="00494DF8">
              <w:rPr>
                <w:rFonts w:eastAsia="Times New Roman" w:cs="Segoe UI"/>
                <w:lang w:eastAsia="en-GB"/>
              </w:rPr>
              <w:t xml:space="preserve"> funding from £239,053 to £208,717, requiring prioritisation of limited resources across professional groups.</w:t>
            </w:r>
          </w:p>
          <w:p w14:paraId="108F6AAC" w14:textId="6A587F16" w:rsidR="000151FC" w:rsidRPr="00A47699" w:rsidRDefault="00CF6830" w:rsidP="000151F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rPr>
                <w:rFonts w:cs="Verdana"/>
              </w:rPr>
            </w:pPr>
            <w:r w:rsidRPr="00A47699">
              <w:rPr>
                <w:rFonts w:cs="Verdana"/>
              </w:rPr>
              <w:t xml:space="preserve">Summary of </w:t>
            </w:r>
            <w:r w:rsidR="002555F7" w:rsidRPr="00A47699">
              <w:rPr>
                <w:rFonts w:cs="Verdana"/>
              </w:rPr>
              <w:t xml:space="preserve">relevant </w:t>
            </w:r>
            <w:r w:rsidR="00093EEC" w:rsidRPr="00A47699">
              <w:rPr>
                <w:rFonts w:cs="Verdana"/>
              </w:rPr>
              <w:t xml:space="preserve">actions </w:t>
            </w:r>
            <w:r w:rsidR="008072C1" w:rsidRPr="00A47699">
              <w:rPr>
                <w:rFonts w:cs="Verdana"/>
              </w:rPr>
              <w:t xml:space="preserve">impacting on </w:t>
            </w:r>
            <w:r w:rsidR="00093EEC" w:rsidRPr="00A47699">
              <w:rPr>
                <w:rFonts w:cs="Verdana"/>
              </w:rPr>
              <w:t>AHP and HCS</w:t>
            </w:r>
            <w:r w:rsidR="008072C1" w:rsidRPr="00A47699">
              <w:rPr>
                <w:rFonts w:cs="Verdana"/>
              </w:rPr>
              <w:t xml:space="preserve"> services following</w:t>
            </w:r>
            <w:r w:rsidR="00093EEC" w:rsidRPr="00A47699">
              <w:rPr>
                <w:rFonts w:cs="Verdana"/>
              </w:rPr>
              <w:t xml:space="preserve"> </w:t>
            </w:r>
            <w:r w:rsidR="00E53C8F">
              <w:rPr>
                <w:rFonts w:cs="Verdana"/>
              </w:rPr>
              <w:t>Swansea Bay University Health Board (</w:t>
            </w:r>
            <w:r w:rsidR="000151FC" w:rsidRPr="00A47699">
              <w:rPr>
                <w:rFonts w:eastAsia="Times New Roman" w:cs="Segoe UI"/>
                <w:lang w:eastAsia="en-GB"/>
              </w:rPr>
              <w:t>SBUHB</w:t>
            </w:r>
            <w:r w:rsidR="00E53C8F">
              <w:rPr>
                <w:rFonts w:eastAsia="Times New Roman" w:cs="Segoe UI"/>
                <w:lang w:eastAsia="en-GB"/>
              </w:rPr>
              <w:t>)</w:t>
            </w:r>
            <w:r w:rsidR="000151FC" w:rsidRPr="00A47699">
              <w:rPr>
                <w:rFonts w:eastAsia="Times New Roman" w:cs="Segoe UI"/>
                <w:lang w:eastAsia="en-GB"/>
              </w:rPr>
              <w:t xml:space="preserve"> joint strategic, education and training meeting with HEIW</w:t>
            </w:r>
            <w:r w:rsidR="007A49BA" w:rsidRPr="00A47699">
              <w:rPr>
                <w:rFonts w:eastAsia="Times New Roman" w:cs="Segoe UI"/>
                <w:lang w:eastAsia="en-GB"/>
              </w:rPr>
              <w:t xml:space="preserve">. </w:t>
            </w:r>
          </w:p>
          <w:p w14:paraId="465402C0" w14:textId="77777777" w:rsidR="00DA5D3C" w:rsidRPr="00A47699" w:rsidRDefault="007E3BF5" w:rsidP="00DA5D3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both"/>
              <w:rPr>
                <w:rFonts w:cs="Verdana"/>
              </w:rPr>
            </w:pPr>
            <w:r w:rsidRPr="00A47699">
              <w:rPr>
                <w:rFonts w:cs="Verdana"/>
              </w:rPr>
              <w:t xml:space="preserve">Performance of the </w:t>
            </w:r>
            <w:r w:rsidR="003026FD" w:rsidRPr="00A47699">
              <w:rPr>
                <w:rFonts w:cs="Verdana"/>
              </w:rPr>
              <w:t xml:space="preserve">AHP &amp; HCS </w:t>
            </w:r>
            <w:r w:rsidR="00674884" w:rsidRPr="00A47699">
              <w:rPr>
                <w:rFonts w:cs="Verdana"/>
              </w:rPr>
              <w:t>Services</w:t>
            </w:r>
            <w:r w:rsidR="003026FD" w:rsidRPr="00A47699">
              <w:rPr>
                <w:rFonts w:cs="Verdana"/>
              </w:rPr>
              <w:t xml:space="preserve"> </w:t>
            </w:r>
            <w:r w:rsidRPr="00A47699">
              <w:rPr>
                <w:rFonts w:cs="Verdana"/>
              </w:rPr>
              <w:t xml:space="preserve">against </w:t>
            </w:r>
            <w:r w:rsidR="003026FD" w:rsidRPr="00A47699">
              <w:rPr>
                <w:rFonts w:cs="Verdana"/>
              </w:rPr>
              <w:t xml:space="preserve">Key </w:t>
            </w:r>
            <w:r w:rsidRPr="00A47699">
              <w:rPr>
                <w:rFonts w:cs="Verdana"/>
              </w:rPr>
              <w:t xml:space="preserve">Health Board </w:t>
            </w:r>
            <w:r w:rsidR="00674884" w:rsidRPr="00A47699">
              <w:rPr>
                <w:rFonts w:cs="Verdana"/>
              </w:rPr>
              <w:t xml:space="preserve">Workforce </w:t>
            </w:r>
            <w:r w:rsidR="003026FD" w:rsidRPr="00A47699">
              <w:rPr>
                <w:rFonts w:cs="Verdana"/>
              </w:rPr>
              <w:t>Performance Indicators</w:t>
            </w:r>
            <w:r w:rsidR="00674884" w:rsidRPr="00A47699">
              <w:rPr>
                <w:rFonts w:cs="Verdana"/>
              </w:rPr>
              <w:t>.</w:t>
            </w:r>
          </w:p>
          <w:p w14:paraId="6D290401" w14:textId="0F5ECAB0" w:rsidR="00A47699" w:rsidRPr="00A47699" w:rsidRDefault="005B5AA8" w:rsidP="00A4769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both"/>
              <w:rPr>
                <w:rFonts w:cs="Verdana"/>
              </w:rPr>
            </w:pPr>
            <w:r w:rsidRPr="00A47699">
              <w:rPr>
                <w:rFonts w:eastAsia="Times New Roman" w:cs="Segoe UI"/>
                <w:lang w:eastAsia="en-GB"/>
              </w:rPr>
              <w:t xml:space="preserve">Note </w:t>
            </w:r>
            <w:r w:rsidR="00C61D23" w:rsidRPr="00A47699">
              <w:rPr>
                <w:rFonts w:eastAsia="Times New Roman" w:cs="Segoe UI"/>
                <w:lang w:eastAsia="en-GB"/>
              </w:rPr>
              <w:t xml:space="preserve">the delivery of </w:t>
            </w:r>
            <w:r w:rsidR="00C61D23" w:rsidRPr="00A47699">
              <w:rPr>
                <w:rFonts w:eastAsia="Times New Roman" w:cstheme="minorHAnsi"/>
                <w:lang w:eastAsia="en-GB"/>
              </w:rPr>
              <w:t>a</w:t>
            </w:r>
            <w:r w:rsidRPr="00A47699">
              <w:rPr>
                <w:rFonts w:eastAsia="Times New Roman" w:cstheme="minorHAnsi"/>
                <w:lang w:eastAsia="en-GB"/>
              </w:rPr>
              <w:t xml:space="preserve">n internal </w:t>
            </w:r>
            <w:r w:rsidR="00A47699" w:rsidRPr="00A47699">
              <w:rPr>
                <w:rFonts w:cs="Verdana"/>
              </w:rPr>
              <w:t xml:space="preserve">AHP &amp; HCS Services </w:t>
            </w:r>
            <w:r w:rsidRPr="00A47699">
              <w:rPr>
                <w:rFonts w:eastAsia="Times New Roman" w:cstheme="minorHAnsi"/>
                <w:lang w:eastAsia="en-GB"/>
              </w:rPr>
              <w:t xml:space="preserve">review undertaken to provide assurance </w:t>
            </w:r>
            <w:r w:rsidRPr="00A47699">
              <w:rPr>
                <w:rFonts w:cstheme="minorHAnsi"/>
              </w:rPr>
              <w:t>in response to the Deloitte findings.</w:t>
            </w:r>
          </w:p>
        </w:tc>
      </w:tr>
      <w:tr w:rsidR="00B22CF9" w:rsidRPr="004E4615" w14:paraId="78C95897" w14:textId="77777777" w:rsidTr="6D726176">
        <w:tc>
          <w:tcPr>
            <w:tcW w:w="2977" w:type="dxa"/>
            <w:shd w:val="clear" w:color="auto" w:fill="C1A775"/>
          </w:tcPr>
          <w:p w14:paraId="1B78D4FE" w14:textId="54876F52" w:rsidR="00B22CF9" w:rsidRPr="004E4615" w:rsidRDefault="00B22CF9" w:rsidP="004E4615">
            <w:pPr>
              <w:jc w:val="both"/>
              <w:rPr>
                <w:b/>
                <w:bCs/>
              </w:rPr>
            </w:pPr>
            <w:r w:rsidRPr="004E4615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</w:rPr>
            </w:sdtEndPr>
            <w:sdtContent>
              <w:p w14:paraId="058FCD73" w14:textId="515BF7A3" w:rsidR="00B22CF9" w:rsidRPr="004E4615" w:rsidRDefault="00A853AB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Style w:val="Style1"/>
                  </w:rPr>
                  <w:t>No</w:t>
                </w:r>
              </w:p>
            </w:sdtContent>
          </w:sdt>
        </w:tc>
      </w:tr>
      <w:tr w:rsidR="00110100" w:rsidRPr="004E4615" w14:paraId="4682E8B7" w14:textId="77777777" w:rsidTr="6D726176">
        <w:tc>
          <w:tcPr>
            <w:tcW w:w="9021" w:type="dxa"/>
            <w:gridSpan w:val="4"/>
            <w:shd w:val="clear" w:color="auto" w:fill="C1A775"/>
          </w:tcPr>
          <w:p w14:paraId="155705B7" w14:textId="5CCD1FFB" w:rsidR="00110100" w:rsidRPr="004E4615" w:rsidRDefault="00110100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Recommendations</w:t>
            </w:r>
          </w:p>
        </w:tc>
      </w:tr>
      <w:tr w:rsidR="00110100" w:rsidRPr="004E4615" w14:paraId="6D290418" w14:textId="77777777" w:rsidTr="6D726176">
        <w:tc>
          <w:tcPr>
            <w:tcW w:w="9021" w:type="dxa"/>
            <w:gridSpan w:val="4"/>
          </w:tcPr>
          <w:p w14:paraId="6D290412" w14:textId="77777777" w:rsidR="00110100" w:rsidRPr="004E4615" w:rsidRDefault="00110100" w:rsidP="004E4615">
            <w:pPr>
              <w:ind w:right="96"/>
              <w:jc w:val="both"/>
            </w:pPr>
            <w:r w:rsidRPr="004E4615">
              <w:t>Members are asked to:</w:t>
            </w:r>
          </w:p>
          <w:p w14:paraId="6D290417" w14:textId="17B0A813" w:rsidR="00110100" w:rsidRPr="00A47699" w:rsidRDefault="00110100" w:rsidP="6D726176">
            <w:pPr>
              <w:pStyle w:val="ListParagraph"/>
              <w:numPr>
                <w:ilvl w:val="0"/>
                <w:numId w:val="14"/>
              </w:numPr>
              <w:ind w:right="96"/>
              <w:jc w:val="both"/>
              <w:rPr>
                <w:b/>
                <w:bCs/>
              </w:rPr>
            </w:pPr>
            <w:r w:rsidRPr="6D726176">
              <w:rPr>
                <w:b/>
                <w:bCs/>
              </w:rPr>
              <w:t>R</w:t>
            </w:r>
            <w:r w:rsidR="48CD1CCC" w:rsidRPr="6D726176">
              <w:rPr>
                <w:b/>
                <w:bCs/>
              </w:rPr>
              <w:t>ECIEVE</w:t>
            </w:r>
            <w:r w:rsidR="00DB76B3" w:rsidRPr="6D726176">
              <w:rPr>
                <w:b/>
                <w:bCs/>
              </w:rPr>
              <w:t xml:space="preserve"> </w:t>
            </w:r>
            <w:r w:rsidR="00DB76B3">
              <w:t>for</w:t>
            </w:r>
            <w:r w:rsidR="00DB76B3" w:rsidRPr="6D726176">
              <w:rPr>
                <w:b/>
                <w:bCs/>
              </w:rPr>
              <w:t xml:space="preserve"> </w:t>
            </w:r>
            <w:r w:rsidR="00DB76B3">
              <w:t>Assurance</w:t>
            </w:r>
            <w:r w:rsidR="188D3824">
              <w:t>.</w:t>
            </w:r>
          </w:p>
        </w:tc>
      </w:tr>
    </w:tbl>
    <w:p w14:paraId="6D29041B" w14:textId="6345586E" w:rsidR="00653AEC" w:rsidRDefault="005D44B3" w:rsidP="004E4615">
      <w:pPr>
        <w:spacing w:after="0" w:line="240" w:lineRule="auto"/>
        <w:jc w:val="both"/>
        <w:rPr>
          <w:b/>
          <w:bCs/>
        </w:rPr>
      </w:pPr>
      <w:r w:rsidRPr="004E4615">
        <w:rPr>
          <w:b/>
          <w:bCs/>
        </w:rPr>
        <w:lastRenderedPageBreak/>
        <w:t>Allied Health Professions &amp; Health Science WODC Key Issues Report</w:t>
      </w:r>
    </w:p>
    <w:p w14:paraId="1D0C09EE" w14:textId="77777777" w:rsidR="005D44B3" w:rsidRPr="004E4615" w:rsidRDefault="005D44B3" w:rsidP="004E4615">
      <w:pPr>
        <w:spacing w:after="0" w:line="240" w:lineRule="auto"/>
        <w:jc w:val="both"/>
        <w:rPr>
          <w:b/>
        </w:rPr>
      </w:pPr>
    </w:p>
    <w:p w14:paraId="6D29041C" w14:textId="77777777" w:rsidR="00653AEC" w:rsidRPr="004E4615" w:rsidRDefault="00653AEC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INTRODUCTION</w:t>
      </w:r>
    </w:p>
    <w:p w14:paraId="6D29041D" w14:textId="489B9950" w:rsidR="00653AEC" w:rsidRPr="004E4615" w:rsidRDefault="00653AEC" w:rsidP="004E4615">
      <w:pPr>
        <w:spacing w:after="0" w:line="240" w:lineRule="auto"/>
        <w:jc w:val="both"/>
        <w:rPr>
          <w:b/>
        </w:rPr>
      </w:pPr>
      <w:r w:rsidRPr="004E4615">
        <w:t>Th</w:t>
      </w:r>
      <w:r w:rsidR="00A853AB" w:rsidRPr="004E4615">
        <w:t xml:space="preserve">e purpose of this report is to draw to the attention of the committee, key workforce issues and risks relating to </w:t>
      </w:r>
      <w:r w:rsidR="00BC6BFF">
        <w:t>AHP</w:t>
      </w:r>
      <w:r w:rsidR="00A853AB" w:rsidRPr="004E4615">
        <w:t xml:space="preserve"> and </w:t>
      </w:r>
      <w:r w:rsidR="00BC6BFF">
        <w:t>HCS</w:t>
      </w:r>
      <w:r w:rsidR="00A853AB" w:rsidRPr="004E4615">
        <w:t xml:space="preserve"> services and any mitigation undertaken.</w:t>
      </w:r>
    </w:p>
    <w:p w14:paraId="6D29041E" w14:textId="77777777" w:rsidR="00653AEC" w:rsidRPr="004E4615" w:rsidRDefault="00653AEC" w:rsidP="004E4615">
      <w:pPr>
        <w:pStyle w:val="ListParagraph"/>
        <w:spacing w:after="0" w:line="240" w:lineRule="auto"/>
        <w:jc w:val="both"/>
        <w:rPr>
          <w:b/>
        </w:rPr>
      </w:pPr>
    </w:p>
    <w:p w14:paraId="6D29041F" w14:textId="13B53F82" w:rsidR="00653AEC" w:rsidRDefault="00A853AB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KEY ISSUES</w:t>
      </w:r>
    </w:p>
    <w:p w14:paraId="5ED04CB3" w14:textId="77777777" w:rsidR="004E4615" w:rsidRPr="004E4615" w:rsidRDefault="004E4615" w:rsidP="004E4615">
      <w:pPr>
        <w:pStyle w:val="ListParagraph"/>
        <w:spacing w:after="0" w:line="240" w:lineRule="auto"/>
        <w:jc w:val="both"/>
        <w:rPr>
          <w:b/>
        </w:rPr>
      </w:pPr>
    </w:p>
    <w:p w14:paraId="5A822285" w14:textId="77777777" w:rsidR="00BC6BFF" w:rsidRDefault="00A853AB" w:rsidP="00BC6BF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Education and Workforce Development</w:t>
      </w:r>
    </w:p>
    <w:p w14:paraId="6B73F5D2" w14:textId="77777777" w:rsidR="00BC6BFF" w:rsidRDefault="00BC6BFF" w:rsidP="00BC6BFF">
      <w:pPr>
        <w:spacing w:after="0" w:line="240" w:lineRule="auto"/>
        <w:ind w:left="360"/>
        <w:jc w:val="both"/>
        <w:rPr>
          <w:b/>
        </w:rPr>
      </w:pPr>
    </w:p>
    <w:p w14:paraId="57303B21" w14:textId="31172743" w:rsidR="00A853AB" w:rsidRPr="00BC6BFF" w:rsidRDefault="00A853AB" w:rsidP="00BC6BFF">
      <w:pPr>
        <w:pStyle w:val="ListParagraph"/>
        <w:numPr>
          <w:ilvl w:val="2"/>
          <w:numId w:val="3"/>
        </w:numPr>
        <w:spacing w:after="0" w:line="240" w:lineRule="auto"/>
        <w:jc w:val="both"/>
        <w:rPr>
          <w:b/>
        </w:rPr>
      </w:pPr>
      <w:r w:rsidRPr="00BC6BFF">
        <w:rPr>
          <w:b/>
        </w:rPr>
        <w:t>Allied Health Professions, Health Science &amp; Pharmacy Professional Workforce Board</w:t>
      </w:r>
      <w:r w:rsidR="00AB61A7" w:rsidRPr="00BC6BFF">
        <w:rPr>
          <w:b/>
        </w:rPr>
        <w:t xml:space="preserve"> (PWB)</w:t>
      </w:r>
      <w:r w:rsidR="00533246" w:rsidRPr="00BC6BFF">
        <w:rPr>
          <w:b/>
        </w:rPr>
        <w:t xml:space="preserve">. </w:t>
      </w:r>
    </w:p>
    <w:p w14:paraId="1FF937F3" w14:textId="77777777" w:rsidR="004E4615" w:rsidRPr="004E4615" w:rsidRDefault="004E4615" w:rsidP="004E4615">
      <w:pPr>
        <w:pStyle w:val="ListParagraph"/>
        <w:spacing w:after="0" w:line="240" w:lineRule="auto"/>
        <w:ind w:left="1440"/>
        <w:jc w:val="both"/>
        <w:rPr>
          <w:b/>
        </w:rPr>
      </w:pPr>
    </w:p>
    <w:p w14:paraId="43BA4EA5" w14:textId="2885649E" w:rsidR="00F810E6" w:rsidRDefault="00A853AB" w:rsidP="00B6629B">
      <w:pPr>
        <w:spacing w:line="300" w:lineRule="atLeast"/>
        <w:jc w:val="both"/>
        <w:rPr>
          <w:rFonts w:cs="Segoe UI"/>
        </w:rPr>
      </w:pPr>
      <w:r w:rsidRPr="00B6629B">
        <w:rPr>
          <w:bCs/>
        </w:rPr>
        <w:t>The AHP, HCS &amp; Pharmacy Medicines Management (PMM) Professional Workforce Board continues</w:t>
      </w:r>
      <w:r w:rsidR="00B6629B" w:rsidRPr="00B6629B">
        <w:rPr>
          <w:rFonts w:cs="Segoe UI"/>
        </w:rPr>
        <w:t xml:space="preserve"> to oversee delivery of workforce recovery and sustainability actions, with a particular focus on workforce savings schemes, vacancy management, and workforce transformation initiatives. </w:t>
      </w:r>
    </w:p>
    <w:p w14:paraId="6EDB6A2F" w14:textId="0879CD01" w:rsidR="00B6629B" w:rsidRPr="00B6629B" w:rsidRDefault="00B6629B" w:rsidP="00B6629B">
      <w:pPr>
        <w:spacing w:line="300" w:lineRule="atLeast"/>
        <w:jc w:val="both"/>
        <w:rPr>
          <w:rFonts w:cs="Segoe UI"/>
        </w:rPr>
      </w:pPr>
      <w:r w:rsidRPr="00B6629B">
        <w:rPr>
          <w:rFonts w:cs="Segoe UI"/>
        </w:rPr>
        <w:t>Recent activity has centred on strengthening the financial assurance of workforce Project Initiation Documents (PIDs) across Radiology, Cellular Pathology</w:t>
      </w:r>
      <w:r w:rsidR="00A13FD4">
        <w:rPr>
          <w:rFonts w:cs="Segoe UI"/>
        </w:rPr>
        <w:t>, Cardiac Physiology</w:t>
      </w:r>
      <w:r w:rsidRPr="00B6629B">
        <w:rPr>
          <w:rFonts w:cs="Segoe UI"/>
        </w:rPr>
        <w:t xml:space="preserve"> and Laboratory Medicine services. Finance review of submitted PIDs is progressing, with service-specific meetings being arranged to complete financial validation and confirm deliverable savings opportunities. Concurrently, the Recovery &amp; Sustainability and Value Based Healthcare teams are reviewing PIDs to ensure they are sufficiently robust and aligned to organisational recovery objectives. </w:t>
      </w:r>
    </w:p>
    <w:p w14:paraId="72856F87" w14:textId="77777777" w:rsidR="00B6629B" w:rsidRPr="00B6629B" w:rsidRDefault="00B6629B" w:rsidP="00B6629B">
      <w:p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>Key actions agreed by the Board include:</w:t>
      </w:r>
    </w:p>
    <w:p w14:paraId="041481F6" w14:textId="47BF55FF" w:rsidR="00B6629B" w:rsidRPr="00B6629B" w:rsidRDefault="00B6629B" w:rsidP="00B6629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>Completion of financial validation for Radiology and Cellular Pathology workforce PIDs through further engagement between service leads and Finance Business Partners.</w:t>
      </w:r>
      <w:r w:rsidR="00A858F3" w:rsidRPr="00B6629B">
        <w:rPr>
          <w:rFonts w:eastAsia="Times New Roman" w:cs="Segoe UI"/>
          <w:lang w:eastAsia="en-GB"/>
        </w:rPr>
        <w:t xml:space="preserve"> </w:t>
      </w:r>
    </w:p>
    <w:p w14:paraId="21CA6DD8" w14:textId="1252F586" w:rsidR="00B6629B" w:rsidRPr="00B6629B" w:rsidRDefault="00B6629B" w:rsidP="00B6629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 xml:space="preserve">Submission and review of the Cellular Pathology Quality Impact Assessment to support workforce change proposals. </w:t>
      </w:r>
    </w:p>
    <w:p w14:paraId="6DE4C923" w14:textId="1941A96D" w:rsidR="00B6629B" w:rsidRPr="00B6629B" w:rsidRDefault="00B6629B" w:rsidP="00B6629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>Confirmation of workforce savings opportunities within C</w:t>
      </w:r>
      <w:r w:rsidR="00A858F3">
        <w:rPr>
          <w:rFonts w:eastAsia="Times New Roman" w:cs="Segoe UI"/>
          <w:lang w:eastAsia="en-GB"/>
        </w:rPr>
        <w:t>ardiac</w:t>
      </w:r>
      <w:r w:rsidRPr="00B6629B">
        <w:rPr>
          <w:rFonts w:eastAsia="Times New Roman" w:cs="Segoe UI"/>
          <w:lang w:eastAsia="en-GB"/>
        </w:rPr>
        <w:t xml:space="preserve"> Physiology and Therapies services and incorporation of these opportunities into existing workforce PIDs where appropriate. </w:t>
      </w:r>
    </w:p>
    <w:p w14:paraId="7D054377" w14:textId="2085B004" w:rsidR="00B6629B" w:rsidRPr="00B6629B" w:rsidRDefault="00B6629B" w:rsidP="00B6629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>Continued review and refinement of workforce PIDs through PMO, Recovery &amp; Sustainability and Value Based Healthcare support to strengthen deliverability and assurance</w:t>
      </w:r>
      <w:r w:rsidR="00A858F3">
        <w:rPr>
          <w:rFonts w:eastAsia="Times New Roman" w:cs="Segoe UI"/>
          <w:lang w:eastAsia="en-GB"/>
        </w:rPr>
        <w:t>.</w:t>
      </w:r>
    </w:p>
    <w:p w14:paraId="0FCCC3FE" w14:textId="466F3899" w:rsidR="00B6629B" w:rsidRPr="00B6629B" w:rsidRDefault="00B6629B" w:rsidP="00B6629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="Times New Roman" w:cs="Segoe UI"/>
          <w:lang w:eastAsia="en-GB"/>
        </w:rPr>
      </w:pPr>
      <w:r w:rsidRPr="00B6629B">
        <w:rPr>
          <w:rFonts w:eastAsia="Times New Roman" w:cs="Segoe UI"/>
          <w:lang w:eastAsia="en-GB"/>
        </w:rPr>
        <w:t xml:space="preserve">Progression of actions to address the Cellular Pathology backlog through clarification of Advanced Practitioner pay arrangements to improve uptake of additional clinical capacity and reduce diagnostic delays. </w:t>
      </w:r>
    </w:p>
    <w:p w14:paraId="7849CC53" w14:textId="0D36ECEA" w:rsidR="00B609D3" w:rsidRPr="00B609D3" w:rsidRDefault="00B609D3" w:rsidP="00B609D3">
      <w:pPr>
        <w:spacing w:after="0" w:line="300" w:lineRule="atLeast"/>
        <w:jc w:val="both"/>
        <w:rPr>
          <w:rFonts w:eastAsia="Times New Roman" w:cs="Segoe UI"/>
          <w:lang w:eastAsia="en-GB"/>
        </w:rPr>
      </w:pPr>
      <w:r w:rsidRPr="00B609D3">
        <w:rPr>
          <w:rFonts w:eastAsia="Times New Roman" w:cs="Segoe UI"/>
          <w:lang w:eastAsia="en-GB"/>
        </w:rPr>
        <w:lastRenderedPageBreak/>
        <w:t xml:space="preserve">Overall, the Workforce Board remains assured that appropriate governance, financial </w:t>
      </w:r>
      <w:r w:rsidR="00C32BA5" w:rsidRPr="00B609D3">
        <w:rPr>
          <w:rFonts w:eastAsia="Times New Roman" w:cs="Segoe UI"/>
          <w:lang w:eastAsia="en-GB"/>
        </w:rPr>
        <w:t>scrutiny,</w:t>
      </w:r>
      <w:r w:rsidRPr="00B609D3">
        <w:rPr>
          <w:rFonts w:eastAsia="Times New Roman" w:cs="Segoe UI"/>
          <w:lang w:eastAsia="en-GB"/>
        </w:rPr>
        <w:t xml:space="preserve"> and workforce oversight arrangements are in place. Work continues to ensure that workforce transformation programmes deliver sustainable improvements to productivity, workforce </w:t>
      </w:r>
      <w:r w:rsidR="00C32BA5" w:rsidRPr="00B609D3">
        <w:rPr>
          <w:rFonts w:eastAsia="Times New Roman" w:cs="Segoe UI"/>
          <w:lang w:eastAsia="en-GB"/>
        </w:rPr>
        <w:t>resilience,</w:t>
      </w:r>
      <w:r w:rsidRPr="00B609D3">
        <w:rPr>
          <w:rFonts w:eastAsia="Times New Roman" w:cs="Segoe UI"/>
          <w:lang w:eastAsia="en-GB"/>
        </w:rPr>
        <w:t xml:space="preserve"> and financial performance, whilst maintaining service quality and patient outcomes. </w:t>
      </w:r>
    </w:p>
    <w:p w14:paraId="1771D9AA" w14:textId="08454C69" w:rsidR="00A853AB" w:rsidRPr="004E4615" w:rsidRDefault="00B6629B" w:rsidP="009A15FB">
      <w:p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B609D3">
        <w:rPr>
          <w:rFonts w:eastAsia="Times New Roman" w:cs="Segoe UI"/>
          <w:lang w:eastAsia="en-GB"/>
        </w:rPr>
        <w:t>Resolution of programme governance arrangements through confirmation of the Senior Responsible Owner for the AHP, Healthcare Science and Pharmacy Workforce Programme</w:t>
      </w:r>
      <w:r w:rsidR="008E32DE" w:rsidRPr="00B609D3">
        <w:rPr>
          <w:rFonts w:eastAsia="Times New Roman" w:cs="Segoe UI"/>
          <w:lang w:eastAsia="en-GB"/>
        </w:rPr>
        <w:t xml:space="preserve"> </w:t>
      </w:r>
      <w:r w:rsidR="009A15FB">
        <w:rPr>
          <w:rFonts w:eastAsia="Times New Roman" w:cs="Segoe UI"/>
          <w:lang w:eastAsia="en-GB"/>
        </w:rPr>
        <w:t xml:space="preserve">is a key risk. </w:t>
      </w:r>
    </w:p>
    <w:p w14:paraId="1F1A53E7" w14:textId="4C43FE5B" w:rsidR="003E5353" w:rsidRDefault="003E5353" w:rsidP="004E4615">
      <w:pPr>
        <w:pStyle w:val="ListParagraph"/>
        <w:numPr>
          <w:ilvl w:val="2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H</w:t>
      </w:r>
      <w:r w:rsidR="00DF49E3" w:rsidRPr="004E4615">
        <w:rPr>
          <w:b/>
        </w:rPr>
        <w:t>EIW Advanced and Enhanced Practice Education Funding 2026/27</w:t>
      </w:r>
      <w:r w:rsidR="00533246" w:rsidRPr="004E4615">
        <w:rPr>
          <w:b/>
        </w:rPr>
        <w:t xml:space="preserve">. </w:t>
      </w:r>
    </w:p>
    <w:p w14:paraId="7A7D47EF" w14:textId="77777777" w:rsidR="004E4615" w:rsidRPr="004E4615" w:rsidRDefault="004E4615" w:rsidP="004E4615">
      <w:pPr>
        <w:pStyle w:val="ListParagraph"/>
        <w:spacing w:after="0" w:line="240" w:lineRule="auto"/>
        <w:ind w:left="1440"/>
        <w:jc w:val="both"/>
        <w:rPr>
          <w:b/>
        </w:rPr>
      </w:pPr>
    </w:p>
    <w:p w14:paraId="0D5F8613" w14:textId="23265018" w:rsidR="00DF49E3" w:rsidRPr="004E4615" w:rsidRDefault="00DF49E3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Advanced and Enhanced Practice education funding provided by HEIW supports the development of a highly skilled workforce capable of delivering increasingly complex care across acute, community and primary care settings</w:t>
      </w:r>
      <w:r w:rsidR="00C32BA5" w:rsidRPr="004E4615">
        <w:rPr>
          <w:rFonts w:eastAsia="Times New Roman" w:cs="Segoe UI"/>
          <w:lang w:eastAsia="en-GB"/>
        </w:rPr>
        <w:t xml:space="preserve">. </w:t>
      </w:r>
      <w:r w:rsidRPr="004E4615">
        <w:rPr>
          <w:rFonts w:eastAsia="Times New Roman" w:cs="Segoe UI"/>
          <w:lang w:eastAsia="en-GB"/>
        </w:rPr>
        <w:t xml:space="preserve">Investment in postgraduate education enables staff to develop advanced clinical, diagnostic, leadership, </w:t>
      </w:r>
      <w:r w:rsidR="00C32BA5" w:rsidRPr="004E4615">
        <w:rPr>
          <w:rFonts w:eastAsia="Times New Roman" w:cs="Segoe UI"/>
          <w:lang w:eastAsia="en-GB"/>
        </w:rPr>
        <w:t>research,</w:t>
      </w:r>
      <w:r w:rsidRPr="004E4615">
        <w:rPr>
          <w:rFonts w:eastAsia="Times New Roman" w:cs="Segoe UI"/>
          <w:lang w:eastAsia="en-GB"/>
        </w:rPr>
        <w:t xml:space="preserve"> and service improvement skills, supporting service transformation, workforce </w:t>
      </w:r>
      <w:r w:rsidR="00C32BA5" w:rsidRPr="004E4615">
        <w:rPr>
          <w:rFonts w:eastAsia="Times New Roman" w:cs="Segoe UI"/>
          <w:lang w:eastAsia="en-GB"/>
        </w:rPr>
        <w:t>sustainability,</w:t>
      </w:r>
      <w:r w:rsidRPr="004E4615">
        <w:rPr>
          <w:rFonts w:eastAsia="Times New Roman" w:cs="Segoe UI"/>
          <w:lang w:eastAsia="en-GB"/>
        </w:rPr>
        <w:t xml:space="preserve"> and improved patient outcomes.</w:t>
      </w:r>
    </w:p>
    <w:p w14:paraId="40C4B266" w14:textId="77777777" w:rsidR="00DF49E3" w:rsidRPr="004E4615" w:rsidRDefault="00DF49E3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3B0310B0" w14:textId="2513D59A" w:rsidR="00282019" w:rsidRPr="004E4615" w:rsidRDefault="00DF49E3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Swansea Bay</w:t>
      </w:r>
      <w:r w:rsidR="0077207D" w:rsidRPr="004E4615">
        <w:rPr>
          <w:rFonts w:eastAsia="Times New Roman" w:cs="Segoe UI"/>
          <w:lang w:eastAsia="en-GB"/>
        </w:rPr>
        <w:t xml:space="preserve"> University Health Board received a total funding allocation of £208,717 from HEIW for 2026/27</w:t>
      </w:r>
      <w:r w:rsidR="00C32BA5" w:rsidRPr="004E4615">
        <w:rPr>
          <w:rFonts w:eastAsia="Times New Roman" w:cs="Segoe UI"/>
          <w:lang w:eastAsia="en-GB"/>
        </w:rPr>
        <w:t xml:space="preserve">. </w:t>
      </w:r>
      <w:r w:rsidR="00282019" w:rsidRPr="004E4615">
        <w:rPr>
          <w:rFonts w:eastAsia="Times New Roman" w:cs="Segoe UI"/>
          <w:lang w:eastAsia="en-GB"/>
        </w:rPr>
        <w:t xml:space="preserve">The funding is shared across </w:t>
      </w:r>
      <w:proofErr w:type="gramStart"/>
      <w:r w:rsidR="00282019" w:rsidRPr="004E4615">
        <w:rPr>
          <w:rFonts w:eastAsia="Times New Roman" w:cs="Segoe UI"/>
          <w:lang w:eastAsia="en-GB"/>
        </w:rPr>
        <w:t>a number of</w:t>
      </w:r>
      <w:proofErr w:type="gramEnd"/>
      <w:r w:rsidR="00282019" w:rsidRPr="004E4615">
        <w:rPr>
          <w:rFonts w:eastAsia="Times New Roman" w:cs="Segoe UI"/>
          <w:lang w:eastAsia="en-GB"/>
        </w:rPr>
        <w:t xml:space="preserve"> professional groups within the Health Board, including AHPs, HCS, Nursing and Midwifery services, and the Primary Care Academy.  As a result, the funding available to support AHP and HCS applications forms only part of the overall HEIW allocation and must be prioritised alongside competing workforce development requirements across the organisation.</w:t>
      </w:r>
    </w:p>
    <w:p w14:paraId="514BFDA8" w14:textId="77777777" w:rsidR="00282019" w:rsidRPr="004E4615" w:rsidRDefault="00282019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515F2AA9" w14:textId="7CBC8E5F" w:rsidR="00422868" w:rsidRPr="004E4615" w:rsidRDefault="00422868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The 2026/27 allocation represents a reduction of £30,336 (12.7%) compared to the 2025/26 HEIW allocation of £239,053, reducing the funding available to support workforce development at a time when demand for postgraduate education and advanced practice opportunities continues to increase.</w:t>
      </w:r>
      <w:r w:rsidR="004E4615">
        <w:rPr>
          <w:rFonts w:eastAsia="Times New Roman" w:cs="Segoe UI"/>
          <w:lang w:eastAsia="en-GB"/>
        </w:rPr>
        <w:t xml:space="preserve"> </w:t>
      </w:r>
      <w:r w:rsidRPr="004E4615">
        <w:rPr>
          <w:rFonts w:eastAsia="Times New Roman" w:cs="Segoe UI"/>
          <w:lang w:eastAsia="en-GB"/>
        </w:rPr>
        <w:t>The 2026/27 application round attracted a significant volume of applications from across AHP and Healthcare Science services, reflecting both workforce aspirations and service requirements to expand advanced clinical and specialist practice capability.</w:t>
      </w:r>
    </w:p>
    <w:p w14:paraId="5DCA23F9" w14:textId="77777777" w:rsidR="00422868" w:rsidRPr="004E4615" w:rsidRDefault="00422868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68988661" w14:textId="34F8E5CE" w:rsidR="00596AF9" w:rsidRPr="004E4615" w:rsidRDefault="00282019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Following the Health Board’s application and prioritisation process, £120,871 was allocated to support AHP and Healthcare Science workforce development </w:t>
      </w:r>
      <w:r w:rsidR="00422868" w:rsidRPr="004E4615">
        <w:rPr>
          <w:rFonts w:eastAsia="Times New Roman" w:cs="Segoe UI"/>
          <w:lang w:eastAsia="en-GB"/>
        </w:rPr>
        <w:t xml:space="preserve">through </w:t>
      </w:r>
      <w:r w:rsidR="00596AF9" w:rsidRPr="004E4615">
        <w:rPr>
          <w:rFonts w:eastAsia="Times New Roman" w:cs="Segoe UI"/>
          <w:lang w:eastAsia="en-GB"/>
        </w:rPr>
        <w:t xml:space="preserve">new master’s programmes, continuation of existing master’s programmes and standalone modules. The funding awarded will support workforce development across a broad range of professional groups and priority areas, including diagnostics, unscheduled care, cancer </w:t>
      </w:r>
      <w:r w:rsidR="00596AF9" w:rsidRPr="004E4615">
        <w:rPr>
          <w:rFonts w:eastAsia="Times New Roman" w:cs="Segoe UI"/>
          <w:lang w:eastAsia="en-GB"/>
        </w:rPr>
        <w:lastRenderedPageBreak/>
        <w:t xml:space="preserve">services, community services, leadership </w:t>
      </w:r>
      <w:r w:rsidR="00C32BA5" w:rsidRPr="004E4615">
        <w:rPr>
          <w:rFonts w:eastAsia="Times New Roman" w:cs="Segoe UI"/>
          <w:lang w:eastAsia="en-GB"/>
        </w:rPr>
        <w:t>development,</w:t>
      </w:r>
      <w:r w:rsidR="00596AF9" w:rsidRPr="004E4615">
        <w:rPr>
          <w:rFonts w:eastAsia="Times New Roman" w:cs="Segoe UI"/>
          <w:lang w:eastAsia="en-GB"/>
        </w:rPr>
        <w:t xml:space="preserve"> and specialist clinical practice.</w:t>
      </w:r>
    </w:p>
    <w:p w14:paraId="3A6C720A" w14:textId="77777777" w:rsidR="00596AF9" w:rsidRPr="004E4615" w:rsidRDefault="00596AF9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0C6D6D9F" w14:textId="5A557CD8" w:rsidR="00EE7686" w:rsidRPr="004E4615" w:rsidRDefault="00596AF9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The value of applications submitted exceeded the funding availabl</w:t>
      </w:r>
      <w:r w:rsidR="00422868" w:rsidRPr="004E4615">
        <w:rPr>
          <w:rFonts w:eastAsia="Times New Roman" w:cs="Segoe UI"/>
          <w:lang w:eastAsia="en-GB"/>
        </w:rPr>
        <w:t xml:space="preserve">e, requiring difficult decisions regarding prioritisation. </w:t>
      </w:r>
      <w:r w:rsidR="008A3F76" w:rsidRPr="004E4615">
        <w:rPr>
          <w:rFonts w:eastAsia="Times New Roman" w:cs="Segoe UI"/>
          <w:lang w:eastAsia="en-GB"/>
        </w:rPr>
        <w:t xml:space="preserve">Whilst a substantial number of applications were supported, </w:t>
      </w:r>
      <w:proofErr w:type="gramStart"/>
      <w:r w:rsidR="008A3F76" w:rsidRPr="004E4615">
        <w:rPr>
          <w:rFonts w:eastAsia="Times New Roman" w:cs="Segoe UI"/>
          <w:lang w:eastAsia="en-GB"/>
        </w:rPr>
        <w:t>a number of</w:t>
      </w:r>
      <w:proofErr w:type="gramEnd"/>
      <w:r w:rsidR="008A3F76" w:rsidRPr="004E4615">
        <w:rPr>
          <w:rFonts w:eastAsia="Times New Roman" w:cs="Segoe UI"/>
          <w:lang w:eastAsia="en-GB"/>
        </w:rPr>
        <w:t xml:space="preserve"> eligible applications could not be funded due to </w:t>
      </w:r>
      <w:r w:rsidR="00422868" w:rsidRPr="004E4615">
        <w:rPr>
          <w:rFonts w:eastAsia="Times New Roman" w:cs="Segoe UI"/>
          <w:lang w:eastAsia="en-GB"/>
        </w:rPr>
        <w:t>the limited resources available</w:t>
      </w:r>
      <w:r w:rsidR="008A3F76" w:rsidRPr="004E4615">
        <w:rPr>
          <w:rFonts w:eastAsia="Times New Roman" w:cs="Segoe UI"/>
          <w:lang w:eastAsia="en-GB"/>
        </w:rPr>
        <w:t>.</w:t>
      </w:r>
      <w:r w:rsidR="00023BA9">
        <w:rPr>
          <w:rFonts w:eastAsia="Times New Roman" w:cs="Segoe UI"/>
          <w:lang w:eastAsia="en-GB"/>
        </w:rPr>
        <w:t xml:space="preserve"> </w:t>
      </w:r>
      <w:r w:rsidR="007A0876" w:rsidRPr="004E4615">
        <w:rPr>
          <w:rFonts w:eastAsia="Times New Roman" w:cs="Segoe UI"/>
          <w:lang w:eastAsia="en-GB"/>
        </w:rPr>
        <w:t xml:space="preserve">Continued investment in advanced and enhanced practice education remains essential to support recruitment, retention, service </w:t>
      </w:r>
      <w:r w:rsidR="00C32BA5" w:rsidRPr="004E4615">
        <w:rPr>
          <w:rFonts w:eastAsia="Times New Roman" w:cs="Segoe UI"/>
          <w:lang w:eastAsia="en-GB"/>
        </w:rPr>
        <w:t>sustainability,</w:t>
      </w:r>
      <w:r w:rsidR="007A0876" w:rsidRPr="004E4615">
        <w:rPr>
          <w:rFonts w:eastAsia="Times New Roman" w:cs="Segoe UI"/>
          <w:lang w:eastAsia="en-GB"/>
        </w:rPr>
        <w:t xml:space="preserve"> and the delivery of </w:t>
      </w:r>
      <w:r w:rsidR="003368CA" w:rsidRPr="004E4615">
        <w:rPr>
          <w:rFonts w:eastAsia="Times New Roman" w:cs="Segoe UI"/>
          <w:lang w:eastAsia="en-GB"/>
        </w:rPr>
        <w:t>high-quality</w:t>
      </w:r>
      <w:r w:rsidR="007A0876" w:rsidRPr="004E4615">
        <w:rPr>
          <w:rFonts w:eastAsia="Times New Roman" w:cs="Segoe UI"/>
          <w:lang w:eastAsia="en-GB"/>
        </w:rPr>
        <w:t xml:space="preserve"> patient care.</w:t>
      </w:r>
      <w:r w:rsidR="00A3575F">
        <w:rPr>
          <w:rFonts w:eastAsia="Times New Roman" w:cs="Segoe UI"/>
          <w:lang w:eastAsia="en-GB"/>
        </w:rPr>
        <w:t xml:space="preserve"> Close working with HEIW will continue to ensure the impact and requirements are built into future planning</w:t>
      </w:r>
      <w:r w:rsidR="00023BA9">
        <w:rPr>
          <w:rFonts w:eastAsia="Times New Roman" w:cs="Segoe UI"/>
          <w:lang w:eastAsia="en-GB"/>
        </w:rPr>
        <w:t xml:space="preserve"> arrangements</w:t>
      </w:r>
      <w:r w:rsidR="00A3575F">
        <w:rPr>
          <w:rFonts w:eastAsia="Times New Roman" w:cs="Segoe UI"/>
          <w:lang w:eastAsia="en-GB"/>
        </w:rPr>
        <w:t>.</w:t>
      </w:r>
    </w:p>
    <w:p w14:paraId="55028376" w14:textId="77777777" w:rsidR="00533246" w:rsidRPr="004E4615" w:rsidRDefault="00533246" w:rsidP="004E4615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24733A73" w14:textId="1FA8DA3E" w:rsidR="00A11C46" w:rsidRDefault="00533246" w:rsidP="00A11C46">
      <w:pPr>
        <w:pStyle w:val="ListParagraph"/>
        <w:numPr>
          <w:ilvl w:val="2"/>
          <w:numId w:val="3"/>
        </w:numPr>
        <w:spacing w:after="0" w:line="240" w:lineRule="auto"/>
        <w:jc w:val="both"/>
        <w:rPr>
          <w:rFonts w:eastAsia="Times New Roman" w:cs="Segoe UI"/>
          <w:b/>
          <w:bCs/>
          <w:lang w:eastAsia="en-GB"/>
        </w:rPr>
      </w:pPr>
      <w:r w:rsidRPr="004E4615">
        <w:rPr>
          <w:rFonts w:eastAsia="Times New Roman" w:cs="Segoe UI"/>
          <w:b/>
          <w:bCs/>
          <w:lang w:eastAsia="en-GB"/>
        </w:rPr>
        <w:t xml:space="preserve">SBUHB joint </w:t>
      </w:r>
      <w:r w:rsidR="007A4733">
        <w:rPr>
          <w:rFonts w:eastAsia="Times New Roman" w:cs="Segoe UI"/>
          <w:b/>
          <w:bCs/>
          <w:lang w:eastAsia="en-GB"/>
        </w:rPr>
        <w:t>S</w:t>
      </w:r>
      <w:r w:rsidRPr="004E4615">
        <w:rPr>
          <w:rFonts w:eastAsia="Times New Roman" w:cs="Segoe UI"/>
          <w:b/>
          <w:bCs/>
          <w:lang w:eastAsia="en-GB"/>
        </w:rPr>
        <w:t xml:space="preserve">trategic, </w:t>
      </w:r>
      <w:r w:rsidR="007A4733">
        <w:rPr>
          <w:rFonts w:eastAsia="Times New Roman" w:cs="Segoe UI"/>
          <w:b/>
          <w:bCs/>
          <w:lang w:eastAsia="en-GB"/>
        </w:rPr>
        <w:t>E</w:t>
      </w:r>
      <w:r w:rsidRPr="004E4615">
        <w:rPr>
          <w:rFonts w:eastAsia="Times New Roman" w:cs="Segoe UI"/>
          <w:b/>
          <w:bCs/>
          <w:lang w:eastAsia="en-GB"/>
        </w:rPr>
        <w:t xml:space="preserve">ducation and </w:t>
      </w:r>
      <w:r w:rsidR="007A4733">
        <w:rPr>
          <w:rFonts w:eastAsia="Times New Roman" w:cs="Segoe UI"/>
          <w:b/>
          <w:bCs/>
          <w:lang w:eastAsia="en-GB"/>
        </w:rPr>
        <w:t>T</w:t>
      </w:r>
      <w:r w:rsidRPr="004E4615">
        <w:rPr>
          <w:rFonts w:eastAsia="Times New Roman" w:cs="Segoe UI"/>
          <w:b/>
          <w:bCs/>
          <w:lang w:eastAsia="en-GB"/>
        </w:rPr>
        <w:t>raining meeting with HEIW</w:t>
      </w:r>
      <w:r w:rsidR="0077360D" w:rsidRPr="004E4615">
        <w:rPr>
          <w:rFonts w:eastAsia="Times New Roman" w:cs="Segoe UI"/>
          <w:b/>
          <w:bCs/>
          <w:lang w:eastAsia="en-GB"/>
        </w:rPr>
        <w:t>.</w:t>
      </w:r>
    </w:p>
    <w:p w14:paraId="15BE9BF5" w14:textId="77777777" w:rsidR="00A11C46" w:rsidRDefault="00A11C46" w:rsidP="00A11C46">
      <w:pPr>
        <w:spacing w:after="0" w:line="240" w:lineRule="auto"/>
        <w:jc w:val="both"/>
        <w:rPr>
          <w:rFonts w:ascii="Segoe UI" w:hAnsi="Segoe UI" w:cs="Segoe UI"/>
          <w:sz w:val="21"/>
          <w:szCs w:val="21"/>
        </w:rPr>
      </w:pPr>
    </w:p>
    <w:p w14:paraId="43A869D0" w14:textId="0EAD7C81" w:rsidR="00A11C46" w:rsidRPr="00A11C46" w:rsidRDefault="00943A59" w:rsidP="00A11C46">
      <w:pPr>
        <w:spacing w:after="0" w:line="240" w:lineRule="auto"/>
        <w:jc w:val="both"/>
        <w:rPr>
          <w:rFonts w:eastAsia="Times New Roman" w:cs="Segoe UI"/>
          <w:b/>
          <w:bCs/>
          <w:lang w:eastAsia="en-GB"/>
        </w:rPr>
      </w:pPr>
      <w:r w:rsidRPr="00A11C46">
        <w:rPr>
          <w:rFonts w:cs="Segoe UI"/>
        </w:rPr>
        <w:t xml:space="preserve">A Joint Strategic Education and Training meeting between </w:t>
      </w:r>
      <w:r w:rsidR="00A11C46" w:rsidRPr="00A11C46">
        <w:rPr>
          <w:rFonts w:cs="Segoe UI"/>
        </w:rPr>
        <w:t>SBUHB</w:t>
      </w:r>
      <w:r w:rsidRPr="00A11C46">
        <w:rPr>
          <w:rFonts w:cs="Segoe UI"/>
        </w:rPr>
        <w:t xml:space="preserve"> and Health Education and Improvement Wales</w:t>
      </w:r>
      <w:r w:rsidR="00A11C46" w:rsidRPr="00A11C46">
        <w:rPr>
          <w:rFonts w:cs="Segoe UI"/>
        </w:rPr>
        <w:t xml:space="preserve"> (HEIW)</w:t>
      </w:r>
      <w:r w:rsidRPr="00A11C46">
        <w:rPr>
          <w:rFonts w:cs="Segoe UI"/>
        </w:rPr>
        <w:t xml:space="preserve"> held on 7 September 2026 and chaired by Alex Howells, Chief Executive of HEIW</w:t>
      </w:r>
      <w:r w:rsidR="00423423">
        <w:rPr>
          <w:rFonts w:cs="Segoe UI"/>
        </w:rPr>
        <w:t xml:space="preserve"> </w:t>
      </w:r>
      <w:r w:rsidRPr="00A11C46">
        <w:rPr>
          <w:rFonts w:cs="Segoe UI"/>
        </w:rPr>
        <w:t xml:space="preserve">provided a formal opportunity to review key workforce, education and training matters and to identify areas requiring continued Executive oversight. </w:t>
      </w:r>
    </w:p>
    <w:p w14:paraId="4BA944D8" w14:textId="77777777" w:rsidR="00A11C46" w:rsidRPr="00A11C46" w:rsidRDefault="00A11C46" w:rsidP="00A11C46">
      <w:pPr>
        <w:spacing w:after="0" w:line="240" w:lineRule="auto"/>
        <w:jc w:val="both"/>
        <w:rPr>
          <w:rFonts w:eastAsia="Times New Roman" w:cs="Segoe UI"/>
          <w:b/>
          <w:bCs/>
          <w:lang w:eastAsia="en-GB"/>
        </w:rPr>
      </w:pPr>
    </w:p>
    <w:p w14:paraId="5AFD4A4B" w14:textId="00B36485" w:rsidR="003E3AF5" w:rsidRDefault="00943A59" w:rsidP="00A11C46">
      <w:pPr>
        <w:spacing w:after="0" w:line="240" w:lineRule="auto"/>
        <w:jc w:val="both"/>
        <w:rPr>
          <w:rFonts w:eastAsia="Times New Roman" w:cs="Segoe UI"/>
          <w:lang w:eastAsia="en-GB"/>
        </w:rPr>
      </w:pPr>
      <w:r w:rsidRPr="00A11C46">
        <w:rPr>
          <w:rFonts w:eastAsia="Times New Roman" w:cs="Segoe UI"/>
          <w:lang w:eastAsia="en-GB"/>
        </w:rPr>
        <w:t xml:space="preserve">From an </w:t>
      </w:r>
      <w:r w:rsidR="00423423">
        <w:rPr>
          <w:rFonts w:eastAsia="Times New Roman" w:cs="Segoe UI"/>
          <w:lang w:eastAsia="en-GB"/>
        </w:rPr>
        <w:t>AHP</w:t>
      </w:r>
      <w:r w:rsidRPr="00A11C46">
        <w:rPr>
          <w:rFonts w:eastAsia="Times New Roman" w:cs="Segoe UI"/>
          <w:lang w:eastAsia="en-GB"/>
        </w:rPr>
        <w:t xml:space="preserve"> and </w:t>
      </w:r>
      <w:r w:rsidR="00423423">
        <w:rPr>
          <w:rFonts w:eastAsia="Times New Roman" w:cs="Segoe UI"/>
          <w:lang w:eastAsia="en-GB"/>
        </w:rPr>
        <w:t>HCS</w:t>
      </w:r>
      <w:r w:rsidRPr="00A11C46">
        <w:rPr>
          <w:rFonts w:eastAsia="Times New Roman" w:cs="Segoe UI"/>
          <w:lang w:eastAsia="en-GB"/>
        </w:rPr>
        <w:t xml:space="preserve"> perspective, the discussion highlighted strategic workforce risks. These included the sustainability of small and fragile specialist services, the risk of losing Welsh-trained graduates where substantive opportunities are not available at the point of qualification, and the need to align future workforce requirements with </w:t>
      </w:r>
      <w:r w:rsidR="00A3575F">
        <w:rPr>
          <w:rFonts w:eastAsia="Times New Roman" w:cs="Segoe UI"/>
          <w:lang w:eastAsia="en-GB"/>
        </w:rPr>
        <w:t>policy change and legislative requirements.</w:t>
      </w:r>
    </w:p>
    <w:p w14:paraId="0EE9897D" w14:textId="77777777" w:rsidR="003E3AF5" w:rsidRDefault="003E3AF5" w:rsidP="00A11C46">
      <w:pPr>
        <w:spacing w:after="0" w:line="240" w:lineRule="auto"/>
        <w:jc w:val="both"/>
        <w:rPr>
          <w:rFonts w:eastAsia="Times New Roman" w:cs="Segoe UI"/>
          <w:lang w:eastAsia="en-GB"/>
        </w:rPr>
      </w:pPr>
    </w:p>
    <w:p w14:paraId="59D1B04E" w14:textId="71773E3C" w:rsidR="00943A59" w:rsidRPr="00A11C46" w:rsidRDefault="003E3AF5" w:rsidP="00A11C46">
      <w:pPr>
        <w:spacing w:after="0" w:line="240" w:lineRule="auto"/>
        <w:jc w:val="both"/>
        <w:rPr>
          <w:rFonts w:eastAsia="Times New Roman" w:cs="Segoe UI"/>
          <w:b/>
          <w:bCs/>
          <w:lang w:eastAsia="en-GB"/>
        </w:rPr>
      </w:pPr>
      <w:r>
        <w:rPr>
          <w:rFonts w:eastAsia="Times New Roman" w:cs="Segoe UI"/>
          <w:lang w:eastAsia="en-GB"/>
        </w:rPr>
        <w:t xml:space="preserve">It was noted that </w:t>
      </w:r>
      <w:r w:rsidR="00943A59" w:rsidRPr="00A11C46">
        <w:rPr>
          <w:rFonts w:eastAsia="Times New Roman" w:cs="Segoe UI"/>
          <w:lang w:eastAsia="en-GB"/>
        </w:rPr>
        <w:t>recruitment is taking place across a range of professions; however, vacancy controls and lengthy approval processes are affecting the Health Board’s ability to recruit at the required time and fully realise the benefits of investment in education and training</w:t>
      </w:r>
      <w:r w:rsidR="00A11C46" w:rsidRPr="00A11C46">
        <w:rPr>
          <w:rFonts w:eastAsia="Times New Roman" w:cs="Segoe UI"/>
          <w:lang w:eastAsia="en-GB"/>
        </w:rPr>
        <w:t>.</w:t>
      </w:r>
    </w:p>
    <w:p w14:paraId="40934DE7" w14:textId="1B12F394" w:rsidR="00943A59" w:rsidRPr="007A4733" w:rsidRDefault="00943A59" w:rsidP="007A4733">
      <w:p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A11C46">
        <w:rPr>
          <w:rFonts w:eastAsia="Times New Roman" w:cs="Segoe UI"/>
          <w:lang w:eastAsia="en-GB"/>
        </w:rPr>
        <w:t xml:space="preserve">The meeting also recognised the breadth of the </w:t>
      </w:r>
      <w:r w:rsidR="00A3575F">
        <w:rPr>
          <w:rFonts w:eastAsia="Times New Roman" w:cs="Segoe UI"/>
          <w:lang w:eastAsia="en-GB"/>
        </w:rPr>
        <w:t>AHP &amp; HSC professions</w:t>
      </w:r>
      <w:r w:rsidRPr="00A11C46">
        <w:rPr>
          <w:rFonts w:eastAsia="Times New Roman" w:cs="Segoe UI"/>
          <w:lang w:eastAsia="en-GB"/>
        </w:rPr>
        <w:t xml:space="preserve"> practice-based learning offer, including placements across community, primary care, virtual ward, care home, third-sector, mental health, learning </w:t>
      </w:r>
      <w:r w:rsidR="00C32BA5" w:rsidRPr="00A11C46">
        <w:rPr>
          <w:rFonts w:eastAsia="Times New Roman" w:cs="Segoe UI"/>
          <w:lang w:eastAsia="en-GB"/>
        </w:rPr>
        <w:t>disability,</w:t>
      </w:r>
      <w:r w:rsidRPr="00A11C46">
        <w:rPr>
          <w:rFonts w:eastAsia="Times New Roman" w:cs="Segoe UI"/>
          <w:lang w:eastAsia="en-GB"/>
        </w:rPr>
        <w:t xml:space="preserve"> and prevention services. </w:t>
      </w:r>
      <w:r w:rsidR="00A64F0E">
        <w:rPr>
          <w:rFonts w:eastAsia="Times New Roman" w:cs="Segoe UI"/>
          <w:lang w:eastAsia="en-GB"/>
        </w:rPr>
        <w:t>HCS</w:t>
      </w:r>
      <w:r w:rsidRPr="00A11C46">
        <w:rPr>
          <w:rFonts w:eastAsia="Times New Roman" w:cs="Segoe UI"/>
          <w:lang w:eastAsia="en-GB"/>
        </w:rPr>
        <w:t xml:space="preserve"> was identified as an area of strength, supported by established training pathways, strong trainee outcomes, regional specialist services and “grow your own” workforce models.</w:t>
      </w:r>
      <w:r w:rsidR="00F70565">
        <w:rPr>
          <w:rFonts w:eastAsia="Times New Roman" w:cs="Segoe UI"/>
          <w:lang w:eastAsia="en-GB"/>
        </w:rPr>
        <w:t xml:space="preserve"> </w:t>
      </w:r>
      <w:r w:rsidRPr="007A4733">
        <w:rPr>
          <w:rFonts w:eastAsia="Times New Roman" w:cs="Segoe UI"/>
          <w:lang w:eastAsia="en-GB"/>
        </w:rPr>
        <w:t xml:space="preserve">The key priorities arising for AHP and Healthcare Science </w:t>
      </w:r>
      <w:r w:rsidR="00F70565">
        <w:rPr>
          <w:rFonts w:eastAsia="Times New Roman" w:cs="Segoe UI"/>
          <w:lang w:eastAsia="en-GB"/>
        </w:rPr>
        <w:t>professions</w:t>
      </w:r>
      <w:r w:rsidRPr="007A4733">
        <w:rPr>
          <w:rFonts w:eastAsia="Times New Roman" w:cs="Segoe UI"/>
          <w:lang w:eastAsia="en-GB"/>
        </w:rPr>
        <w:t xml:space="preserve"> are to:</w:t>
      </w:r>
    </w:p>
    <w:p w14:paraId="6E206524" w14:textId="7678DADD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t>L</w:t>
      </w:r>
      <w:r w:rsidR="00943A59" w:rsidRPr="007A4733">
        <w:rPr>
          <w:rFonts w:eastAsia="Times New Roman" w:cs="Segoe UI"/>
          <w:lang w:eastAsia="en-GB"/>
        </w:rPr>
        <w:t xml:space="preserve">ink workforce planning and education commissioning directly to future clinical service and Care Group operating </w:t>
      </w:r>
      <w:r w:rsidR="00B973B1" w:rsidRPr="007A4733">
        <w:rPr>
          <w:rFonts w:eastAsia="Times New Roman" w:cs="Segoe UI"/>
          <w:lang w:eastAsia="en-GB"/>
        </w:rPr>
        <w:t>models.</w:t>
      </w:r>
    </w:p>
    <w:p w14:paraId="6BD50831" w14:textId="35B3EDF8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lastRenderedPageBreak/>
        <w:t>P</w:t>
      </w:r>
      <w:r w:rsidR="00943A59" w:rsidRPr="007A4733">
        <w:rPr>
          <w:rFonts w:eastAsia="Times New Roman" w:cs="Segoe UI"/>
          <w:lang w:eastAsia="en-GB"/>
        </w:rPr>
        <w:t xml:space="preserve">rotect graduate and specialist recruitment pipelines by improving alignment between HEIW commissioning, vacancy </w:t>
      </w:r>
      <w:r w:rsidR="00C32BA5" w:rsidRPr="007A4733">
        <w:rPr>
          <w:rFonts w:eastAsia="Times New Roman" w:cs="Segoe UI"/>
          <w:lang w:eastAsia="en-GB"/>
        </w:rPr>
        <w:t>approval,</w:t>
      </w:r>
      <w:r w:rsidR="00943A59" w:rsidRPr="007A4733">
        <w:rPr>
          <w:rFonts w:eastAsia="Times New Roman" w:cs="Segoe UI"/>
          <w:lang w:eastAsia="en-GB"/>
        </w:rPr>
        <w:t xml:space="preserve"> and recruitment </w:t>
      </w:r>
      <w:r w:rsidR="00B973B1" w:rsidRPr="007A4733">
        <w:rPr>
          <w:rFonts w:eastAsia="Times New Roman" w:cs="Segoe UI"/>
          <w:lang w:eastAsia="en-GB"/>
        </w:rPr>
        <w:t>timescales.</w:t>
      </w:r>
    </w:p>
    <w:p w14:paraId="66A83237" w14:textId="3CD22593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t>D</w:t>
      </w:r>
      <w:r w:rsidR="00943A59" w:rsidRPr="007A4733">
        <w:rPr>
          <w:rFonts w:eastAsia="Times New Roman" w:cs="Segoe UI"/>
          <w:lang w:eastAsia="en-GB"/>
        </w:rPr>
        <w:t xml:space="preserve">evelop sustainable workforce solutions for fragile and highly specialised </w:t>
      </w:r>
      <w:r w:rsidR="00B973B1" w:rsidRPr="007A4733">
        <w:rPr>
          <w:rFonts w:eastAsia="Times New Roman" w:cs="Segoe UI"/>
          <w:lang w:eastAsia="en-GB"/>
        </w:rPr>
        <w:t>services.</w:t>
      </w:r>
    </w:p>
    <w:p w14:paraId="5D9B4FE8" w14:textId="23082243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t>S</w:t>
      </w:r>
      <w:r w:rsidR="00943A59" w:rsidRPr="007A4733">
        <w:rPr>
          <w:rFonts w:eastAsia="Times New Roman" w:cs="Segoe UI"/>
          <w:lang w:eastAsia="en-GB"/>
        </w:rPr>
        <w:t xml:space="preserve">trengthen succession planning, </w:t>
      </w:r>
      <w:r w:rsidR="00C32BA5" w:rsidRPr="007A4733">
        <w:rPr>
          <w:rFonts w:eastAsia="Times New Roman" w:cs="Segoe UI"/>
          <w:lang w:eastAsia="en-GB"/>
        </w:rPr>
        <w:t>retention,</w:t>
      </w:r>
      <w:r w:rsidR="00943A59" w:rsidRPr="007A4733">
        <w:rPr>
          <w:rFonts w:eastAsia="Times New Roman" w:cs="Segoe UI"/>
          <w:lang w:eastAsia="en-GB"/>
        </w:rPr>
        <w:t xml:space="preserve"> and workforce </w:t>
      </w:r>
      <w:r w:rsidR="00B973B1" w:rsidRPr="007A4733">
        <w:rPr>
          <w:rFonts w:eastAsia="Times New Roman" w:cs="Segoe UI"/>
          <w:lang w:eastAsia="en-GB"/>
        </w:rPr>
        <w:t>resilience.</w:t>
      </w:r>
    </w:p>
    <w:p w14:paraId="2A554EA6" w14:textId="34B14AD0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t>E</w:t>
      </w:r>
      <w:r w:rsidR="00943A59" w:rsidRPr="007A4733">
        <w:rPr>
          <w:rFonts w:eastAsia="Times New Roman" w:cs="Segoe UI"/>
          <w:lang w:eastAsia="en-GB"/>
        </w:rPr>
        <w:t>nsure education, training and placement requirements are embedded within Care Group transformation plans</w:t>
      </w:r>
    </w:p>
    <w:p w14:paraId="25B70834" w14:textId="791AE9B4" w:rsidR="00943A59" w:rsidRPr="007A4733" w:rsidRDefault="00494DF8" w:rsidP="007A4733">
      <w:pPr>
        <w:numPr>
          <w:ilvl w:val="0"/>
          <w:numId w:val="2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>
        <w:rPr>
          <w:rFonts w:eastAsia="Times New Roman" w:cs="Segoe UI"/>
          <w:lang w:eastAsia="en-GB"/>
        </w:rPr>
        <w:t>C</w:t>
      </w:r>
      <w:r w:rsidR="00943A59" w:rsidRPr="007A4733">
        <w:rPr>
          <w:rFonts w:eastAsia="Times New Roman" w:cs="Segoe UI"/>
          <w:lang w:eastAsia="en-GB"/>
        </w:rPr>
        <w:t xml:space="preserve">ontinue to expand and promote high-quality learning opportunities across community, primary care, </w:t>
      </w:r>
      <w:r w:rsidR="00C32BA5" w:rsidRPr="007A4733">
        <w:rPr>
          <w:rFonts w:eastAsia="Times New Roman" w:cs="Segoe UI"/>
          <w:lang w:eastAsia="en-GB"/>
        </w:rPr>
        <w:t>prevention,</w:t>
      </w:r>
      <w:r w:rsidR="00943A59" w:rsidRPr="007A4733">
        <w:rPr>
          <w:rFonts w:eastAsia="Times New Roman" w:cs="Segoe UI"/>
          <w:lang w:eastAsia="en-GB"/>
        </w:rPr>
        <w:t xml:space="preserve"> and other non-acute settings.</w:t>
      </w:r>
    </w:p>
    <w:p w14:paraId="79C27AD2" w14:textId="53AE5BBF" w:rsidR="00943A59" w:rsidRPr="007A4733" w:rsidRDefault="00943A59" w:rsidP="007A4733">
      <w:p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7A4733">
        <w:rPr>
          <w:rFonts w:eastAsia="Times New Roman" w:cs="Segoe UI"/>
          <w:lang w:eastAsia="en-GB"/>
        </w:rPr>
        <w:t xml:space="preserve">These priorities will require continued joint working between the </w:t>
      </w:r>
      <w:r w:rsidR="00A3575F">
        <w:rPr>
          <w:rFonts w:eastAsia="Times New Roman" w:cs="Segoe UI"/>
          <w:lang w:eastAsia="en-GB"/>
        </w:rPr>
        <w:t>professions</w:t>
      </w:r>
      <w:r w:rsidRPr="007A4733">
        <w:rPr>
          <w:rFonts w:eastAsia="Times New Roman" w:cs="Segoe UI"/>
          <w:lang w:eastAsia="en-GB"/>
        </w:rPr>
        <w:t xml:space="preserve"> and HEIW, supported by appropriate Executive oversight, to ensure that education investment is translated into sustainable workforce capacity and aligned with the Health Board’s future </w:t>
      </w:r>
      <w:r w:rsidR="00F70565">
        <w:rPr>
          <w:rFonts w:eastAsia="Times New Roman" w:cs="Segoe UI"/>
          <w:lang w:eastAsia="en-GB"/>
        </w:rPr>
        <w:t xml:space="preserve">clinical </w:t>
      </w:r>
      <w:r w:rsidRPr="007A4733">
        <w:rPr>
          <w:rFonts w:eastAsia="Times New Roman" w:cs="Segoe UI"/>
          <w:lang w:eastAsia="en-GB"/>
        </w:rPr>
        <w:t>service model.</w:t>
      </w:r>
    </w:p>
    <w:p w14:paraId="751F8FEC" w14:textId="028DCC8D" w:rsidR="0077360D" w:rsidRPr="003F6535" w:rsidRDefault="00C91894" w:rsidP="003F6535">
      <w:pPr>
        <w:pStyle w:val="ListParagraph"/>
        <w:numPr>
          <w:ilvl w:val="2"/>
          <w:numId w:val="3"/>
        </w:numPr>
        <w:spacing w:line="300" w:lineRule="atLeast"/>
        <w:jc w:val="both"/>
        <w:rPr>
          <w:rFonts w:eastAsia="Times New Roman" w:cs="Segoe UI"/>
          <w:b/>
          <w:bCs/>
          <w:lang w:eastAsia="en-GB"/>
        </w:rPr>
      </w:pPr>
      <w:r w:rsidRPr="003F6535">
        <w:rPr>
          <w:rFonts w:eastAsia="Times New Roman" w:cs="Segoe UI"/>
          <w:b/>
          <w:bCs/>
          <w:lang w:eastAsia="en-GB"/>
        </w:rPr>
        <w:t xml:space="preserve">AHP &amp; HCS </w:t>
      </w:r>
      <w:r w:rsidR="0077360D" w:rsidRPr="003F6535">
        <w:rPr>
          <w:rFonts w:eastAsia="Times New Roman" w:cs="Calibri"/>
          <w:b/>
          <w:bCs/>
          <w:lang w:eastAsia="en-GB"/>
        </w:rPr>
        <w:t>Workforce Key Performance Indicators</w:t>
      </w:r>
    </w:p>
    <w:p w14:paraId="56E157FB" w14:textId="09E2265A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lang w:eastAsia="en-GB"/>
        </w:rPr>
      </w:pPr>
      <w:r w:rsidRPr="004E4615">
        <w:rPr>
          <w:rFonts w:eastAsia="Times New Roman" w:cs="Calibri"/>
          <w:lang w:eastAsia="en-GB"/>
        </w:rPr>
        <w:t xml:space="preserve">AHP and HCS Professional Groups exceed SBUHB targets for key workforce compliance performance </w:t>
      </w:r>
      <w:r w:rsidR="00B973B1" w:rsidRPr="004E4615">
        <w:rPr>
          <w:rFonts w:eastAsia="Times New Roman" w:cs="Calibri"/>
          <w:lang w:eastAsia="en-GB"/>
        </w:rPr>
        <w:t>indicators,</w:t>
      </w:r>
      <w:r w:rsidR="00C91894" w:rsidRPr="004E4615">
        <w:rPr>
          <w:rFonts w:eastAsia="Times New Roman" w:cs="Calibri"/>
          <w:lang w:eastAsia="en-GB"/>
        </w:rPr>
        <w:t xml:space="preserve"> and these are highlighted below. </w:t>
      </w:r>
    </w:p>
    <w:p w14:paraId="1DF90CC8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766C0AE7" w14:textId="77777777" w:rsidR="0077360D" w:rsidRPr="003F653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u w:val="single"/>
          <w:lang w:eastAsia="en-GB"/>
        </w:rPr>
      </w:pPr>
      <w:r w:rsidRPr="003F6535">
        <w:rPr>
          <w:rFonts w:eastAsia="Times New Roman" w:cs="Calibri"/>
          <w:b/>
          <w:bCs/>
          <w:u w:val="single"/>
          <w:lang w:eastAsia="en-GB"/>
        </w:rPr>
        <w:t>PADR Compliance</w:t>
      </w:r>
    </w:p>
    <w:p w14:paraId="29EB2D3D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3E335799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Times New Roman"/>
          <w:noProof/>
          <w:lang w:eastAsia="en-GB"/>
        </w:rPr>
        <w:drawing>
          <wp:inline distT="0" distB="0" distL="0" distR="0" wp14:anchorId="2DD67524" wp14:editId="1758A146">
            <wp:extent cx="4563745" cy="2043486"/>
            <wp:effectExtent l="0" t="0" r="8255" b="13970"/>
            <wp:docPr id="12514330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30D0F69-E226-D808-D8D6-F072F5FBE0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2B46BA3" w14:textId="77777777" w:rsidR="0077360D" w:rsidRPr="004E4615" w:rsidRDefault="0077360D" w:rsidP="004E4615">
      <w:p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b/>
          <w:bCs/>
          <w:lang w:eastAsia="en-GB"/>
        </w:rPr>
        <w:t>Key Messages</w:t>
      </w:r>
    </w:p>
    <w:p w14:paraId="6E922AFF" w14:textId="001FEC62" w:rsidR="0077360D" w:rsidRPr="004E4615" w:rsidRDefault="0077360D" w:rsidP="004E4615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PADR compliance has exceeded the 85% target in four of the five reporting months, demonstrating </w:t>
      </w:r>
      <w:r w:rsidR="003A4B9D" w:rsidRPr="004E4615">
        <w:rPr>
          <w:rFonts w:eastAsia="Times New Roman" w:cs="Segoe UI"/>
          <w:lang w:eastAsia="en-GB"/>
        </w:rPr>
        <w:t>robust performance</w:t>
      </w:r>
      <w:r w:rsidRPr="004E4615">
        <w:rPr>
          <w:rFonts w:eastAsia="Times New Roman" w:cs="Segoe UI"/>
          <w:lang w:eastAsia="en-GB"/>
        </w:rPr>
        <w:t xml:space="preserve"> across AHP and Healthcare Science </w:t>
      </w:r>
      <w:r w:rsidR="008B09CB">
        <w:rPr>
          <w:rFonts w:eastAsia="Times New Roman" w:cs="Segoe UI"/>
          <w:lang w:eastAsia="en-GB"/>
        </w:rPr>
        <w:t>professions</w:t>
      </w:r>
      <w:r w:rsidRPr="004E4615">
        <w:rPr>
          <w:rFonts w:eastAsia="Times New Roman" w:cs="Segoe UI"/>
          <w:lang w:eastAsia="en-GB"/>
        </w:rPr>
        <w:t>.</w:t>
      </w:r>
    </w:p>
    <w:p w14:paraId="78887038" w14:textId="253E980A" w:rsidR="0077360D" w:rsidRPr="004E4615" w:rsidRDefault="0077360D" w:rsidP="004E4615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Compliance has remained consistently above target since May 2026, indicating effective management and engagement with appraisal.</w:t>
      </w:r>
    </w:p>
    <w:p w14:paraId="254610A7" w14:textId="77777777" w:rsidR="0077360D" w:rsidRPr="004E4615" w:rsidRDefault="0077360D" w:rsidP="004E4615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The overall trend demonstrates a sustained improvement in appraisal completion rates, supporting workforce development, objective setting, and professional accountability.</w:t>
      </w:r>
    </w:p>
    <w:p w14:paraId="32CD89D9" w14:textId="634D447D" w:rsidR="003F6535" w:rsidRPr="00932A72" w:rsidRDefault="0077360D" w:rsidP="00932A72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lastRenderedPageBreak/>
        <w:t>High levels of PADR compliance provide assurance that staff are receiving regular performance and development discussions, supporting workforce engagement, succession planning, and service improvement.</w:t>
      </w:r>
    </w:p>
    <w:p w14:paraId="12C321AF" w14:textId="77777777" w:rsidR="0077360D" w:rsidRPr="003F653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u w:val="single"/>
          <w:lang w:eastAsia="en-GB"/>
        </w:rPr>
      </w:pPr>
      <w:r w:rsidRPr="003F6535">
        <w:rPr>
          <w:rFonts w:eastAsia="Times New Roman" w:cs="Calibri"/>
          <w:b/>
          <w:bCs/>
          <w:u w:val="single"/>
          <w:lang w:eastAsia="en-GB"/>
        </w:rPr>
        <w:t>Sickness and Absence</w:t>
      </w:r>
    </w:p>
    <w:p w14:paraId="62EFFA02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2B57165A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Times New Roman"/>
          <w:noProof/>
          <w:lang w:eastAsia="en-GB"/>
        </w:rPr>
        <w:drawing>
          <wp:inline distT="0" distB="0" distL="0" distR="0" wp14:anchorId="3E2FC0F0" wp14:editId="49098E1B">
            <wp:extent cx="4572000" cy="2122999"/>
            <wp:effectExtent l="0" t="0" r="0" b="10795"/>
            <wp:docPr id="5632589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4C09563-C10F-0CA6-B7AD-9963778CCF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6269F33" w14:textId="77777777" w:rsidR="0077360D" w:rsidRPr="004E4615" w:rsidRDefault="0077360D" w:rsidP="004E4615">
      <w:pPr>
        <w:spacing w:before="100" w:beforeAutospacing="1" w:after="100" w:afterAutospacing="1" w:line="300" w:lineRule="atLeast"/>
        <w:jc w:val="both"/>
        <w:rPr>
          <w:rFonts w:eastAsia="Times New Roman" w:cs="Segoe UI"/>
          <w:b/>
          <w:bCs/>
          <w:lang w:eastAsia="en-GB"/>
        </w:rPr>
      </w:pPr>
      <w:r w:rsidRPr="004E4615">
        <w:rPr>
          <w:rFonts w:eastAsia="Times New Roman" w:cs="Segoe UI"/>
          <w:b/>
          <w:bCs/>
          <w:lang w:eastAsia="en-GB"/>
        </w:rPr>
        <w:t>Key Messages</w:t>
      </w:r>
    </w:p>
    <w:p w14:paraId="62B61BFA" w14:textId="77777777" w:rsidR="0077360D" w:rsidRPr="004E4615" w:rsidRDefault="0077360D" w:rsidP="004E4615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Sickness absence remains below the organisational target of 5% throughout the reporting period, providing assurance that absence levels are being effectively managed.</w:t>
      </w:r>
    </w:p>
    <w:p w14:paraId="7F5C255A" w14:textId="77777777" w:rsidR="0077360D" w:rsidRPr="004E4615" w:rsidRDefault="0077360D" w:rsidP="004E4615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Absence has fluctuated between approximately 3.4% and 4.7%, remaining consistently within the acceptable range.</w:t>
      </w:r>
    </w:p>
    <w:p w14:paraId="5E296C48" w14:textId="5926F341" w:rsidR="00932A72" w:rsidRPr="00F70565" w:rsidRDefault="0077360D" w:rsidP="00E62C8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lang w:eastAsia="en-GB"/>
        </w:rPr>
      </w:pPr>
      <w:r w:rsidRPr="00F70565">
        <w:rPr>
          <w:rFonts w:eastAsia="Times New Roman" w:cs="Segoe UI"/>
          <w:lang w:eastAsia="en-GB"/>
        </w:rPr>
        <w:t>Current sickness levels compare favourably with the 5% benchmark and provide confidence that AHP and Healthcare Science services continue to maintain workforce resilience and service continuity.</w:t>
      </w:r>
    </w:p>
    <w:p w14:paraId="01879D69" w14:textId="333FF2E6" w:rsidR="0077360D" w:rsidRDefault="00B772E0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u w:val="single"/>
          <w:lang w:eastAsia="en-GB"/>
        </w:rPr>
      </w:pPr>
      <w:r>
        <w:rPr>
          <w:rFonts w:eastAsia="Times New Roman" w:cs="Calibri"/>
          <w:b/>
          <w:bCs/>
          <w:u w:val="single"/>
          <w:lang w:eastAsia="en-GB"/>
        </w:rPr>
        <w:t xml:space="preserve">Mandatory </w:t>
      </w:r>
      <w:r w:rsidR="0077360D" w:rsidRPr="003F6535">
        <w:rPr>
          <w:rFonts w:eastAsia="Times New Roman" w:cs="Calibri"/>
          <w:b/>
          <w:bCs/>
          <w:u w:val="single"/>
          <w:lang w:eastAsia="en-GB"/>
        </w:rPr>
        <w:t xml:space="preserve">Training Compliance </w:t>
      </w:r>
    </w:p>
    <w:p w14:paraId="6BD78CEA" w14:textId="77777777" w:rsidR="008B09CB" w:rsidRPr="003F6535" w:rsidRDefault="008B09CB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u w:val="single"/>
          <w:lang w:eastAsia="en-GB"/>
        </w:rPr>
      </w:pPr>
    </w:p>
    <w:p w14:paraId="2133EA80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Times New Roman"/>
          <w:noProof/>
          <w:lang w:eastAsia="en-GB"/>
        </w:rPr>
        <w:drawing>
          <wp:inline distT="0" distB="0" distL="0" distR="0" wp14:anchorId="0E9D7043" wp14:editId="48E874A2">
            <wp:extent cx="4572000" cy="1995777"/>
            <wp:effectExtent l="0" t="0" r="0" b="5080"/>
            <wp:docPr id="16046081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B58A4D5-1050-426C-B477-0E7B164305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FB7E938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5C09B7A5" w14:textId="77777777" w:rsidR="008B09CB" w:rsidRDefault="008B09CB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2D7AF671" w14:textId="4745CE57" w:rsidR="0077360D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Calibri"/>
          <w:b/>
          <w:bCs/>
          <w:lang w:eastAsia="en-GB"/>
        </w:rPr>
        <w:lastRenderedPageBreak/>
        <w:t>Key Messages</w:t>
      </w:r>
    </w:p>
    <w:p w14:paraId="06D46402" w14:textId="77777777" w:rsidR="008B09CB" w:rsidRPr="004E4615" w:rsidRDefault="008B09CB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614D1282" w14:textId="77777777" w:rsidR="0077360D" w:rsidRPr="004E4615" w:rsidRDefault="0077360D" w:rsidP="004E4615">
      <w:pPr>
        <w:numPr>
          <w:ilvl w:val="0"/>
          <w:numId w:val="16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Training compliance remains consistently strong, exceeding the 85% target in every month reported. </w:t>
      </w:r>
    </w:p>
    <w:p w14:paraId="64CBEDAD" w14:textId="41233881" w:rsidR="0077360D" w:rsidRPr="004E4615" w:rsidRDefault="0077360D" w:rsidP="004E4615">
      <w:pPr>
        <w:numPr>
          <w:ilvl w:val="0"/>
          <w:numId w:val="16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Compliance</w:t>
      </w:r>
      <w:r w:rsidR="00571ABA">
        <w:rPr>
          <w:rFonts w:eastAsia="Times New Roman" w:cs="Segoe UI"/>
          <w:lang w:eastAsia="en-GB"/>
        </w:rPr>
        <w:t xml:space="preserve"> </w:t>
      </w:r>
      <w:r w:rsidRPr="004E4615">
        <w:rPr>
          <w:rFonts w:eastAsia="Times New Roman" w:cs="Segoe UI"/>
          <w:lang w:eastAsia="en-GB"/>
        </w:rPr>
        <w:t xml:space="preserve">maintained at </w:t>
      </w:r>
      <w:r w:rsidR="004F7367" w:rsidRPr="004E4615">
        <w:rPr>
          <w:rFonts w:eastAsia="Times New Roman" w:cs="Segoe UI"/>
          <w:lang w:eastAsia="en-GB"/>
        </w:rPr>
        <w:t>91-92</w:t>
      </w:r>
      <w:r w:rsidRPr="004E4615">
        <w:rPr>
          <w:rFonts w:eastAsia="Times New Roman" w:cs="Segoe UI"/>
          <w:lang w:eastAsia="en-GB"/>
        </w:rPr>
        <w:t xml:space="preserve">%, representing a performance margin of around 6-7 percentage points above target. </w:t>
      </w:r>
    </w:p>
    <w:p w14:paraId="7E69E7A0" w14:textId="77777777" w:rsidR="0077360D" w:rsidRPr="004E4615" w:rsidRDefault="0077360D" w:rsidP="004E4615">
      <w:pPr>
        <w:numPr>
          <w:ilvl w:val="0"/>
          <w:numId w:val="16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Performance demonstrates a stable and mature compliance culture across AHP and Healthcare Science services with minimal month-to-month variation. </w:t>
      </w:r>
    </w:p>
    <w:p w14:paraId="3E91F679" w14:textId="77777777" w:rsidR="0077360D" w:rsidRPr="004E4615" w:rsidRDefault="0077360D" w:rsidP="004E4615">
      <w:pPr>
        <w:numPr>
          <w:ilvl w:val="0"/>
          <w:numId w:val="16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Sustained compliance above target provides assurance that statutory and mandatory training requirements are being effectively managed. </w:t>
      </w:r>
    </w:p>
    <w:p w14:paraId="47307460" w14:textId="1B9AC680" w:rsidR="0077360D" w:rsidRPr="004E4615" w:rsidRDefault="0077360D" w:rsidP="004E4615">
      <w:pPr>
        <w:numPr>
          <w:ilvl w:val="0"/>
          <w:numId w:val="16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>The consistency of performance suggests that local governance, monitoring, and workforce engagement arrangements are operating effectively.</w:t>
      </w:r>
    </w:p>
    <w:p w14:paraId="28ED5613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340BF085" w14:textId="77777777" w:rsidR="0077360D" w:rsidRPr="003F653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u w:val="single"/>
          <w:lang w:eastAsia="en-GB"/>
        </w:rPr>
      </w:pPr>
      <w:r w:rsidRPr="003F6535">
        <w:rPr>
          <w:rFonts w:eastAsia="Times New Roman" w:cs="Calibri"/>
          <w:b/>
          <w:bCs/>
          <w:u w:val="single"/>
          <w:lang w:eastAsia="en-GB"/>
        </w:rPr>
        <w:t xml:space="preserve">Turnover </w:t>
      </w:r>
    </w:p>
    <w:p w14:paraId="4916DB15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0CDF9A63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Times New Roman"/>
          <w:noProof/>
          <w:lang w:eastAsia="en-GB"/>
        </w:rPr>
        <w:drawing>
          <wp:inline distT="0" distB="0" distL="0" distR="0" wp14:anchorId="18CF50D5" wp14:editId="51ED0806">
            <wp:extent cx="5181600" cy="2257425"/>
            <wp:effectExtent l="0" t="0" r="0" b="9525"/>
            <wp:docPr id="6011268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CFDC857-DCE7-3437-CCBC-1E0F527751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9326EB3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</w:p>
    <w:p w14:paraId="1ECDC5B6" w14:textId="77777777" w:rsidR="0077360D" w:rsidRPr="004E4615" w:rsidRDefault="0077360D" w:rsidP="004E4615">
      <w:pPr>
        <w:spacing w:after="0" w:line="240" w:lineRule="auto"/>
        <w:jc w:val="both"/>
        <w:textAlignment w:val="baseline"/>
        <w:rPr>
          <w:rFonts w:eastAsia="Times New Roman" w:cs="Calibri"/>
          <w:b/>
          <w:bCs/>
          <w:lang w:eastAsia="en-GB"/>
        </w:rPr>
      </w:pPr>
      <w:r w:rsidRPr="004E4615">
        <w:rPr>
          <w:rFonts w:eastAsia="Times New Roman" w:cs="Calibri"/>
          <w:b/>
          <w:bCs/>
          <w:lang w:eastAsia="en-GB"/>
        </w:rPr>
        <w:t xml:space="preserve">Key Messages </w:t>
      </w:r>
    </w:p>
    <w:p w14:paraId="5726942F" w14:textId="77777777" w:rsidR="0077360D" w:rsidRPr="004E4615" w:rsidRDefault="0077360D" w:rsidP="004E4615">
      <w:pPr>
        <w:numPr>
          <w:ilvl w:val="0"/>
          <w:numId w:val="17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Turnover remains consistently low across AHP and Healthcare Science services. </w:t>
      </w:r>
    </w:p>
    <w:p w14:paraId="7E0FAA55" w14:textId="3928D1D7" w:rsidR="0077360D" w:rsidRPr="004E4615" w:rsidRDefault="0077360D" w:rsidP="6D726176">
      <w:pPr>
        <w:numPr>
          <w:ilvl w:val="0"/>
          <w:numId w:val="17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6D726176">
        <w:rPr>
          <w:rFonts w:eastAsia="Times New Roman" w:cs="Segoe UI"/>
          <w:lang w:eastAsia="en-GB"/>
        </w:rPr>
        <w:t xml:space="preserve">The </w:t>
      </w:r>
      <w:r w:rsidR="15BFFD08" w:rsidRPr="6D726176">
        <w:rPr>
          <w:rFonts w:eastAsia="Times New Roman" w:cs="Segoe UI"/>
          <w:lang w:eastAsia="en-GB"/>
        </w:rPr>
        <w:t>twelve-month</w:t>
      </w:r>
      <w:r w:rsidRPr="6D726176">
        <w:rPr>
          <w:rFonts w:eastAsia="Times New Roman" w:cs="Segoe UI"/>
          <w:lang w:eastAsia="en-GB"/>
        </w:rPr>
        <w:t xml:space="preserve"> rolling average demonstrates sustained workforce stability. </w:t>
      </w:r>
    </w:p>
    <w:p w14:paraId="3A068839" w14:textId="1C9AC2D4" w:rsidR="0077360D" w:rsidRPr="004E4615" w:rsidRDefault="0077360D" w:rsidP="004E4615">
      <w:pPr>
        <w:numPr>
          <w:ilvl w:val="0"/>
          <w:numId w:val="17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No significant deterioration in retention has </w:t>
      </w:r>
      <w:r w:rsidR="00632CA1">
        <w:rPr>
          <w:rFonts w:eastAsia="Times New Roman" w:cs="Segoe UI"/>
          <w:lang w:eastAsia="en-GB"/>
        </w:rPr>
        <w:t xml:space="preserve">been </w:t>
      </w:r>
      <w:r w:rsidRPr="004E4615">
        <w:rPr>
          <w:rFonts w:eastAsia="Times New Roman" w:cs="Segoe UI"/>
          <w:lang w:eastAsia="en-GB"/>
        </w:rPr>
        <w:t xml:space="preserve">observed. </w:t>
      </w:r>
    </w:p>
    <w:p w14:paraId="27A4CA9A" w14:textId="77777777" w:rsidR="0077360D" w:rsidRPr="004E4615" w:rsidRDefault="0077360D" w:rsidP="004E4615">
      <w:pPr>
        <w:numPr>
          <w:ilvl w:val="0"/>
          <w:numId w:val="17"/>
        </w:numPr>
        <w:spacing w:after="0" w:line="300" w:lineRule="atLeast"/>
        <w:contextualSpacing/>
        <w:jc w:val="both"/>
        <w:rPr>
          <w:rFonts w:eastAsia="Times New Roman" w:cs="Segoe UI"/>
          <w:lang w:eastAsia="en-GB"/>
        </w:rPr>
      </w:pPr>
      <w:r w:rsidRPr="004E4615">
        <w:rPr>
          <w:rFonts w:eastAsia="Times New Roman" w:cs="Segoe UI"/>
          <w:lang w:eastAsia="en-GB"/>
        </w:rPr>
        <w:t xml:space="preserve">Workforce capacity has remained stable at approximately 1,300 WTE. </w:t>
      </w:r>
    </w:p>
    <w:p w14:paraId="1B6629EE" w14:textId="77777777" w:rsidR="0077360D" w:rsidRDefault="0077360D" w:rsidP="004E4615">
      <w:pPr>
        <w:spacing w:after="0" w:line="240" w:lineRule="auto"/>
        <w:ind w:left="720"/>
        <w:contextualSpacing/>
        <w:jc w:val="both"/>
        <w:rPr>
          <w:rFonts w:cstheme="minorHAnsi"/>
          <w:b/>
        </w:rPr>
      </w:pPr>
    </w:p>
    <w:p w14:paraId="3B348983" w14:textId="698C41DA" w:rsidR="003F6535" w:rsidRPr="003F6535" w:rsidRDefault="003F6535" w:rsidP="003F6535">
      <w:pPr>
        <w:pStyle w:val="ListParagraph"/>
        <w:numPr>
          <w:ilvl w:val="2"/>
          <w:numId w:val="3"/>
        </w:numPr>
        <w:spacing w:line="300" w:lineRule="atLeast"/>
        <w:jc w:val="both"/>
        <w:rPr>
          <w:rFonts w:eastAsia="Times New Roman" w:cs="Segoe UI"/>
          <w:b/>
          <w:bCs/>
          <w:lang w:eastAsia="en-GB"/>
        </w:rPr>
      </w:pPr>
      <w:r w:rsidRPr="003F6535">
        <w:rPr>
          <w:rFonts w:eastAsia="Times New Roman" w:cs="Segoe UI"/>
          <w:b/>
          <w:bCs/>
          <w:lang w:eastAsia="en-GB"/>
        </w:rPr>
        <w:t xml:space="preserve">AHP &amp; HCS Workforce Review </w:t>
      </w:r>
    </w:p>
    <w:p w14:paraId="5E8B5431" w14:textId="77777777" w:rsidR="003F6535" w:rsidRDefault="003F6535" w:rsidP="003F6535">
      <w:pPr>
        <w:pStyle w:val="ListParagraph"/>
        <w:spacing w:line="300" w:lineRule="atLeast"/>
        <w:ind w:left="1440"/>
        <w:jc w:val="both"/>
        <w:rPr>
          <w:rFonts w:eastAsia="Times New Roman" w:cs="Segoe UI"/>
          <w:lang w:eastAsia="en-GB"/>
        </w:rPr>
      </w:pPr>
    </w:p>
    <w:p w14:paraId="105D9A80" w14:textId="44ED4EC3" w:rsidR="0090521F" w:rsidRPr="0090521F" w:rsidRDefault="003F6535" w:rsidP="6D726176">
      <w:pPr>
        <w:spacing w:after="100" w:line="252" w:lineRule="auto"/>
        <w:jc w:val="both"/>
        <w:rPr>
          <w:rFonts w:cstheme="minorBidi"/>
        </w:rPr>
      </w:pPr>
      <w:r w:rsidRPr="6D726176">
        <w:rPr>
          <w:rFonts w:eastAsia="Times New Roman" w:cstheme="minorBidi"/>
          <w:lang w:eastAsia="en-GB"/>
        </w:rPr>
        <w:t xml:space="preserve">Deloitte was engaged by SBUHB to undertake a workforce benchmarking review across the organisation and included the </w:t>
      </w:r>
      <w:r w:rsidR="00494DF8" w:rsidRPr="6D726176">
        <w:rPr>
          <w:rFonts w:cstheme="minorBidi"/>
        </w:rPr>
        <w:t>APH</w:t>
      </w:r>
      <w:r w:rsidRPr="6D726176">
        <w:rPr>
          <w:rFonts w:cstheme="minorBidi"/>
        </w:rPr>
        <w:t xml:space="preserve"> </w:t>
      </w:r>
      <w:r w:rsidR="0D34EFCE" w:rsidRPr="6D726176">
        <w:rPr>
          <w:rFonts w:cstheme="minorBidi"/>
        </w:rPr>
        <w:t>and HCS</w:t>
      </w:r>
      <w:r w:rsidR="00494DF8" w:rsidRPr="6D726176">
        <w:rPr>
          <w:rFonts w:cstheme="minorBidi"/>
        </w:rPr>
        <w:t xml:space="preserve"> </w:t>
      </w:r>
      <w:r w:rsidRPr="6D726176">
        <w:rPr>
          <w:rFonts w:eastAsia="Times New Roman" w:cstheme="minorBidi"/>
          <w:lang w:eastAsia="en-GB"/>
        </w:rPr>
        <w:t xml:space="preserve">An internal </w:t>
      </w:r>
      <w:r w:rsidR="00E53C8F" w:rsidRPr="6D726176">
        <w:rPr>
          <w:rFonts w:cstheme="minorBidi"/>
        </w:rPr>
        <w:t>AHP</w:t>
      </w:r>
      <w:r w:rsidRPr="6D726176">
        <w:rPr>
          <w:rFonts w:cstheme="minorBidi"/>
        </w:rPr>
        <w:t xml:space="preserve"> and Health Science</w:t>
      </w:r>
      <w:r w:rsidRPr="6D726176">
        <w:rPr>
          <w:rFonts w:eastAsia="Times New Roman" w:cstheme="minorBidi"/>
          <w:lang w:eastAsia="en-GB"/>
        </w:rPr>
        <w:t xml:space="preserve"> review </w:t>
      </w:r>
      <w:r w:rsidR="00B772E0" w:rsidRPr="6D726176">
        <w:rPr>
          <w:rFonts w:eastAsia="Times New Roman" w:cstheme="minorBidi"/>
          <w:lang w:eastAsia="en-GB"/>
        </w:rPr>
        <w:t xml:space="preserve">has been </w:t>
      </w:r>
      <w:r w:rsidRPr="6D726176">
        <w:rPr>
          <w:rFonts w:eastAsia="Times New Roman" w:cstheme="minorBidi"/>
          <w:lang w:eastAsia="en-GB"/>
        </w:rPr>
        <w:t xml:space="preserve">undertaken within SBUHB to provide assurance </w:t>
      </w:r>
      <w:r w:rsidRPr="6D726176">
        <w:rPr>
          <w:rFonts w:cstheme="minorBidi"/>
        </w:rPr>
        <w:t>in response to the Deloitte findings.</w:t>
      </w:r>
      <w:r w:rsidR="0059357F" w:rsidRPr="6D726176">
        <w:rPr>
          <w:rFonts w:cstheme="minorBidi"/>
        </w:rPr>
        <w:t xml:space="preserve"> </w:t>
      </w:r>
      <w:r w:rsidR="006A2123" w:rsidRPr="6D726176">
        <w:rPr>
          <w:rFonts w:cstheme="minorBidi"/>
        </w:rPr>
        <w:t xml:space="preserve">The review aims </w:t>
      </w:r>
      <w:r w:rsidR="0059357F" w:rsidRPr="6D726176">
        <w:rPr>
          <w:rFonts w:cstheme="minorBidi"/>
        </w:rPr>
        <w:t xml:space="preserve">to </w:t>
      </w:r>
      <w:r w:rsidR="0059357F" w:rsidRPr="6D726176">
        <w:rPr>
          <w:rFonts w:cstheme="minorBidi"/>
        </w:rPr>
        <w:lastRenderedPageBreak/>
        <w:t xml:space="preserve">develop a more coherent understanding of the scale, </w:t>
      </w:r>
      <w:r w:rsidR="00C32BA5" w:rsidRPr="6D726176">
        <w:rPr>
          <w:rFonts w:cstheme="minorBidi"/>
        </w:rPr>
        <w:t>shape,</w:t>
      </w:r>
      <w:r w:rsidR="0059357F" w:rsidRPr="6D726176">
        <w:rPr>
          <w:rFonts w:cstheme="minorBidi"/>
        </w:rPr>
        <w:t xml:space="preserve"> and strategic contribution of the AHP and HCS workforce. It </w:t>
      </w:r>
      <w:r w:rsidR="006A2123" w:rsidRPr="6D726176">
        <w:rPr>
          <w:rFonts w:cstheme="minorBidi"/>
        </w:rPr>
        <w:t>brings</w:t>
      </w:r>
      <w:r w:rsidR="0059357F" w:rsidRPr="6D726176">
        <w:rPr>
          <w:rFonts w:cstheme="minorBidi"/>
        </w:rPr>
        <w:t xml:space="preserve"> together detailed workforce information, local service intelligence, HEIW ESR benchmarking, profession-specific evidence and examples of workforce innovation and role redesign. </w:t>
      </w:r>
      <w:r w:rsidR="00336678" w:rsidRPr="6D726176">
        <w:rPr>
          <w:rFonts w:cstheme="minorBidi"/>
        </w:rPr>
        <w:t>The evidence base is as follows:</w:t>
      </w:r>
    </w:p>
    <w:p w14:paraId="39D2FCD3" w14:textId="0EE5A632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>The establishment, staff-in-</w:t>
      </w:r>
      <w:r w:rsidR="00C32BA5" w:rsidRPr="004E4615">
        <w:rPr>
          <w:rFonts w:cstheme="minorHAnsi"/>
        </w:rPr>
        <w:t>post,</w:t>
      </w:r>
      <w:r w:rsidRPr="004E4615">
        <w:rPr>
          <w:rFonts w:cstheme="minorHAnsi"/>
        </w:rPr>
        <w:t xml:space="preserve"> and vacancy profile across the </w:t>
      </w:r>
      <w:r w:rsidR="003A4B9D">
        <w:rPr>
          <w:rFonts w:cstheme="minorHAnsi"/>
        </w:rPr>
        <w:t>twenty-nine</w:t>
      </w:r>
      <w:r w:rsidR="00336678">
        <w:rPr>
          <w:rFonts w:cstheme="minorHAnsi"/>
        </w:rPr>
        <w:t xml:space="preserve"> </w:t>
      </w:r>
      <w:r w:rsidRPr="004E4615">
        <w:rPr>
          <w:rFonts w:cstheme="minorHAnsi"/>
        </w:rPr>
        <w:t>professions in scope.</w:t>
      </w:r>
    </w:p>
    <w:p w14:paraId="6E39F50E" w14:textId="77777777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>The distribution of the workforce across Agenda for Change bands and the balance between registered and non-registered roles.</w:t>
      </w:r>
    </w:p>
    <w:p w14:paraId="407B0216" w14:textId="77777777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>The qualifications, regulation, training pathways, scope of practice and expected career progression that drive workforce shape.</w:t>
      </w:r>
    </w:p>
    <w:p w14:paraId="4A0BE454" w14:textId="793DB7D4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 xml:space="preserve">The </w:t>
      </w:r>
      <w:r w:rsidR="0035361D">
        <w:rPr>
          <w:rFonts w:cstheme="minorHAnsi"/>
        </w:rPr>
        <w:t xml:space="preserve">context </w:t>
      </w:r>
      <w:r w:rsidRPr="004E4615">
        <w:rPr>
          <w:rFonts w:cstheme="minorHAnsi"/>
        </w:rPr>
        <w:t>to which services are core, hosted, regional, national, tertiary, integrated with local authority provision, externally funded or delivered across Health Board boundaries.</w:t>
      </w:r>
    </w:p>
    <w:p w14:paraId="4543384B" w14:textId="50856B3C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 xml:space="preserve">Evidence of advanced practice, medical substitution, delegation, assistant and associate roles, apprenticeships, digital change, automation, virtual </w:t>
      </w:r>
      <w:r w:rsidR="00C32BA5" w:rsidRPr="004E4615">
        <w:rPr>
          <w:rFonts w:cstheme="minorHAnsi"/>
        </w:rPr>
        <w:t>care,</w:t>
      </w:r>
      <w:r w:rsidRPr="004E4615">
        <w:rPr>
          <w:rFonts w:cstheme="minorHAnsi"/>
        </w:rPr>
        <w:t xml:space="preserve"> and regionalisation.</w:t>
      </w:r>
    </w:p>
    <w:p w14:paraId="3ED35D8D" w14:textId="77777777" w:rsidR="0059357F" w:rsidRPr="004E4615" w:rsidRDefault="0059357F" w:rsidP="0059357F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>The limitations of comparing organisations using absolute WTE or resident-population denominators without understanding differences in service scope and delivery model.</w:t>
      </w:r>
    </w:p>
    <w:p w14:paraId="62830D4E" w14:textId="40A209C9" w:rsidR="003F6535" w:rsidRDefault="0059357F" w:rsidP="0035361D">
      <w:pPr>
        <w:numPr>
          <w:ilvl w:val="0"/>
          <w:numId w:val="15"/>
        </w:numPr>
        <w:spacing w:after="100" w:line="252" w:lineRule="auto"/>
        <w:contextualSpacing/>
        <w:jc w:val="both"/>
        <w:rPr>
          <w:rFonts w:cstheme="minorHAnsi"/>
        </w:rPr>
      </w:pPr>
      <w:r w:rsidRPr="004E4615">
        <w:rPr>
          <w:rFonts w:cstheme="minorHAnsi"/>
        </w:rPr>
        <w:t xml:space="preserve">Key risks relating to vacancies, professional pipelines, succession, small specialist teams, leadership, temporary </w:t>
      </w:r>
      <w:r w:rsidR="00C32BA5" w:rsidRPr="004E4615">
        <w:rPr>
          <w:rFonts w:cstheme="minorHAnsi"/>
        </w:rPr>
        <w:t>staffing,</w:t>
      </w:r>
      <w:r w:rsidRPr="004E4615">
        <w:rPr>
          <w:rFonts w:cstheme="minorHAnsi"/>
        </w:rPr>
        <w:t xml:space="preserve"> and change capacity.</w:t>
      </w:r>
    </w:p>
    <w:p w14:paraId="01295263" w14:textId="77777777" w:rsidR="00A20374" w:rsidRPr="0035361D" w:rsidRDefault="00A20374" w:rsidP="00A20374">
      <w:pPr>
        <w:spacing w:after="100" w:line="252" w:lineRule="auto"/>
        <w:ind w:left="835"/>
        <w:contextualSpacing/>
        <w:jc w:val="both"/>
        <w:rPr>
          <w:rFonts w:cstheme="minorHAnsi"/>
        </w:rPr>
      </w:pPr>
    </w:p>
    <w:p w14:paraId="477C31FD" w14:textId="4AE7961A" w:rsidR="00C25CAF" w:rsidRPr="0035361D" w:rsidRDefault="003F6535" w:rsidP="00023BA9">
      <w:pPr>
        <w:spacing w:line="300" w:lineRule="atLeast"/>
        <w:jc w:val="both"/>
        <w:rPr>
          <w:rFonts w:cstheme="minorHAnsi"/>
        </w:rPr>
      </w:pPr>
      <w:r w:rsidRPr="00572450">
        <w:rPr>
          <w:rFonts w:cstheme="minorHAnsi"/>
        </w:rPr>
        <w:t>An Executive Report has been developed which outlines the key finding</w:t>
      </w:r>
      <w:r w:rsidR="006A2123">
        <w:rPr>
          <w:rFonts w:cstheme="minorHAnsi"/>
        </w:rPr>
        <w:t>s, t</w:t>
      </w:r>
      <w:r w:rsidR="00572450" w:rsidRPr="0035361D">
        <w:rPr>
          <w:rFonts w:cstheme="minorHAnsi"/>
        </w:rPr>
        <w:t xml:space="preserve">he report </w:t>
      </w:r>
      <w:r w:rsidR="004F7367">
        <w:rPr>
          <w:rFonts w:cstheme="minorHAnsi"/>
        </w:rPr>
        <w:t xml:space="preserve">to </w:t>
      </w:r>
      <w:r w:rsidR="00F071DE" w:rsidRPr="0035361D">
        <w:rPr>
          <w:rFonts w:cstheme="minorHAnsi"/>
        </w:rPr>
        <w:t xml:space="preserve">be shared with Executive colleagues </w:t>
      </w:r>
      <w:r w:rsidR="00023BA9">
        <w:rPr>
          <w:rFonts w:cstheme="minorHAnsi"/>
        </w:rPr>
        <w:t xml:space="preserve">provides assurance </w:t>
      </w:r>
      <w:r w:rsidR="00C25CAF" w:rsidRPr="0035361D">
        <w:rPr>
          <w:rFonts w:cstheme="minorHAnsi"/>
        </w:rPr>
        <w:t>that the Phase 1 review of AHP and HCS workforce has been completed.</w:t>
      </w:r>
    </w:p>
    <w:p w14:paraId="6D290421" w14:textId="77777777" w:rsidR="00653AEC" w:rsidRPr="004E4615" w:rsidRDefault="00653AEC" w:rsidP="004E4615">
      <w:pPr>
        <w:pStyle w:val="ListParagraph"/>
        <w:spacing w:after="0" w:line="240" w:lineRule="auto"/>
        <w:jc w:val="both"/>
        <w:rPr>
          <w:b/>
        </w:rPr>
      </w:pPr>
    </w:p>
    <w:p w14:paraId="6D290422" w14:textId="77777777" w:rsidR="00653AEC" w:rsidRPr="004E4615" w:rsidRDefault="00653AEC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GOVERNANCE AND RISK ISSUES</w:t>
      </w:r>
    </w:p>
    <w:p w14:paraId="6D290425" w14:textId="3F5F017D" w:rsidR="00653AEC" w:rsidRPr="004E4615" w:rsidRDefault="006C2252" w:rsidP="004E4615">
      <w:pPr>
        <w:spacing w:after="0" w:line="240" w:lineRule="auto"/>
        <w:jc w:val="both"/>
      </w:pPr>
      <w:r w:rsidRPr="004E4615">
        <w:t>Governance and risks have been highlighted in the individual sections identifying the current key issues for the AHP and HCS workforce.</w:t>
      </w:r>
    </w:p>
    <w:p w14:paraId="6D290426" w14:textId="77777777" w:rsidR="00653AEC" w:rsidRPr="004E4615" w:rsidRDefault="00653AEC" w:rsidP="004E4615">
      <w:pPr>
        <w:pStyle w:val="ListParagraph"/>
        <w:spacing w:after="0" w:line="240" w:lineRule="auto"/>
        <w:jc w:val="both"/>
        <w:rPr>
          <w:b/>
        </w:rPr>
      </w:pPr>
    </w:p>
    <w:p w14:paraId="7D6248A7" w14:textId="03FA6B07" w:rsidR="00B50ABC" w:rsidRPr="004E4615" w:rsidRDefault="00653AEC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 xml:space="preserve"> </w:t>
      </w:r>
      <w:r w:rsidR="00B50ABC" w:rsidRPr="004E4615">
        <w:rPr>
          <w:b/>
          <w:bCs/>
        </w:rPr>
        <w:t xml:space="preserve">OPEN AUDIT RECOMMENDATIONS </w:t>
      </w:r>
    </w:p>
    <w:p w14:paraId="350FB07C" w14:textId="5CE7989A" w:rsidR="00B50ABC" w:rsidRPr="004E4615" w:rsidRDefault="006C2252" w:rsidP="004E4615">
      <w:pPr>
        <w:spacing w:after="0" w:line="240" w:lineRule="auto"/>
        <w:jc w:val="both"/>
        <w:rPr>
          <w:b/>
        </w:rPr>
      </w:pPr>
      <w:r w:rsidRPr="004E4615">
        <w:t>None to note.</w:t>
      </w:r>
    </w:p>
    <w:p w14:paraId="2E68798D" w14:textId="77777777" w:rsidR="00B50ABC" w:rsidRPr="004E4615" w:rsidRDefault="00B50ABC" w:rsidP="004E4615">
      <w:pPr>
        <w:spacing w:after="0" w:line="240" w:lineRule="auto"/>
        <w:jc w:val="both"/>
        <w:rPr>
          <w:b/>
        </w:rPr>
      </w:pPr>
    </w:p>
    <w:p w14:paraId="6D290427" w14:textId="5AD01FD6" w:rsidR="00653AEC" w:rsidRPr="004E4615" w:rsidRDefault="00653AEC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FINANCIAL IMPLICATIONS</w:t>
      </w:r>
    </w:p>
    <w:p w14:paraId="6D290428" w14:textId="5EB44FB7" w:rsidR="00653AEC" w:rsidRPr="004E4615" w:rsidRDefault="006C2252" w:rsidP="004E4615">
      <w:pPr>
        <w:spacing w:after="0" w:line="240" w:lineRule="auto"/>
        <w:jc w:val="both"/>
        <w:rPr>
          <w:b/>
        </w:rPr>
      </w:pPr>
      <w:r w:rsidRPr="004E4615">
        <w:t>Service group finance partners are informed of financial risks highlighted in the report where applicable.</w:t>
      </w:r>
    </w:p>
    <w:p w14:paraId="6D290429" w14:textId="77777777" w:rsidR="00653AEC" w:rsidRPr="004E4615" w:rsidRDefault="00653AEC" w:rsidP="004E4615">
      <w:pPr>
        <w:pStyle w:val="ListParagraph"/>
        <w:spacing w:after="0" w:line="240" w:lineRule="auto"/>
        <w:jc w:val="both"/>
        <w:rPr>
          <w:b/>
        </w:rPr>
      </w:pPr>
    </w:p>
    <w:p w14:paraId="6D29042A" w14:textId="77777777" w:rsidR="00653AEC" w:rsidRPr="004E4615" w:rsidRDefault="00653AEC" w:rsidP="004E461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4E4615">
        <w:rPr>
          <w:b/>
        </w:rPr>
        <w:t>RECOMMENDATION</w:t>
      </w:r>
    </w:p>
    <w:p w14:paraId="25DFDD65" w14:textId="7ED22896" w:rsidR="006C2252" w:rsidRPr="004E4615" w:rsidRDefault="006C2252" w:rsidP="004E4615">
      <w:pPr>
        <w:pStyle w:val="Default"/>
        <w:jc w:val="both"/>
      </w:pPr>
      <w:r w:rsidRPr="6D726176">
        <w:rPr>
          <w:rFonts w:ascii="Verdana" w:hAnsi="Verdana" w:cs="Arial"/>
          <w:color w:val="auto"/>
        </w:rPr>
        <w:t>Members are asked to</w:t>
      </w:r>
      <w:r w:rsidR="5B94BAB6" w:rsidRPr="6D726176">
        <w:rPr>
          <w:rFonts w:ascii="Verdana" w:hAnsi="Verdana" w:cs="Arial"/>
          <w:color w:val="auto"/>
        </w:rPr>
        <w:t>:</w:t>
      </w:r>
    </w:p>
    <w:p w14:paraId="5B4A1EFD" w14:textId="06C84291" w:rsidR="006C2252" w:rsidRPr="004E4615" w:rsidRDefault="5B94BAB6" w:rsidP="6D726176">
      <w:pPr>
        <w:pStyle w:val="Default"/>
        <w:numPr>
          <w:ilvl w:val="0"/>
          <w:numId w:val="1"/>
        </w:numPr>
        <w:jc w:val="both"/>
        <w:rPr>
          <w:rFonts w:ascii="Verdana" w:hAnsi="Verdana" w:cs="Arial"/>
          <w:color w:val="auto"/>
        </w:rPr>
      </w:pPr>
      <w:r w:rsidRPr="6D726176">
        <w:rPr>
          <w:rFonts w:ascii="Verdana" w:hAnsi="Verdana" w:cs="Arial"/>
          <w:b/>
          <w:bCs/>
          <w:color w:val="auto"/>
        </w:rPr>
        <w:t>RECIEVE</w:t>
      </w:r>
      <w:r w:rsidR="006C2252" w:rsidRPr="6D726176">
        <w:rPr>
          <w:rFonts w:ascii="Verdana" w:hAnsi="Verdana" w:cs="Arial"/>
          <w:color w:val="auto"/>
        </w:rPr>
        <w:t xml:space="preserve"> the information in the report.</w:t>
      </w:r>
    </w:p>
    <w:p w14:paraId="6D290430" w14:textId="28FBE2CF" w:rsidR="00FE7070" w:rsidRPr="004E4615" w:rsidRDefault="00FE7070" w:rsidP="004E4615">
      <w:pPr>
        <w:jc w:val="both"/>
        <w:rPr>
          <w:b/>
        </w:rPr>
      </w:pPr>
      <w:r w:rsidRPr="004E4615">
        <w:rPr>
          <w:b/>
        </w:rPr>
        <w:br w:type="page"/>
      </w: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="00034194" w:rsidRPr="004E4615" w14:paraId="6D290436" w14:textId="77777777" w:rsidTr="6D726176">
        <w:tc>
          <w:tcPr>
            <w:tcW w:w="9245" w:type="dxa"/>
            <w:gridSpan w:val="3"/>
            <w:shd w:val="clear" w:color="auto" w:fill="163E64"/>
          </w:tcPr>
          <w:p w14:paraId="6D290435" w14:textId="704162EF" w:rsidR="00034194" w:rsidRPr="004E4615" w:rsidRDefault="0020539A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lastRenderedPageBreak/>
              <w:t>Governance and Assurance</w:t>
            </w:r>
          </w:p>
        </w:tc>
      </w:tr>
      <w:tr w:rsidR="002432C6" w:rsidRPr="004E4615" w14:paraId="584BF17A" w14:textId="77777777" w:rsidTr="6D726176">
        <w:tc>
          <w:tcPr>
            <w:tcW w:w="9245" w:type="dxa"/>
            <w:gridSpan w:val="3"/>
            <w:shd w:val="clear" w:color="auto" w:fill="C1A775"/>
          </w:tcPr>
          <w:p w14:paraId="4694DF6B" w14:textId="6CC5896F" w:rsidR="002432C6" w:rsidRPr="004E4615" w:rsidRDefault="002432C6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Strategic Objectives</w:t>
            </w:r>
          </w:p>
        </w:tc>
      </w:tr>
      <w:tr w:rsidR="00F5324A" w:rsidRPr="004E4615" w14:paraId="6D29043E" w14:textId="77777777" w:rsidTr="6D726176">
        <w:tc>
          <w:tcPr>
            <w:tcW w:w="1809" w:type="dxa"/>
            <w:vMerge w:val="restart"/>
          </w:tcPr>
          <w:p w14:paraId="4BCFE1FB" w14:textId="05AE4DB4" w:rsidR="005D5E16" w:rsidRPr="004E4615" w:rsidRDefault="005D5E16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Strategic Objectives</w:t>
            </w:r>
          </w:p>
          <w:p w14:paraId="6D29043B" w14:textId="6893427A" w:rsidR="00F5324A" w:rsidRPr="004E4615" w:rsidRDefault="005D5E16" w:rsidP="004E4615">
            <w:pPr>
              <w:jc w:val="both"/>
              <w:rPr>
                <w:b/>
              </w:rPr>
            </w:pPr>
            <w:r w:rsidRPr="004E4615">
              <w:rPr>
                <w:b/>
                <w:i/>
              </w:rPr>
              <w:t>(please choose</w:t>
            </w:r>
            <w:r w:rsidR="005506AE" w:rsidRPr="004E4615">
              <w:rPr>
                <w:b/>
                <w:i/>
              </w:rPr>
              <w:t xml:space="preserve"> which is impacted</w:t>
            </w:r>
            <w:r w:rsidRPr="004E4615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6D29043C" w14:textId="0F8B9D2E" w:rsidR="00F5324A" w:rsidRPr="004E4615" w:rsidRDefault="006F02B9" w:rsidP="004E4615">
            <w:pPr>
              <w:jc w:val="both"/>
            </w:pPr>
            <w:r w:rsidRPr="004E4615">
              <w:t xml:space="preserve">People of Swansea Bay live healthier, </w:t>
            </w:r>
            <w:r w:rsidR="00C32BA5" w:rsidRPr="004E4615">
              <w:t>fairer,</w:t>
            </w:r>
            <w:r w:rsidRPr="004E4615">
              <w:t xml:space="preserve"> and more prosperous lives</w:t>
            </w:r>
          </w:p>
        </w:tc>
        <w:sdt>
          <w:sdtPr>
            <w:id w:val="1705433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3D" w14:textId="77777777" w:rsidR="00F5324A" w:rsidRPr="004E4615" w:rsidRDefault="00F57042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4E4615" w14:paraId="6D290442" w14:textId="77777777" w:rsidTr="6D726176">
        <w:tc>
          <w:tcPr>
            <w:tcW w:w="1809" w:type="dxa"/>
            <w:vMerge/>
          </w:tcPr>
          <w:p w14:paraId="6D29043F" w14:textId="77777777" w:rsidR="00F5324A" w:rsidRPr="004E4615" w:rsidRDefault="00F5324A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40" w14:textId="5071215F" w:rsidR="00F5324A" w:rsidRPr="004E4615" w:rsidRDefault="004221DC" w:rsidP="004E4615">
            <w:pPr>
              <w:jc w:val="both"/>
            </w:pPr>
            <w:r w:rsidRPr="004E4615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1" w14:textId="15F801EF" w:rsidR="00F5324A" w:rsidRPr="004E4615" w:rsidRDefault="002D6E8B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F5324A" w:rsidRPr="004E4615" w14:paraId="6D290446" w14:textId="77777777" w:rsidTr="6D726176">
        <w:tc>
          <w:tcPr>
            <w:tcW w:w="1809" w:type="dxa"/>
            <w:vMerge/>
          </w:tcPr>
          <w:p w14:paraId="6D290443" w14:textId="77777777" w:rsidR="00F5324A" w:rsidRPr="004E4615" w:rsidRDefault="00F5324A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44" w14:textId="7BC6B5D7" w:rsidR="00F5324A" w:rsidRPr="004E4615" w:rsidRDefault="004221DC" w:rsidP="004E4615">
            <w:pPr>
              <w:jc w:val="both"/>
            </w:pPr>
            <w:r w:rsidRPr="004E4615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5" w14:textId="33B5012F" w:rsidR="00F5324A" w:rsidRPr="004E4615" w:rsidRDefault="002D6E8B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4E4615" w14:paraId="6D29044D" w14:textId="77777777" w:rsidTr="6D726176">
        <w:tc>
          <w:tcPr>
            <w:tcW w:w="1809" w:type="dxa"/>
            <w:vMerge/>
          </w:tcPr>
          <w:p w14:paraId="6D29044A" w14:textId="77777777" w:rsidR="00F5324A" w:rsidRPr="004E4615" w:rsidRDefault="00F5324A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4B" w14:textId="21751B0B" w:rsidR="00F5324A" w:rsidRPr="004E4615" w:rsidRDefault="00233D58" w:rsidP="004E4615">
            <w:pPr>
              <w:jc w:val="both"/>
            </w:pPr>
            <w:r w:rsidRPr="004E4615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C" w14:textId="77777777" w:rsidR="00F5324A" w:rsidRPr="004E4615" w:rsidRDefault="00F57042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4E4615" w14:paraId="6D290451" w14:textId="77777777" w:rsidTr="6D726176">
        <w:tc>
          <w:tcPr>
            <w:tcW w:w="1809" w:type="dxa"/>
            <w:vMerge/>
          </w:tcPr>
          <w:p w14:paraId="6D29044E" w14:textId="77777777" w:rsidR="00F5324A" w:rsidRPr="004E4615" w:rsidRDefault="00F5324A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4F" w14:textId="15226D3C" w:rsidR="00F5324A" w:rsidRPr="004E4615" w:rsidRDefault="00233D58" w:rsidP="004E4615">
            <w:pPr>
              <w:jc w:val="both"/>
            </w:pPr>
            <w:r w:rsidRPr="004E4615">
              <w:t xml:space="preserve">The health board is a resilient, </w:t>
            </w:r>
            <w:r w:rsidR="00C32BA5" w:rsidRPr="004E4615">
              <w:t>sustainable,</w:t>
            </w:r>
            <w:r w:rsidRPr="004E4615">
              <w:t xml:space="preserve"> and responsible organisation</w:t>
            </w:r>
          </w:p>
        </w:tc>
        <w:sdt>
          <w:sdtPr>
            <w:id w:val="83202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50" w14:textId="77777777" w:rsidR="00F5324A" w:rsidRPr="004E4615" w:rsidRDefault="00F57042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4E4615" w14:paraId="6D29045F" w14:textId="77777777" w:rsidTr="6D726176">
        <w:tc>
          <w:tcPr>
            <w:tcW w:w="9245" w:type="dxa"/>
            <w:gridSpan w:val="3"/>
            <w:shd w:val="clear" w:color="auto" w:fill="C1A775"/>
          </w:tcPr>
          <w:p w14:paraId="6D29045E" w14:textId="77777777" w:rsidR="00F5324A" w:rsidRPr="004E4615" w:rsidRDefault="00F5324A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Health and Care Standards</w:t>
            </w:r>
          </w:p>
        </w:tc>
      </w:tr>
      <w:tr w:rsidR="00C43F7B" w:rsidRPr="004E4615" w14:paraId="6D290463" w14:textId="77777777" w:rsidTr="6D726176">
        <w:tc>
          <w:tcPr>
            <w:tcW w:w="1809" w:type="dxa"/>
            <w:vMerge w:val="restart"/>
          </w:tcPr>
          <w:p w14:paraId="6D290460" w14:textId="1FC1DD16" w:rsidR="00C43F7B" w:rsidRPr="004E4615" w:rsidRDefault="00C43F7B" w:rsidP="004E4615">
            <w:pPr>
              <w:jc w:val="both"/>
            </w:pPr>
            <w:r w:rsidRPr="004E4615">
              <w:rPr>
                <w:b/>
                <w:iCs/>
              </w:rPr>
              <w:t>Standards</w:t>
            </w:r>
            <w:r w:rsidRPr="004E4615">
              <w:rPr>
                <w:b/>
                <w:i/>
              </w:rPr>
              <w:t xml:space="preserve"> </w:t>
            </w:r>
            <w:r w:rsidR="005506AE" w:rsidRPr="004E4615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14:paraId="6D290461" w14:textId="28B971FB" w:rsidR="00C43F7B" w:rsidRPr="004E4615" w:rsidRDefault="00C43F7B" w:rsidP="004E4615">
            <w:pPr>
              <w:jc w:val="both"/>
            </w:pPr>
            <w:r w:rsidRPr="004E4615">
              <w:t>Safe Care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2" w14:textId="23ADE71F" w:rsidR="00C43F7B" w:rsidRPr="004E4615" w:rsidRDefault="009A317F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C43F7B" w:rsidRPr="004E4615" w14:paraId="6D290467" w14:textId="77777777" w:rsidTr="6D726176">
        <w:tc>
          <w:tcPr>
            <w:tcW w:w="1809" w:type="dxa"/>
            <w:vMerge/>
          </w:tcPr>
          <w:p w14:paraId="6D290464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65" w14:textId="26C0FDA5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Timely Care</w:t>
            </w:r>
          </w:p>
        </w:tc>
        <w:sdt>
          <w:sdtPr>
            <w:id w:val="-2751865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6" w14:textId="6CD97EF1" w:rsidR="00C43F7B" w:rsidRPr="004E4615" w:rsidRDefault="009A317F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C43F7B" w:rsidRPr="004E4615" w14:paraId="6D29046B" w14:textId="77777777" w:rsidTr="6D726176">
        <w:tc>
          <w:tcPr>
            <w:tcW w:w="1809" w:type="dxa"/>
            <w:vMerge/>
          </w:tcPr>
          <w:p w14:paraId="6D290468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69" w14:textId="3332C186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Effective Care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A" w14:textId="46531C09" w:rsidR="00C43F7B" w:rsidRPr="004E4615" w:rsidRDefault="009A317F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C43F7B" w:rsidRPr="004E4615" w14:paraId="6D29046F" w14:textId="77777777" w:rsidTr="6D726176">
        <w:tc>
          <w:tcPr>
            <w:tcW w:w="1809" w:type="dxa"/>
            <w:vMerge/>
          </w:tcPr>
          <w:p w14:paraId="6D29046C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6D" w14:textId="02FE47C9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Efficient Care</w:t>
            </w:r>
          </w:p>
        </w:tc>
        <w:sdt>
          <w:sdtPr>
            <w:id w:val="1427299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E" w14:textId="0419D94E" w:rsidR="00C43F7B" w:rsidRPr="004E4615" w:rsidRDefault="009A317F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4E4615" w14:paraId="6D290473" w14:textId="77777777" w:rsidTr="6D726176">
        <w:tc>
          <w:tcPr>
            <w:tcW w:w="1809" w:type="dxa"/>
            <w:vMerge/>
          </w:tcPr>
          <w:p w14:paraId="6D290470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71" w14:textId="639A0F69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Equitable care</w:t>
            </w:r>
          </w:p>
        </w:tc>
        <w:sdt>
          <w:sdtPr>
            <w:id w:val="-151113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2" w14:textId="77777777" w:rsidR="00C43F7B" w:rsidRPr="004E4615" w:rsidRDefault="00C43F7B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4E4615" w14:paraId="6D290477" w14:textId="77777777" w:rsidTr="6D726176">
        <w:tc>
          <w:tcPr>
            <w:tcW w:w="1809" w:type="dxa"/>
            <w:vMerge/>
          </w:tcPr>
          <w:p w14:paraId="6D290474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75" w14:textId="5778DDA9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Person-centred Care</w:t>
            </w:r>
          </w:p>
        </w:tc>
        <w:sdt>
          <w:sdtPr>
            <w:id w:val="-13494030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6" w14:textId="32687615" w:rsidR="00C43F7B" w:rsidRPr="004E4615" w:rsidRDefault="009A317F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C43F7B" w:rsidRPr="004E4615" w14:paraId="6D29047B" w14:textId="77777777" w:rsidTr="6D726176">
        <w:tc>
          <w:tcPr>
            <w:tcW w:w="1809" w:type="dxa"/>
            <w:vMerge/>
          </w:tcPr>
          <w:p w14:paraId="6D290478" w14:textId="77777777" w:rsidR="00C43F7B" w:rsidRPr="004E4615" w:rsidRDefault="00C43F7B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D290479" w14:textId="7328B9FF" w:rsidR="00C43F7B" w:rsidRPr="004E4615" w:rsidRDefault="00C43F7B" w:rsidP="004E4615">
            <w:pPr>
              <w:jc w:val="both"/>
              <w:rPr>
                <w:b/>
              </w:rPr>
            </w:pPr>
            <w:r w:rsidRPr="004E4615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A" w14:textId="09619F02" w:rsidR="00C43F7B" w:rsidRPr="004E4615" w:rsidRDefault="009A317F" w:rsidP="004E4615">
                <w:pPr>
                  <w:jc w:val="both"/>
                  <w:rPr>
                    <w:b/>
                  </w:rPr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925DA1" w:rsidRPr="004E4615" w14:paraId="4481435E" w14:textId="77777777" w:rsidTr="6D726176">
        <w:tc>
          <w:tcPr>
            <w:tcW w:w="1809" w:type="dxa"/>
            <w:vMerge w:val="restart"/>
          </w:tcPr>
          <w:p w14:paraId="24852AC0" w14:textId="79557235" w:rsidR="00925DA1" w:rsidRPr="004E4615" w:rsidRDefault="00925DA1" w:rsidP="004E4615">
            <w:pPr>
              <w:jc w:val="both"/>
              <w:rPr>
                <w:b/>
              </w:rPr>
            </w:pPr>
            <w:r w:rsidRPr="004E4615">
              <w:rPr>
                <w:b/>
                <w:iCs/>
              </w:rPr>
              <w:t>Enablers</w:t>
            </w:r>
            <w:r w:rsidRPr="004E4615">
              <w:rPr>
                <w:b/>
                <w:i/>
              </w:rPr>
              <w:t xml:space="preserve"> </w:t>
            </w:r>
            <w:r w:rsidR="005506AE" w:rsidRPr="004E4615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14:paraId="23C5DEE5" w14:textId="11BC75F3" w:rsidR="00925DA1" w:rsidRPr="004E4615" w:rsidRDefault="00925DA1" w:rsidP="004E4615">
            <w:pPr>
              <w:jc w:val="both"/>
            </w:pPr>
            <w:r w:rsidRPr="004E4615">
              <w:t>Whole Systems Approach</w:t>
            </w:r>
          </w:p>
        </w:tc>
        <w:sdt>
          <w:sdtPr>
            <w:id w:val="1760019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7904B42E" w14:textId="2503A13E" w:rsidR="00925DA1" w:rsidRPr="004E4615" w:rsidRDefault="00925DA1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4E4615" w14:paraId="2D450AA3" w14:textId="77777777" w:rsidTr="6D726176">
        <w:tc>
          <w:tcPr>
            <w:tcW w:w="1809" w:type="dxa"/>
            <w:vMerge/>
          </w:tcPr>
          <w:p w14:paraId="2E025453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2A69D290" w14:textId="0605AEDE" w:rsidR="00925DA1" w:rsidRPr="004E4615" w:rsidRDefault="00925DA1" w:rsidP="004E4615">
            <w:pPr>
              <w:jc w:val="both"/>
            </w:pPr>
            <w:r w:rsidRPr="004E4615">
              <w:t>Leadership</w:t>
            </w:r>
          </w:p>
        </w:tc>
        <w:sdt>
          <w:sdtPr>
            <w:id w:val="211709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38BFB30F" w14:textId="2D776E27" w:rsidR="00925DA1" w:rsidRPr="004E4615" w:rsidRDefault="00925DA1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4E4615" w14:paraId="086E4F8D" w14:textId="77777777" w:rsidTr="6D726176">
        <w:tc>
          <w:tcPr>
            <w:tcW w:w="1809" w:type="dxa"/>
            <w:vMerge/>
          </w:tcPr>
          <w:p w14:paraId="4CB5CDEE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75A9FE92" w14:textId="231227FB" w:rsidR="00925DA1" w:rsidRPr="004E4615" w:rsidRDefault="00925DA1" w:rsidP="004E4615">
            <w:pPr>
              <w:jc w:val="both"/>
            </w:pPr>
            <w:r w:rsidRPr="004E4615">
              <w:t>Workforce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15982273" w14:textId="47E981D6" w:rsidR="00925DA1" w:rsidRPr="004E4615" w:rsidRDefault="009A317F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925DA1" w:rsidRPr="004E4615" w14:paraId="6F3DEEC2" w14:textId="77777777" w:rsidTr="6D726176">
        <w:tc>
          <w:tcPr>
            <w:tcW w:w="1809" w:type="dxa"/>
            <w:vMerge/>
          </w:tcPr>
          <w:p w14:paraId="0AEE896D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7C1ACCB9" w14:textId="0A949DE8" w:rsidR="00925DA1" w:rsidRPr="004E4615" w:rsidRDefault="00925DA1" w:rsidP="004E4615">
            <w:pPr>
              <w:jc w:val="both"/>
            </w:pPr>
            <w:r w:rsidRPr="004E4615">
              <w:t>Culture</w:t>
            </w:r>
          </w:p>
        </w:tc>
        <w:sdt>
          <w:sdtPr>
            <w:id w:val="61787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2B2CC2E7" w14:textId="6C3A084F" w:rsidR="00925DA1" w:rsidRPr="004E4615" w:rsidRDefault="00925DA1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4E4615" w14:paraId="7AD6E919" w14:textId="77777777" w:rsidTr="6D726176">
        <w:tc>
          <w:tcPr>
            <w:tcW w:w="1809" w:type="dxa"/>
            <w:vMerge/>
          </w:tcPr>
          <w:p w14:paraId="35FD7653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57B10CB7" w14:textId="027A78F8" w:rsidR="00925DA1" w:rsidRPr="004E4615" w:rsidRDefault="00925DA1" w:rsidP="004E4615">
            <w:pPr>
              <w:jc w:val="both"/>
            </w:pPr>
            <w:r w:rsidRPr="004E4615">
              <w:t xml:space="preserve">Information </w:t>
            </w:r>
          </w:p>
        </w:tc>
        <w:sdt>
          <w:sdtPr>
            <w:id w:val="314299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3E41BC05" w14:textId="6BB9AC9B" w:rsidR="00925DA1" w:rsidRPr="004E4615" w:rsidRDefault="00925DA1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4E4615" w14:paraId="5A1317D4" w14:textId="77777777" w:rsidTr="6D726176">
        <w:tc>
          <w:tcPr>
            <w:tcW w:w="1809" w:type="dxa"/>
            <w:vMerge/>
          </w:tcPr>
          <w:p w14:paraId="21B969C2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  <w:tc>
          <w:tcPr>
            <w:tcW w:w="5812" w:type="dxa"/>
          </w:tcPr>
          <w:p w14:paraId="611AECC0" w14:textId="2F7F719A" w:rsidR="00925DA1" w:rsidRPr="004E4615" w:rsidRDefault="00925DA1" w:rsidP="004E4615">
            <w:pPr>
              <w:jc w:val="both"/>
            </w:pPr>
            <w:r w:rsidRPr="004E4615">
              <w:t>Learning, Improvement and Research</w:t>
            </w:r>
          </w:p>
        </w:tc>
        <w:sdt>
          <w:sdtPr>
            <w:id w:val="-17071693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0F96135" w14:textId="15202401" w:rsidR="00925DA1" w:rsidRPr="004E4615" w:rsidRDefault="002D6E8B" w:rsidP="004E4615">
                <w:pPr>
                  <w:jc w:val="both"/>
                </w:pPr>
                <w:r w:rsidRPr="004E4615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</w:tr>
      <w:tr w:rsidR="00925DA1" w:rsidRPr="004E4615" w14:paraId="6D29047D" w14:textId="77777777" w:rsidTr="6D726176">
        <w:tc>
          <w:tcPr>
            <w:tcW w:w="9245" w:type="dxa"/>
            <w:gridSpan w:val="3"/>
            <w:shd w:val="clear" w:color="auto" w:fill="C1A775"/>
          </w:tcPr>
          <w:p w14:paraId="6D29047C" w14:textId="45C29034" w:rsidR="00925DA1" w:rsidRPr="004E4615" w:rsidRDefault="00925DA1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Quality, Safety and Patient Experience</w:t>
            </w:r>
          </w:p>
        </w:tc>
      </w:tr>
      <w:tr w:rsidR="00925DA1" w:rsidRPr="004E4615" w14:paraId="6D290480" w14:textId="77777777" w:rsidTr="6D726176">
        <w:tc>
          <w:tcPr>
            <w:tcW w:w="9245" w:type="dxa"/>
            <w:gridSpan w:val="3"/>
          </w:tcPr>
          <w:p w14:paraId="4845D019" w14:textId="45837F11" w:rsidR="002D6E8B" w:rsidRPr="004E4615" w:rsidRDefault="002D6E8B" w:rsidP="004E4615">
            <w:pPr>
              <w:jc w:val="both"/>
              <w:rPr>
                <w14:ligatures w14:val="standardContextual"/>
              </w:rPr>
            </w:pPr>
            <w:r w:rsidRPr="004E4615">
              <w:rPr>
                <w14:ligatures w14:val="standardContextual"/>
              </w:rPr>
              <w:t xml:space="preserve">A sustainable AHP and HCS workforce is essential to provide effective, patient centred care with improved outcomes for patient, </w:t>
            </w:r>
            <w:r w:rsidR="00C32BA5" w:rsidRPr="004E4615">
              <w:rPr>
                <w14:ligatures w14:val="standardContextual"/>
              </w:rPr>
              <w:t>carer,</w:t>
            </w:r>
            <w:r w:rsidRPr="004E4615">
              <w:rPr>
                <w14:ligatures w14:val="standardContextual"/>
              </w:rPr>
              <w:t xml:space="preserve"> and workforce. </w:t>
            </w:r>
          </w:p>
          <w:p w14:paraId="394D283F" w14:textId="77777777" w:rsidR="002D6E8B" w:rsidRPr="004E4615" w:rsidRDefault="002D6E8B" w:rsidP="004E4615">
            <w:pPr>
              <w:jc w:val="both"/>
              <w:rPr>
                <w14:ligatures w14:val="standardContextual"/>
              </w:rPr>
            </w:pPr>
            <w:r w:rsidRPr="004E4615">
              <w:rPr>
                <w14:ligatures w14:val="standardContextual"/>
              </w:rPr>
              <w:t xml:space="preserve">Patient safety runs through education standards and requirements and is inseparable from an excellent learning environment and culture that values and supports learners and educators. </w:t>
            </w:r>
          </w:p>
          <w:p w14:paraId="6D29047F" w14:textId="77777777" w:rsidR="00925DA1" w:rsidRPr="004E4615" w:rsidRDefault="00925DA1" w:rsidP="004E4615">
            <w:pPr>
              <w:jc w:val="both"/>
              <w:rPr>
                <w:b/>
              </w:rPr>
            </w:pPr>
          </w:p>
        </w:tc>
      </w:tr>
      <w:tr w:rsidR="00925DA1" w:rsidRPr="004E4615" w14:paraId="6D290482" w14:textId="77777777" w:rsidTr="6D726176">
        <w:tc>
          <w:tcPr>
            <w:tcW w:w="9245" w:type="dxa"/>
            <w:gridSpan w:val="3"/>
            <w:shd w:val="clear" w:color="auto" w:fill="C1A775"/>
          </w:tcPr>
          <w:p w14:paraId="6D290481" w14:textId="77777777" w:rsidR="00925DA1" w:rsidRPr="004E4615" w:rsidRDefault="00925DA1" w:rsidP="004E4615">
            <w:pPr>
              <w:jc w:val="both"/>
              <w:rPr>
                <w:b/>
              </w:rPr>
            </w:pPr>
            <w:r w:rsidRPr="004E4615">
              <w:rPr>
                <w:b/>
              </w:rPr>
              <w:t>Financial Implications</w:t>
            </w:r>
          </w:p>
        </w:tc>
      </w:tr>
      <w:tr w:rsidR="00925DA1" w:rsidRPr="004E4615" w14:paraId="6D290487" w14:textId="77777777" w:rsidTr="6D726176">
        <w:tc>
          <w:tcPr>
            <w:tcW w:w="9245" w:type="dxa"/>
            <w:gridSpan w:val="3"/>
          </w:tcPr>
          <w:p w14:paraId="018C2073" w14:textId="77777777" w:rsidR="002D6E8B" w:rsidRPr="004E4615" w:rsidRDefault="002D6E8B" w:rsidP="004E4615">
            <w:pPr>
              <w:ind w:right="96"/>
              <w:jc w:val="both"/>
              <w:rPr>
                <w14:ligatures w14:val="standardContextual"/>
              </w:rPr>
            </w:pPr>
            <w:r w:rsidRPr="004E4615">
              <w:rPr>
                <w14:ligatures w14:val="standardContextual"/>
              </w:rPr>
              <w:t>Financial risks associated with the key themes described are not specified in the paper and are operationally managed via Service Groups.</w:t>
            </w:r>
          </w:p>
          <w:p w14:paraId="6D290486" w14:textId="77777777" w:rsidR="00925DA1" w:rsidRPr="004E4615" w:rsidRDefault="00925DA1" w:rsidP="004E4615">
            <w:pPr>
              <w:ind w:right="96"/>
              <w:jc w:val="both"/>
            </w:pPr>
          </w:p>
        </w:tc>
      </w:tr>
      <w:tr w:rsidR="00925DA1" w:rsidRPr="004E4615" w14:paraId="6D290489" w14:textId="77777777" w:rsidTr="6D726176">
        <w:tc>
          <w:tcPr>
            <w:tcW w:w="9245" w:type="dxa"/>
            <w:gridSpan w:val="3"/>
            <w:shd w:val="clear" w:color="auto" w:fill="C1A775"/>
          </w:tcPr>
          <w:p w14:paraId="6D290488" w14:textId="77777777" w:rsidR="00925DA1" w:rsidRPr="004E4615" w:rsidRDefault="00925DA1" w:rsidP="004E4615">
            <w:pPr>
              <w:keepNext/>
              <w:keepLines/>
              <w:ind w:right="96"/>
              <w:jc w:val="both"/>
              <w:rPr>
                <w:b/>
              </w:rPr>
            </w:pPr>
            <w:r w:rsidRPr="004E4615">
              <w:rPr>
                <w:b/>
              </w:rPr>
              <w:t>Legal Implications (including equality and diversity assessment)</w:t>
            </w:r>
          </w:p>
        </w:tc>
      </w:tr>
      <w:tr w:rsidR="00925DA1" w:rsidRPr="004E4615" w14:paraId="6D29048C" w14:textId="77777777" w:rsidTr="6D726176">
        <w:tc>
          <w:tcPr>
            <w:tcW w:w="9245" w:type="dxa"/>
            <w:gridSpan w:val="3"/>
          </w:tcPr>
          <w:p w14:paraId="6D29048B" w14:textId="6725CAA3" w:rsidR="00925DA1" w:rsidRPr="004E4615" w:rsidRDefault="002D6E8B" w:rsidP="00B00BA2">
            <w:pPr>
              <w:ind w:right="96"/>
            </w:pPr>
            <w:r w:rsidRPr="004E4615">
              <w:t xml:space="preserve">As set out in the paper. </w:t>
            </w:r>
            <w:r w:rsidRPr="004E4615">
              <w:br/>
            </w:r>
          </w:p>
        </w:tc>
      </w:tr>
      <w:tr w:rsidR="00925DA1" w:rsidRPr="004E4615" w14:paraId="6D29048E" w14:textId="77777777" w:rsidTr="6D726176">
        <w:tc>
          <w:tcPr>
            <w:tcW w:w="9245" w:type="dxa"/>
            <w:gridSpan w:val="3"/>
            <w:shd w:val="clear" w:color="auto" w:fill="C1A775"/>
          </w:tcPr>
          <w:p w14:paraId="6D29048D" w14:textId="77777777" w:rsidR="00925DA1" w:rsidRPr="004E4615" w:rsidRDefault="00925DA1" w:rsidP="004E4615">
            <w:pPr>
              <w:ind w:right="96"/>
              <w:jc w:val="both"/>
              <w:rPr>
                <w:b/>
              </w:rPr>
            </w:pPr>
            <w:r w:rsidRPr="004E4615">
              <w:rPr>
                <w:b/>
              </w:rPr>
              <w:lastRenderedPageBreak/>
              <w:t>Staffing Implications</w:t>
            </w:r>
          </w:p>
        </w:tc>
      </w:tr>
      <w:tr w:rsidR="00925DA1" w:rsidRPr="004E4615" w14:paraId="6D290491" w14:textId="77777777" w:rsidTr="6D726176">
        <w:tc>
          <w:tcPr>
            <w:tcW w:w="9245" w:type="dxa"/>
            <w:gridSpan w:val="3"/>
          </w:tcPr>
          <w:p w14:paraId="3104D3F3" w14:textId="77777777" w:rsidR="00925DA1" w:rsidRPr="004E4615" w:rsidRDefault="002D6E8B" w:rsidP="004E4615">
            <w:pPr>
              <w:ind w:right="96"/>
              <w:jc w:val="both"/>
            </w:pPr>
            <w:r w:rsidRPr="004E4615">
              <w:t>As described in the paper.</w:t>
            </w:r>
          </w:p>
          <w:p w14:paraId="6D290490" w14:textId="0119741A" w:rsidR="002D6E8B" w:rsidRPr="004E4615" w:rsidRDefault="002D6E8B" w:rsidP="004E4615">
            <w:pPr>
              <w:ind w:right="96"/>
              <w:jc w:val="both"/>
            </w:pPr>
          </w:p>
        </w:tc>
      </w:tr>
      <w:tr w:rsidR="00925DA1" w:rsidRPr="004E4615" w14:paraId="6D290493" w14:textId="77777777" w:rsidTr="6D726176">
        <w:tc>
          <w:tcPr>
            <w:tcW w:w="9245" w:type="dxa"/>
            <w:gridSpan w:val="3"/>
            <w:shd w:val="clear" w:color="auto" w:fill="C1A775"/>
          </w:tcPr>
          <w:p w14:paraId="6D290492" w14:textId="77777777" w:rsidR="00925DA1" w:rsidRPr="004E4615" w:rsidRDefault="00925DA1" w:rsidP="004E4615">
            <w:pPr>
              <w:ind w:right="96"/>
              <w:jc w:val="both"/>
              <w:rPr>
                <w:b/>
              </w:rPr>
            </w:pPr>
            <w:r w:rsidRPr="004E4615">
              <w:rPr>
                <w:b/>
              </w:rPr>
              <w:t>Long Term Implications (including the impact of the Well-being of Future Generations (Wales) Act 2015)</w:t>
            </w:r>
          </w:p>
        </w:tc>
      </w:tr>
      <w:tr w:rsidR="00925DA1" w:rsidRPr="004E4615" w14:paraId="6D290496" w14:textId="77777777" w:rsidTr="6D726176">
        <w:tc>
          <w:tcPr>
            <w:tcW w:w="9245" w:type="dxa"/>
            <w:gridSpan w:val="3"/>
          </w:tcPr>
          <w:p w14:paraId="193B168E" w14:textId="77777777" w:rsidR="00925DA1" w:rsidRPr="004E4615" w:rsidRDefault="002D6E8B" w:rsidP="004E4615">
            <w:pPr>
              <w:ind w:right="96"/>
              <w:jc w:val="both"/>
            </w:pPr>
            <w:r w:rsidRPr="004E4615">
              <w:t xml:space="preserve">This paper reflects </w:t>
            </w:r>
            <w:r w:rsidRPr="004E4615">
              <w:rPr>
                <w:i/>
                <w:iCs/>
              </w:rPr>
              <w:t>The Well-being of Future Generations (Wales) Act</w:t>
            </w:r>
            <w:r w:rsidRPr="004E4615">
              <w:t xml:space="preserve"> (2015) and working relationships between organisations helping to meet the longer-term needs of NHS Wales and enhance the sustainability of the healthcare workforce.</w:t>
            </w:r>
          </w:p>
          <w:p w14:paraId="6D290495" w14:textId="12E1147F" w:rsidR="002D6E8B" w:rsidRPr="004E4615" w:rsidRDefault="002D6E8B" w:rsidP="004E4615">
            <w:pPr>
              <w:ind w:right="96"/>
              <w:jc w:val="both"/>
            </w:pPr>
          </w:p>
        </w:tc>
      </w:tr>
      <w:tr w:rsidR="00925DA1" w:rsidRPr="004E4615" w14:paraId="4C321512" w14:textId="77777777" w:rsidTr="6D726176">
        <w:tc>
          <w:tcPr>
            <w:tcW w:w="9245" w:type="dxa"/>
            <w:gridSpan w:val="3"/>
            <w:shd w:val="clear" w:color="auto" w:fill="C1A775"/>
          </w:tcPr>
          <w:p w14:paraId="7E102395" w14:textId="5A180082" w:rsidR="00925DA1" w:rsidRPr="004E4615" w:rsidRDefault="00925DA1" w:rsidP="004E4615">
            <w:pPr>
              <w:ind w:right="96"/>
              <w:jc w:val="both"/>
              <w:rPr>
                <w:b/>
              </w:rPr>
            </w:pPr>
            <w:r w:rsidRPr="004E4615">
              <w:rPr>
                <w:b/>
              </w:rPr>
              <w:t>Report History</w:t>
            </w:r>
          </w:p>
        </w:tc>
      </w:tr>
      <w:tr w:rsidR="00925DA1" w:rsidRPr="004E4615" w14:paraId="6D29049A" w14:textId="77777777" w:rsidTr="6D726176">
        <w:tc>
          <w:tcPr>
            <w:tcW w:w="9245" w:type="dxa"/>
            <w:gridSpan w:val="3"/>
          </w:tcPr>
          <w:p w14:paraId="5DBB44E9" w14:textId="77777777" w:rsidR="00925DA1" w:rsidRPr="004E4615" w:rsidRDefault="00925DA1" w:rsidP="004E4615">
            <w:pPr>
              <w:ind w:right="96"/>
              <w:jc w:val="both"/>
            </w:pPr>
          </w:p>
          <w:p w14:paraId="6D290499" w14:textId="77777777" w:rsidR="002D6E8B" w:rsidRPr="004E4615" w:rsidRDefault="002D6E8B" w:rsidP="004E4615">
            <w:pPr>
              <w:ind w:right="96"/>
              <w:jc w:val="both"/>
            </w:pPr>
          </w:p>
        </w:tc>
      </w:tr>
      <w:tr w:rsidR="00925DA1" w:rsidRPr="004E4615" w14:paraId="08CD5C29" w14:textId="77777777" w:rsidTr="6D726176">
        <w:tc>
          <w:tcPr>
            <w:tcW w:w="9245" w:type="dxa"/>
            <w:gridSpan w:val="3"/>
            <w:shd w:val="clear" w:color="auto" w:fill="C1A775"/>
          </w:tcPr>
          <w:p w14:paraId="6800FBEB" w14:textId="3ED5416B" w:rsidR="00925DA1" w:rsidRPr="004E4615" w:rsidRDefault="00925DA1" w:rsidP="004E4615">
            <w:pPr>
              <w:ind w:right="96"/>
              <w:jc w:val="both"/>
            </w:pPr>
            <w:r w:rsidRPr="004E4615">
              <w:rPr>
                <w:b/>
              </w:rPr>
              <w:t>Appendices</w:t>
            </w:r>
          </w:p>
        </w:tc>
      </w:tr>
      <w:tr w:rsidR="00925DA1" w:rsidRPr="004E4615" w14:paraId="6D29049F" w14:textId="77777777" w:rsidTr="6D726176">
        <w:tc>
          <w:tcPr>
            <w:tcW w:w="9245" w:type="dxa"/>
            <w:gridSpan w:val="3"/>
          </w:tcPr>
          <w:p w14:paraId="6D29049D" w14:textId="4B51CFFF" w:rsidR="00925DA1" w:rsidRPr="004E4615" w:rsidRDefault="62C9BBE4" w:rsidP="004E4615">
            <w:pPr>
              <w:ind w:right="96"/>
              <w:jc w:val="both"/>
            </w:pPr>
            <w:r>
              <w:t>None.</w:t>
            </w:r>
          </w:p>
          <w:p w14:paraId="6D29049E" w14:textId="77777777" w:rsidR="00925DA1" w:rsidRPr="004E4615" w:rsidRDefault="00925DA1" w:rsidP="004E4615">
            <w:pPr>
              <w:ind w:right="96"/>
              <w:jc w:val="both"/>
            </w:pPr>
          </w:p>
        </w:tc>
      </w:tr>
    </w:tbl>
    <w:p w14:paraId="6D2904A0" w14:textId="77777777" w:rsidR="00034194" w:rsidRPr="004E4615" w:rsidRDefault="00034194" w:rsidP="004E4615">
      <w:pPr>
        <w:jc w:val="both"/>
      </w:pPr>
    </w:p>
    <w:sectPr w:rsidR="00034194" w:rsidRPr="004E4615" w:rsidSect="00FE7070">
      <w:headerReference w:type="default" r:id="rId15"/>
      <w:footerReference w:type="default" r:id="rId16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25BE" w14:textId="77777777" w:rsidR="00246830" w:rsidRDefault="00246830" w:rsidP="00C107F2">
      <w:pPr>
        <w:spacing w:after="0" w:line="240" w:lineRule="auto"/>
      </w:pPr>
      <w:r>
        <w:separator/>
      </w:r>
    </w:p>
  </w:endnote>
  <w:endnote w:type="continuationSeparator" w:id="0">
    <w:p w14:paraId="4A64223A" w14:textId="77777777" w:rsidR="00246830" w:rsidRDefault="00246830" w:rsidP="00C1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C96C" w14:textId="562DA453" w:rsidR="0032747D" w:rsidRPr="0031077C" w:rsidRDefault="00646AAE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0" locked="0" layoutInCell="1" allowOverlap="0" wp14:anchorId="2BC556AF" wp14:editId="1804719D">
          <wp:simplePos x="0" y="0"/>
          <wp:positionH relativeFrom="column">
            <wp:posOffset>-757531</wp:posOffset>
          </wp:positionH>
          <wp:positionV relativeFrom="paragraph">
            <wp:posOffset>-10072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EndPr/>
      <w:sdtContent>
        <w:r w:rsidR="0032747D" w:rsidRPr="0031077C">
          <w:rPr>
            <w:sz w:val="20"/>
            <w:szCs w:val="20"/>
          </w:rPr>
          <w:fldChar w:fldCharType="begin"/>
        </w:r>
        <w:r w:rsidR="0032747D" w:rsidRPr="0031077C">
          <w:rPr>
            <w:sz w:val="20"/>
            <w:szCs w:val="20"/>
          </w:rPr>
          <w:instrText>PAGE   \* MERGEFORMAT</w:instrText>
        </w:r>
        <w:r w:rsidR="0032747D" w:rsidRPr="0031077C">
          <w:rPr>
            <w:sz w:val="20"/>
            <w:szCs w:val="20"/>
          </w:rPr>
          <w:fldChar w:fldCharType="separate"/>
        </w:r>
        <w:r w:rsidR="0032747D" w:rsidRPr="0031077C">
          <w:rPr>
            <w:sz w:val="20"/>
            <w:szCs w:val="20"/>
          </w:rPr>
          <w:t>2</w:t>
        </w:r>
        <w:r w:rsidR="0032747D" w:rsidRPr="0031077C">
          <w:rPr>
            <w:sz w:val="20"/>
            <w:szCs w:val="20"/>
          </w:rPr>
          <w:fldChar w:fldCharType="end"/>
        </w:r>
        <w:r w:rsidR="005D3DF1" w:rsidRPr="0031077C">
          <w:rPr>
            <w:sz w:val="20"/>
            <w:szCs w:val="20"/>
          </w:rPr>
          <w:t xml:space="preserve"> of </w:t>
        </w:r>
        <w:r w:rsidR="00B55302">
          <w:rPr>
            <w:sz w:val="20"/>
            <w:szCs w:val="20"/>
          </w:rPr>
          <w:t>9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  <w:listItem w:displayText="Remuneration and Terms of Service Committee" w:value="Remuneration and Terms of Service Committee"/>
      </w:dropDownList>
    </w:sdtPr>
    <w:sdtEndPr>
      <w:rPr>
        <w:rStyle w:val="CorporateStyle2"/>
      </w:rPr>
    </w:sdtEndPr>
    <w:sdtContent>
      <w:p w14:paraId="6D2904A9" w14:textId="269E9DCB" w:rsidR="003324CB" w:rsidRDefault="00A853AB" w:rsidP="0031077C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Workforce and Organisational Development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10-22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14:paraId="6DC782A8" w14:textId="4AB533EA" w:rsidR="0031077C" w:rsidRPr="0031077C" w:rsidRDefault="00741080" w:rsidP="0031077C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Thursday, 22 October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2DFA" w14:textId="77777777" w:rsidR="00246830" w:rsidRDefault="00246830" w:rsidP="00C107F2">
      <w:pPr>
        <w:spacing w:after="0" w:line="240" w:lineRule="auto"/>
      </w:pPr>
      <w:r>
        <w:separator/>
      </w:r>
    </w:p>
  </w:footnote>
  <w:footnote w:type="continuationSeparator" w:id="0">
    <w:p w14:paraId="3CE47EB0" w14:textId="77777777" w:rsidR="00246830" w:rsidRDefault="00246830" w:rsidP="00C1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904A6" w14:textId="5B462033" w:rsidR="00767E3E" w:rsidRDefault="00CA6D6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D2904AC" wp14:editId="3E661B21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Tight wrapText="bothSides">
            <wp:wrapPolygon edited="0">
              <wp:start x="0" y="0"/>
              <wp:lineTo x="0" y="20903"/>
              <wp:lineTo x="21497" y="20903"/>
              <wp:lineTo x="21497" y="0"/>
              <wp:lineTo x="0" y="0"/>
            </wp:wrapPolygon>
          </wp:wrapTight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CD5"/>
    <w:multiLevelType w:val="hybridMultilevel"/>
    <w:tmpl w:val="86F4C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50A61"/>
    <w:multiLevelType w:val="multilevel"/>
    <w:tmpl w:val="BD7E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B0B92"/>
    <w:multiLevelType w:val="multilevel"/>
    <w:tmpl w:val="09348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3" w15:restartNumberingAfterBreak="0">
    <w:nsid w:val="1C4A703D"/>
    <w:multiLevelType w:val="hybridMultilevel"/>
    <w:tmpl w:val="39F6FB72"/>
    <w:lvl w:ilvl="0" w:tplc="08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BA4702B"/>
    <w:multiLevelType w:val="multilevel"/>
    <w:tmpl w:val="DDE8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7CAA1"/>
    <w:multiLevelType w:val="hybridMultilevel"/>
    <w:tmpl w:val="6FB6FCDE"/>
    <w:lvl w:ilvl="0" w:tplc="9A926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EC4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A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40A7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B82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863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AA9B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DE9F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45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46CE9"/>
    <w:multiLevelType w:val="hybridMultilevel"/>
    <w:tmpl w:val="AEF20604"/>
    <w:lvl w:ilvl="0" w:tplc="073006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645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6C6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C7C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6E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8C6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D0E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25B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C61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B000466"/>
    <w:multiLevelType w:val="multilevel"/>
    <w:tmpl w:val="C3FE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EF466C"/>
    <w:multiLevelType w:val="hybridMultilevel"/>
    <w:tmpl w:val="BA783D2E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3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67DB7964"/>
    <w:multiLevelType w:val="hybridMultilevel"/>
    <w:tmpl w:val="A98AB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6A1F649D"/>
    <w:multiLevelType w:val="hybridMultilevel"/>
    <w:tmpl w:val="60A64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94FB7"/>
    <w:multiLevelType w:val="hybridMultilevel"/>
    <w:tmpl w:val="788C2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C29F8"/>
    <w:multiLevelType w:val="hybridMultilevel"/>
    <w:tmpl w:val="7DF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24894"/>
    <w:multiLevelType w:val="multilevel"/>
    <w:tmpl w:val="574A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1138837753">
    <w:abstractNumId w:val="6"/>
  </w:num>
  <w:num w:numId="2" w16cid:durableId="644704002">
    <w:abstractNumId w:val="7"/>
  </w:num>
  <w:num w:numId="3" w16cid:durableId="704521321">
    <w:abstractNumId w:val="2"/>
  </w:num>
  <w:num w:numId="4" w16cid:durableId="1731493387">
    <w:abstractNumId w:val="11"/>
  </w:num>
  <w:num w:numId="5" w16cid:durableId="358313792">
    <w:abstractNumId w:val="10"/>
  </w:num>
  <w:num w:numId="6" w16cid:durableId="1144618638">
    <w:abstractNumId w:val="8"/>
  </w:num>
  <w:num w:numId="7" w16cid:durableId="211239042">
    <w:abstractNumId w:val="4"/>
  </w:num>
  <w:num w:numId="8" w16cid:durableId="1874800944">
    <w:abstractNumId w:val="19"/>
  </w:num>
  <w:num w:numId="9" w16cid:durableId="263198079">
    <w:abstractNumId w:val="21"/>
  </w:num>
  <w:num w:numId="10" w16cid:durableId="1535070366">
    <w:abstractNumId w:val="13"/>
  </w:num>
  <w:num w:numId="11" w16cid:durableId="1823614381">
    <w:abstractNumId w:val="15"/>
  </w:num>
  <w:num w:numId="12" w16cid:durableId="875429971">
    <w:abstractNumId w:val="17"/>
  </w:num>
  <w:num w:numId="13" w16cid:durableId="1939563771">
    <w:abstractNumId w:val="14"/>
  </w:num>
  <w:num w:numId="14" w16cid:durableId="441727102">
    <w:abstractNumId w:val="0"/>
  </w:num>
  <w:num w:numId="15" w16cid:durableId="1466583715">
    <w:abstractNumId w:val="3"/>
  </w:num>
  <w:num w:numId="16" w16cid:durableId="249970740">
    <w:abstractNumId w:val="18"/>
  </w:num>
  <w:num w:numId="17" w16cid:durableId="179510235">
    <w:abstractNumId w:val="16"/>
  </w:num>
  <w:num w:numId="18" w16cid:durableId="1796946293">
    <w:abstractNumId w:val="5"/>
  </w:num>
  <w:num w:numId="19" w16cid:durableId="1267418953">
    <w:abstractNumId w:val="1"/>
  </w:num>
  <w:num w:numId="20" w16cid:durableId="1279871157">
    <w:abstractNumId w:val="20"/>
  </w:num>
  <w:num w:numId="21" w16cid:durableId="676615843">
    <w:abstractNumId w:val="9"/>
  </w:num>
  <w:num w:numId="22" w16cid:durableId="18843678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151FC"/>
    <w:rsid w:val="00015859"/>
    <w:rsid w:val="00017807"/>
    <w:rsid w:val="000203BD"/>
    <w:rsid w:val="00021C60"/>
    <w:rsid w:val="00023BA9"/>
    <w:rsid w:val="00034194"/>
    <w:rsid w:val="00041CF6"/>
    <w:rsid w:val="0004211A"/>
    <w:rsid w:val="00052D01"/>
    <w:rsid w:val="00054F8C"/>
    <w:rsid w:val="00061E86"/>
    <w:rsid w:val="00065531"/>
    <w:rsid w:val="00072D3B"/>
    <w:rsid w:val="0007768B"/>
    <w:rsid w:val="00083FC0"/>
    <w:rsid w:val="000868BF"/>
    <w:rsid w:val="00093EEC"/>
    <w:rsid w:val="000940E7"/>
    <w:rsid w:val="00097F82"/>
    <w:rsid w:val="000A0751"/>
    <w:rsid w:val="000B44CA"/>
    <w:rsid w:val="000C3280"/>
    <w:rsid w:val="000C5081"/>
    <w:rsid w:val="000E379E"/>
    <w:rsid w:val="000E42A1"/>
    <w:rsid w:val="000F361B"/>
    <w:rsid w:val="000F5BB7"/>
    <w:rsid w:val="00103B31"/>
    <w:rsid w:val="00110100"/>
    <w:rsid w:val="0013382A"/>
    <w:rsid w:val="00133EA1"/>
    <w:rsid w:val="0016096B"/>
    <w:rsid w:val="001707C4"/>
    <w:rsid w:val="00176F09"/>
    <w:rsid w:val="0018209C"/>
    <w:rsid w:val="00182C00"/>
    <w:rsid w:val="00194F9F"/>
    <w:rsid w:val="001A4E1B"/>
    <w:rsid w:val="001B3120"/>
    <w:rsid w:val="001C06A8"/>
    <w:rsid w:val="001C6C4F"/>
    <w:rsid w:val="001D1A09"/>
    <w:rsid w:val="001E6F3B"/>
    <w:rsid w:val="001F2857"/>
    <w:rsid w:val="001F3A52"/>
    <w:rsid w:val="001F48BE"/>
    <w:rsid w:val="002010FE"/>
    <w:rsid w:val="00203F67"/>
    <w:rsid w:val="0020539A"/>
    <w:rsid w:val="00217136"/>
    <w:rsid w:val="002312B3"/>
    <w:rsid w:val="00233330"/>
    <w:rsid w:val="00233D58"/>
    <w:rsid w:val="00234AC2"/>
    <w:rsid w:val="00236251"/>
    <w:rsid w:val="00240F00"/>
    <w:rsid w:val="00241662"/>
    <w:rsid w:val="002432C6"/>
    <w:rsid w:val="00245C09"/>
    <w:rsid w:val="00246830"/>
    <w:rsid w:val="002477E8"/>
    <w:rsid w:val="00250603"/>
    <w:rsid w:val="002518B7"/>
    <w:rsid w:val="002555F7"/>
    <w:rsid w:val="00270897"/>
    <w:rsid w:val="00272BD5"/>
    <w:rsid w:val="002775D4"/>
    <w:rsid w:val="00282019"/>
    <w:rsid w:val="002950FF"/>
    <w:rsid w:val="00296CD9"/>
    <w:rsid w:val="002A706E"/>
    <w:rsid w:val="002B7C9A"/>
    <w:rsid w:val="002B7CFC"/>
    <w:rsid w:val="002C3DD6"/>
    <w:rsid w:val="002D30AC"/>
    <w:rsid w:val="002D6E8B"/>
    <w:rsid w:val="002D77FE"/>
    <w:rsid w:val="002E0BCC"/>
    <w:rsid w:val="0030120F"/>
    <w:rsid w:val="003026FD"/>
    <w:rsid w:val="0030739E"/>
    <w:rsid w:val="0031077C"/>
    <w:rsid w:val="00321CAE"/>
    <w:rsid w:val="003261FD"/>
    <w:rsid w:val="00327324"/>
    <w:rsid w:val="0032747D"/>
    <w:rsid w:val="003324CB"/>
    <w:rsid w:val="00336678"/>
    <w:rsid w:val="003368CA"/>
    <w:rsid w:val="003464BA"/>
    <w:rsid w:val="0035361D"/>
    <w:rsid w:val="00366FDD"/>
    <w:rsid w:val="003748F3"/>
    <w:rsid w:val="00375605"/>
    <w:rsid w:val="00387A41"/>
    <w:rsid w:val="00397BDA"/>
    <w:rsid w:val="003A4B9D"/>
    <w:rsid w:val="003B31B1"/>
    <w:rsid w:val="003C0FF8"/>
    <w:rsid w:val="003C272E"/>
    <w:rsid w:val="003D0A08"/>
    <w:rsid w:val="003D56AE"/>
    <w:rsid w:val="003E3AF5"/>
    <w:rsid w:val="003E5353"/>
    <w:rsid w:val="003F155C"/>
    <w:rsid w:val="003F60AB"/>
    <w:rsid w:val="003F6535"/>
    <w:rsid w:val="004140C9"/>
    <w:rsid w:val="00414894"/>
    <w:rsid w:val="004221DC"/>
    <w:rsid w:val="004222DD"/>
    <w:rsid w:val="00422868"/>
    <w:rsid w:val="00423423"/>
    <w:rsid w:val="0042635B"/>
    <w:rsid w:val="004544E1"/>
    <w:rsid w:val="00461835"/>
    <w:rsid w:val="00466612"/>
    <w:rsid w:val="00466F20"/>
    <w:rsid w:val="004671D2"/>
    <w:rsid w:val="004725D3"/>
    <w:rsid w:val="004754FC"/>
    <w:rsid w:val="004820AC"/>
    <w:rsid w:val="004937D3"/>
    <w:rsid w:val="00494DF8"/>
    <w:rsid w:val="004E109D"/>
    <w:rsid w:val="004E4615"/>
    <w:rsid w:val="004F7367"/>
    <w:rsid w:val="0052297E"/>
    <w:rsid w:val="0053076A"/>
    <w:rsid w:val="00533246"/>
    <w:rsid w:val="005404F4"/>
    <w:rsid w:val="005506AE"/>
    <w:rsid w:val="00556711"/>
    <w:rsid w:val="005618F1"/>
    <w:rsid w:val="00571ABA"/>
    <w:rsid w:val="00572450"/>
    <w:rsid w:val="00574BCF"/>
    <w:rsid w:val="00576395"/>
    <w:rsid w:val="005835C5"/>
    <w:rsid w:val="00585277"/>
    <w:rsid w:val="0059357F"/>
    <w:rsid w:val="00594E39"/>
    <w:rsid w:val="00596AF9"/>
    <w:rsid w:val="005B5AA8"/>
    <w:rsid w:val="005B5CDE"/>
    <w:rsid w:val="005D1652"/>
    <w:rsid w:val="005D2C4A"/>
    <w:rsid w:val="005D3DF1"/>
    <w:rsid w:val="005D44B3"/>
    <w:rsid w:val="005D5AFA"/>
    <w:rsid w:val="005D5E16"/>
    <w:rsid w:val="005E6797"/>
    <w:rsid w:val="005E7440"/>
    <w:rsid w:val="005F2A11"/>
    <w:rsid w:val="005F38A1"/>
    <w:rsid w:val="005F4E71"/>
    <w:rsid w:val="00610D01"/>
    <w:rsid w:val="006201D0"/>
    <w:rsid w:val="00632CA1"/>
    <w:rsid w:val="00640614"/>
    <w:rsid w:val="0064147E"/>
    <w:rsid w:val="00641883"/>
    <w:rsid w:val="00646AAE"/>
    <w:rsid w:val="00653035"/>
    <w:rsid w:val="00653AEC"/>
    <w:rsid w:val="00655190"/>
    <w:rsid w:val="00656183"/>
    <w:rsid w:val="00662218"/>
    <w:rsid w:val="0067099F"/>
    <w:rsid w:val="006715A4"/>
    <w:rsid w:val="006721CA"/>
    <w:rsid w:val="006729DA"/>
    <w:rsid w:val="00672A4C"/>
    <w:rsid w:val="00674884"/>
    <w:rsid w:val="00680BBA"/>
    <w:rsid w:val="00685AE0"/>
    <w:rsid w:val="00687037"/>
    <w:rsid w:val="00693A4B"/>
    <w:rsid w:val="006A2123"/>
    <w:rsid w:val="006B56D7"/>
    <w:rsid w:val="006C2252"/>
    <w:rsid w:val="006C55FE"/>
    <w:rsid w:val="006D1998"/>
    <w:rsid w:val="006F02B9"/>
    <w:rsid w:val="006F0CEA"/>
    <w:rsid w:val="006F549F"/>
    <w:rsid w:val="00703D77"/>
    <w:rsid w:val="00707FAD"/>
    <w:rsid w:val="00711095"/>
    <w:rsid w:val="0072604C"/>
    <w:rsid w:val="007277B5"/>
    <w:rsid w:val="00737883"/>
    <w:rsid w:val="00741080"/>
    <w:rsid w:val="0075502E"/>
    <w:rsid w:val="00757AA4"/>
    <w:rsid w:val="00762BBE"/>
    <w:rsid w:val="00765BE4"/>
    <w:rsid w:val="0076681D"/>
    <w:rsid w:val="0076731C"/>
    <w:rsid w:val="00767E3E"/>
    <w:rsid w:val="0077207D"/>
    <w:rsid w:val="0077360D"/>
    <w:rsid w:val="007A0876"/>
    <w:rsid w:val="007A4733"/>
    <w:rsid w:val="007A49BA"/>
    <w:rsid w:val="007B683C"/>
    <w:rsid w:val="007D313C"/>
    <w:rsid w:val="007D397B"/>
    <w:rsid w:val="007E2050"/>
    <w:rsid w:val="007E29FF"/>
    <w:rsid w:val="007E3BF5"/>
    <w:rsid w:val="007E5BB1"/>
    <w:rsid w:val="007F125F"/>
    <w:rsid w:val="00804324"/>
    <w:rsid w:val="00806CAA"/>
    <w:rsid w:val="008072C1"/>
    <w:rsid w:val="00815BFB"/>
    <w:rsid w:val="00820546"/>
    <w:rsid w:val="008267FB"/>
    <w:rsid w:val="00832792"/>
    <w:rsid w:val="0083537E"/>
    <w:rsid w:val="00850C29"/>
    <w:rsid w:val="008534FD"/>
    <w:rsid w:val="00857D93"/>
    <w:rsid w:val="00860674"/>
    <w:rsid w:val="00870DEB"/>
    <w:rsid w:val="00872305"/>
    <w:rsid w:val="00880939"/>
    <w:rsid w:val="0088365E"/>
    <w:rsid w:val="00885CE9"/>
    <w:rsid w:val="00890021"/>
    <w:rsid w:val="00891BA2"/>
    <w:rsid w:val="00896731"/>
    <w:rsid w:val="008A3F76"/>
    <w:rsid w:val="008B09CB"/>
    <w:rsid w:val="008B1471"/>
    <w:rsid w:val="008C15D9"/>
    <w:rsid w:val="008C50D5"/>
    <w:rsid w:val="008D0747"/>
    <w:rsid w:val="008E13D1"/>
    <w:rsid w:val="008E32DE"/>
    <w:rsid w:val="008F442A"/>
    <w:rsid w:val="0090521F"/>
    <w:rsid w:val="00910C0A"/>
    <w:rsid w:val="009112DC"/>
    <w:rsid w:val="00916170"/>
    <w:rsid w:val="00925DA1"/>
    <w:rsid w:val="009269F1"/>
    <w:rsid w:val="00931E6B"/>
    <w:rsid w:val="00932A72"/>
    <w:rsid w:val="009331F3"/>
    <w:rsid w:val="009334D8"/>
    <w:rsid w:val="00943A59"/>
    <w:rsid w:val="00982988"/>
    <w:rsid w:val="00983F5E"/>
    <w:rsid w:val="009911F2"/>
    <w:rsid w:val="00994245"/>
    <w:rsid w:val="00996159"/>
    <w:rsid w:val="009A15FB"/>
    <w:rsid w:val="009A317F"/>
    <w:rsid w:val="009B52E7"/>
    <w:rsid w:val="009C425C"/>
    <w:rsid w:val="009E14BB"/>
    <w:rsid w:val="009E53B8"/>
    <w:rsid w:val="009E7AF7"/>
    <w:rsid w:val="009F7421"/>
    <w:rsid w:val="00A11C46"/>
    <w:rsid w:val="00A13FD4"/>
    <w:rsid w:val="00A20374"/>
    <w:rsid w:val="00A35122"/>
    <w:rsid w:val="00A3575F"/>
    <w:rsid w:val="00A47699"/>
    <w:rsid w:val="00A64F0E"/>
    <w:rsid w:val="00A671E8"/>
    <w:rsid w:val="00A82894"/>
    <w:rsid w:val="00A83E54"/>
    <w:rsid w:val="00A84941"/>
    <w:rsid w:val="00A853AB"/>
    <w:rsid w:val="00A858F3"/>
    <w:rsid w:val="00A94002"/>
    <w:rsid w:val="00A9600C"/>
    <w:rsid w:val="00A97D23"/>
    <w:rsid w:val="00AA4753"/>
    <w:rsid w:val="00AB4B93"/>
    <w:rsid w:val="00AB61A7"/>
    <w:rsid w:val="00AC4AD4"/>
    <w:rsid w:val="00AD064D"/>
    <w:rsid w:val="00AD40B8"/>
    <w:rsid w:val="00AD486E"/>
    <w:rsid w:val="00AD71BC"/>
    <w:rsid w:val="00AF66FE"/>
    <w:rsid w:val="00B00BA2"/>
    <w:rsid w:val="00B0479E"/>
    <w:rsid w:val="00B0564E"/>
    <w:rsid w:val="00B105BD"/>
    <w:rsid w:val="00B13D60"/>
    <w:rsid w:val="00B14EAE"/>
    <w:rsid w:val="00B206A4"/>
    <w:rsid w:val="00B21EDC"/>
    <w:rsid w:val="00B224D7"/>
    <w:rsid w:val="00B22CF9"/>
    <w:rsid w:val="00B25C58"/>
    <w:rsid w:val="00B269DC"/>
    <w:rsid w:val="00B3430C"/>
    <w:rsid w:val="00B35ECC"/>
    <w:rsid w:val="00B368C2"/>
    <w:rsid w:val="00B50ABC"/>
    <w:rsid w:val="00B55302"/>
    <w:rsid w:val="00B609D3"/>
    <w:rsid w:val="00B6292E"/>
    <w:rsid w:val="00B6629B"/>
    <w:rsid w:val="00B70ED7"/>
    <w:rsid w:val="00B772E0"/>
    <w:rsid w:val="00B904E5"/>
    <w:rsid w:val="00B973B1"/>
    <w:rsid w:val="00BA2507"/>
    <w:rsid w:val="00BA5EB1"/>
    <w:rsid w:val="00BB764F"/>
    <w:rsid w:val="00BC1144"/>
    <w:rsid w:val="00BC241D"/>
    <w:rsid w:val="00BC6BFF"/>
    <w:rsid w:val="00BC7E79"/>
    <w:rsid w:val="00BD78A2"/>
    <w:rsid w:val="00C02A6D"/>
    <w:rsid w:val="00C107F2"/>
    <w:rsid w:val="00C2143D"/>
    <w:rsid w:val="00C25CAF"/>
    <w:rsid w:val="00C32BA5"/>
    <w:rsid w:val="00C33A04"/>
    <w:rsid w:val="00C40206"/>
    <w:rsid w:val="00C43F7B"/>
    <w:rsid w:val="00C55C8E"/>
    <w:rsid w:val="00C56152"/>
    <w:rsid w:val="00C57800"/>
    <w:rsid w:val="00C61658"/>
    <w:rsid w:val="00C61D23"/>
    <w:rsid w:val="00C64D27"/>
    <w:rsid w:val="00C74B0D"/>
    <w:rsid w:val="00C77B23"/>
    <w:rsid w:val="00C91894"/>
    <w:rsid w:val="00C933BE"/>
    <w:rsid w:val="00C94557"/>
    <w:rsid w:val="00C95B3C"/>
    <w:rsid w:val="00CA05CE"/>
    <w:rsid w:val="00CA1009"/>
    <w:rsid w:val="00CA6D65"/>
    <w:rsid w:val="00CB1C7D"/>
    <w:rsid w:val="00CC048E"/>
    <w:rsid w:val="00CC244B"/>
    <w:rsid w:val="00CC381D"/>
    <w:rsid w:val="00CD1DEC"/>
    <w:rsid w:val="00CD7AA5"/>
    <w:rsid w:val="00CF6830"/>
    <w:rsid w:val="00D11351"/>
    <w:rsid w:val="00D16C84"/>
    <w:rsid w:val="00D320D8"/>
    <w:rsid w:val="00D40B91"/>
    <w:rsid w:val="00D45B01"/>
    <w:rsid w:val="00D52143"/>
    <w:rsid w:val="00D53020"/>
    <w:rsid w:val="00D6215B"/>
    <w:rsid w:val="00D63AD7"/>
    <w:rsid w:val="00D7081B"/>
    <w:rsid w:val="00D914F2"/>
    <w:rsid w:val="00DA0F82"/>
    <w:rsid w:val="00DA51E0"/>
    <w:rsid w:val="00DA5D3C"/>
    <w:rsid w:val="00DA76AD"/>
    <w:rsid w:val="00DB308E"/>
    <w:rsid w:val="00DB4061"/>
    <w:rsid w:val="00DB76B3"/>
    <w:rsid w:val="00DC089B"/>
    <w:rsid w:val="00DC6D73"/>
    <w:rsid w:val="00DD41FA"/>
    <w:rsid w:val="00DD4225"/>
    <w:rsid w:val="00DD6133"/>
    <w:rsid w:val="00DE7F4C"/>
    <w:rsid w:val="00DF3645"/>
    <w:rsid w:val="00DF49E3"/>
    <w:rsid w:val="00E06294"/>
    <w:rsid w:val="00E10124"/>
    <w:rsid w:val="00E242E5"/>
    <w:rsid w:val="00E31442"/>
    <w:rsid w:val="00E3794C"/>
    <w:rsid w:val="00E52C94"/>
    <w:rsid w:val="00E53C8F"/>
    <w:rsid w:val="00E575AE"/>
    <w:rsid w:val="00E87B30"/>
    <w:rsid w:val="00EA436A"/>
    <w:rsid w:val="00EA4667"/>
    <w:rsid w:val="00EA7457"/>
    <w:rsid w:val="00EC231A"/>
    <w:rsid w:val="00EC7151"/>
    <w:rsid w:val="00EE7686"/>
    <w:rsid w:val="00EF31AD"/>
    <w:rsid w:val="00F05F7B"/>
    <w:rsid w:val="00F06D6F"/>
    <w:rsid w:val="00F071DE"/>
    <w:rsid w:val="00F11CD2"/>
    <w:rsid w:val="00F1387A"/>
    <w:rsid w:val="00F17EB4"/>
    <w:rsid w:val="00F204CE"/>
    <w:rsid w:val="00F31EBA"/>
    <w:rsid w:val="00F336A4"/>
    <w:rsid w:val="00F5082D"/>
    <w:rsid w:val="00F531BD"/>
    <w:rsid w:val="00F5324A"/>
    <w:rsid w:val="00F55629"/>
    <w:rsid w:val="00F57042"/>
    <w:rsid w:val="00F57C68"/>
    <w:rsid w:val="00F618CD"/>
    <w:rsid w:val="00F6552E"/>
    <w:rsid w:val="00F70565"/>
    <w:rsid w:val="00F7169E"/>
    <w:rsid w:val="00F7288F"/>
    <w:rsid w:val="00F810E6"/>
    <w:rsid w:val="00F82EA6"/>
    <w:rsid w:val="00F8567E"/>
    <w:rsid w:val="00F86656"/>
    <w:rsid w:val="00F91B06"/>
    <w:rsid w:val="00F92458"/>
    <w:rsid w:val="00F97C38"/>
    <w:rsid w:val="00FA0CA9"/>
    <w:rsid w:val="00FA4762"/>
    <w:rsid w:val="00FA5DEC"/>
    <w:rsid w:val="00FB5601"/>
    <w:rsid w:val="00FC21DB"/>
    <w:rsid w:val="00FC75FE"/>
    <w:rsid w:val="00FD0767"/>
    <w:rsid w:val="00FD4B21"/>
    <w:rsid w:val="00FE6109"/>
    <w:rsid w:val="00FE7070"/>
    <w:rsid w:val="0D34EFCE"/>
    <w:rsid w:val="12413FBE"/>
    <w:rsid w:val="15BFFD08"/>
    <w:rsid w:val="188D3824"/>
    <w:rsid w:val="24D01AD7"/>
    <w:rsid w:val="2A31D359"/>
    <w:rsid w:val="417E2099"/>
    <w:rsid w:val="48CD1CCC"/>
    <w:rsid w:val="4B32576F"/>
    <w:rsid w:val="556B38F9"/>
    <w:rsid w:val="5B94BAB6"/>
    <w:rsid w:val="6163AAFF"/>
    <w:rsid w:val="62C9BBE4"/>
    <w:rsid w:val="6D726176"/>
    <w:rsid w:val="6FC5F940"/>
    <w:rsid w:val="71A97547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903DC"/>
  <w15:docId w15:val="{DA5A75FC-DC9C-41FA-99E0-DFCE022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18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2297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297E"/>
    <w:rPr>
      <w:color w:val="0000FF"/>
      <w:u w:val="single"/>
    </w:rPr>
  </w:style>
  <w:style w:type="character" w:customStyle="1" w:styleId="icon">
    <w:name w:val="icon"/>
    <w:basedOn w:val="DefaultParagraphFont"/>
    <w:rsid w:val="0052297E"/>
  </w:style>
  <w:style w:type="paragraph" w:customStyle="1" w:styleId="Default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customStyle="1" w:styleId="Style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customStyle="1" w:styleId="CorporateFont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customStyle="1" w:styleId="CorporateStyle2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  <w:style w:type="paragraph" w:customStyle="1" w:styleId="xmsonormal">
    <w:name w:val="x_msonormal"/>
    <w:basedOn w:val="Normal"/>
    <w:rsid w:val="003E5353"/>
    <w:pPr>
      <w:spacing w:after="0" w:line="240" w:lineRule="auto"/>
    </w:pPr>
    <w:rPr>
      <w:rFonts w:ascii="Aptos" w:hAnsi="Aptos" w:cs="Aptos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91894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AHP &amp; HCS PADR Compliance</a:t>
            </a:r>
            <a:r>
              <a:rPr lang="en-GB" baseline="0"/>
              <a:t>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PADR - Reviews Completed divided by Assignment Count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Sheet1!$B$4:$B$8</c:f>
              <c:numCache>
                <c:formatCode>0.00%;\-0.00%;0.00%</c:formatCode>
                <c:ptCount val="5"/>
                <c:pt idx="0">
                  <c:v>0.85041908446163805</c:v>
                </c:pt>
                <c:pt idx="1">
                  <c:v>0.86864133934320698</c:v>
                </c:pt>
                <c:pt idx="2">
                  <c:v>0.88558500323206202</c:v>
                </c:pt>
                <c:pt idx="3">
                  <c:v>0.881399870382372</c:v>
                </c:pt>
                <c:pt idx="4">
                  <c:v>0.87004548408057203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F6-4B4C-B026-24F362402E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9238608"/>
        <c:axId val="1041079472"/>
      </c:barChart>
      <c:lineChart>
        <c:grouping val="standard"/>
        <c:varyColors val="0"/>
        <c:ser>
          <c:idx val="1"/>
          <c:order val="1"/>
          <c:tx>
            <c:strRef>
              <c:f>Sheet1!$C$3</c:f>
              <c:strCache>
                <c:ptCount val="1"/>
                <c:pt idx="0">
                  <c:v>Target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Sheet1!$C$4:$C$8</c:f>
              <c:numCache>
                <c:formatCode>0.00%</c:formatCode>
                <c:ptCount val="5"/>
                <c:pt idx="0">
                  <c:v>0.85</c:v>
                </c:pt>
                <c:pt idx="1">
                  <c:v>0.85</c:v>
                </c:pt>
                <c:pt idx="2">
                  <c:v>0.85</c:v>
                </c:pt>
                <c:pt idx="3">
                  <c:v>0.85</c:v>
                </c:pt>
                <c:pt idx="4">
                  <c:v>0.85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8F6-4B4C-B026-24F362402E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9238608"/>
        <c:axId val="1041079472"/>
      </c:lineChart>
      <c:dateAx>
        <c:axId val="759238608"/>
        <c:scaling>
          <c:orientation val="minMax"/>
        </c:scaling>
        <c:delete val="0"/>
        <c:axPos val="b"/>
        <c:numFmt formatCode="mmmm\ 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41079472"/>
        <c:crosses val="autoZero"/>
        <c:auto val="1"/>
        <c:lblOffset val="100"/>
        <c:baseTimeUnit val="months"/>
      </c:dateAx>
      <c:valAx>
        <c:axId val="1041079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;\-0.00%;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9238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AHP</a:t>
            </a:r>
            <a:r>
              <a:rPr lang="en-GB" baseline="0"/>
              <a:t> &amp; HCS Sickness/Absence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% Absence FTE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Sheet1!$B$4:$B$8</c:f>
              <c:numCache>
                <c:formatCode>0.00%;\-0.00%;0.00%</c:formatCode>
                <c:ptCount val="5"/>
                <c:pt idx="0">
                  <c:v>3.8220480627108498E-2</c:v>
                </c:pt>
                <c:pt idx="1">
                  <c:v>3.4483391244741098E-2</c:v>
                </c:pt>
                <c:pt idx="2">
                  <c:v>3.6435330045845801E-2</c:v>
                </c:pt>
                <c:pt idx="3">
                  <c:v>4.5218622929903099E-2</c:v>
                </c:pt>
                <c:pt idx="4">
                  <c:v>4.6559933791267397E-2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79-4BE9-8B20-A11C27906E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70915344"/>
        <c:axId val="762591312"/>
      </c:barChart>
      <c:lineChart>
        <c:grouping val="standard"/>
        <c:varyColors val="0"/>
        <c:ser>
          <c:idx val="1"/>
          <c:order val="1"/>
          <c:tx>
            <c:strRef>
              <c:f>Sheet1!$C$3</c:f>
              <c:strCache>
                <c:ptCount val="1"/>
                <c:pt idx="0">
                  <c:v>Target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Sheet1!$C$4:$C$8</c:f>
              <c:numCache>
                <c:formatCode>0.00%;\-0.00%;0.00%</c:formatCode>
                <c:ptCount val="5"/>
                <c:pt idx="0">
                  <c:v>5.0799999999999998E-2</c:v>
                </c:pt>
                <c:pt idx="1">
                  <c:v>5.0799999999999998E-2</c:v>
                </c:pt>
                <c:pt idx="2">
                  <c:v>5.0799999999999998E-2</c:v>
                </c:pt>
                <c:pt idx="3">
                  <c:v>5.0799999999999998E-2</c:v>
                </c:pt>
                <c:pt idx="4">
                  <c:v>5.0799999999999998E-2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579-4BE9-8B20-A11C27906E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70915344"/>
        <c:axId val="762591312"/>
      </c:lineChart>
      <c:dateAx>
        <c:axId val="770915344"/>
        <c:scaling>
          <c:orientation val="minMax"/>
        </c:scaling>
        <c:delete val="0"/>
        <c:axPos val="b"/>
        <c:numFmt formatCode="mmmm\ 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2591312"/>
        <c:crosses val="autoZero"/>
        <c:auto val="1"/>
        <c:lblOffset val="100"/>
        <c:baseTimeUnit val="months"/>
      </c:dateAx>
      <c:valAx>
        <c:axId val="762591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;\-0.00%;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7091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AHP &amp;</a:t>
            </a:r>
            <a:r>
              <a:rPr lang="en-GB" baseline="0"/>
              <a:t> HCS Training Compliance 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Compliance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Sheet1!$B$4:$B$8</c:f>
              <c:numCache>
                <c:formatCode>0.00%;\-0.00%;0.00%</c:formatCode>
                <c:ptCount val="5"/>
                <c:pt idx="0">
                  <c:v>0.91738186330265703</c:v>
                </c:pt>
                <c:pt idx="1">
                  <c:v>0.91642456590770904</c:v>
                </c:pt>
                <c:pt idx="2">
                  <c:v>0.92258843830888704</c:v>
                </c:pt>
                <c:pt idx="3">
                  <c:v>0.92306358782331299</c:v>
                </c:pt>
                <c:pt idx="4">
                  <c:v>0.921017776228651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74-4967-9989-3ADEFF7F95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61761392"/>
        <c:axId val="1101859023"/>
      </c:barChart>
      <c:lineChart>
        <c:grouping val="standard"/>
        <c:varyColors val="0"/>
        <c:ser>
          <c:idx val="1"/>
          <c:order val="1"/>
          <c:tx>
            <c:strRef>
              <c:f>Sheet1!$C$3</c:f>
              <c:strCache>
                <c:ptCount val="1"/>
                <c:pt idx="0">
                  <c:v>Target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Sheet1!$A$4:$A$8</c:f>
              <c:numCache>
                <c:formatCode>mmmm\ yyyy</c:formatCode>
                <c:ptCount val="5"/>
                <c:pt idx="0">
                  <c:v>46113</c:v>
                </c:pt>
                <c:pt idx="1">
                  <c:v>46143</c:v>
                </c:pt>
                <c:pt idx="2">
                  <c:v>46174</c:v>
                </c:pt>
                <c:pt idx="3">
                  <c:v>46204</c:v>
                </c:pt>
                <c:pt idx="4">
                  <c:v>46235</c:v>
                </c:pt>
              </c:numCache>
            </c:numRef>
          </c:cat>
          <c:val>
            <c:numRef>
              <c:f>Sheet1!$C$4:$C$8</c:f>
              <c:numCache>
                <c:formatCode>0.00%</c:formatCode>
                <c:ptCount val="5"/>
                <c:pt idx="0">
                  <c:v>0.85</c:v>
                </c:pt>
                <c:pt idx="1">
                  <c:v>0.85</c:v>
                </c:pt>
                <c:pt idx="2">
                  <c:v>0.85</c:v>
                </c:pt>
                <c:pt idx="3">
                  <c:v>0.85</c:v>
                </c:pt>
                <c:pt idx="4">
                  <c:v>0.85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74-4967-9989-3ADEFF7F95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61761392"/>
        <c:axId val="1101859023"/>
      </c:lineChart>
      <c:dateAx>
        <c:axId val="761761392"/>
        <c:scaling>
          <c:orientation val="minMax"/>
        </c:scaling>
        <c:delete val="0"/>
        <c:axPos val="b"/>
        <c:numFmt formatCode="mmmm\ 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01859023"/>
        <c:crosses val="autoZero"/>
        <c:auto val="1"/>
        <c:lblOffset val="100"/>
        <c:baseTimeUnit val="months"/>
      </c:dateAx>
      <c:valAx>
        <c:axId val="11018590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;\-0.00%;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1761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TURNOVER</a:t>
            </a:r>
            <a:r>
              <a:rPr lang="en-GB" baseline="0"/>
              <a:t> AHP &amp;HCS PROFESSIONAL GROUPS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Sheet1!$B$3</c:f>
              <c:strCache>
                <c:ptCount val="1"/>
                <c:pt idx="0">
                  <c:v>Leavers - Headcount divided by Average Headcount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Sheet1!$A$4:$A$46</c:f>
              <c:numCache>
                <c:formatCode>mmmm\ yyyy</c:formatCode>
                <c:ptCount val="43"/>
                <c:pt idx="0">
                  <c:v>44958</c:v>
                </c:pt>
                <c:pt idx="1">
                  <c:v>44986</c:v>
                </c:pt>
                <c:pt idx="2">
                  <c:v>45017</c:v>
                </c:pt>
                <c:pt idx="3">
                  <c:v>45047</c:v>
                </c:pt>
                <c:pt idx="4">
                  <c:v>45078</c:v>
                </c:pt>
                <c:pt idx="5">
                  <c:v>45108</c:v>
                </c:pt>
                <c:pt idx="6">
                  <c:v>45139</c:v>
                </c:pt>
                <c:pt idx="7">
                  <c:v>45170</c:v>
                </c:pt>
                <c:pt idx="8">
                  <c:v>45200</c:v>
                </c:pt>
                <c:pt idx="9">
                  <c:v>45231</c:v>
                </c:pt>
                <c:pt idx="10">
                  <c:v>45261</c:v>
                </c:pt>
                <c:pt idx="11">
                  <c:v>45292</c:v>
                </c:pt>
                <c:pt idx="12">
                  <c:v>45323</c:v>
                </c:pt>
                <c:pt idx="13">
                  <c:v>45352</c:v>
                </c:pt>
                <c:pt idx="14">
                  <c:v>45383</c:v>
                </c:pt>
                <c:pt idx="15">
                  <c:v>45413</c:v>
                </c:pt>
                <c:pt idx="16">
                  <c:v>45444</c:v>
                </c:pt>
                <c:pt idx="17">
                  <c:v>45474</c:v>
                </c:pt>
                <c:pt idx="18">
                  <c:v>45505</c:v>
                </c:pt>
                <c:pt idx="19">
                  <c:v>45536</c:v>
                </c:pt>
                <c:pt idx="20">
                  <c:v>45566</c:v>
                </c:pt>
                <c:pt idx="21">
                  <c:v>45597</c:v>
                </c:pt>
                <c:pt idx="22">
                  <c:v>45627</c:v>
                </c:pt>
                <c:pt idx="23">
                  <c:v>45658</c:v>
                </c:pt>
                <c:pt idx="24">
                  <c:v>45689</c:v>
                </c:pt>
                <c:pt idx="25">
                  <c:v>45717</c:v>
                </c:pt>
                <c:pt idx="26">
                  <c:v>45748</c:v>
                </c:pt>
                <c:pt idx="27">
                  <c:v>45778</c:v>
                </c:pt>
                <c:pt idx="28">
                  <c:v>45809</c:v>
                </c:pt>
                <c:pt idx="29">
                  <c:v>45839</c:v>
                </c:pt>
                <c:pt idx="30">
                  <c:v>45870</c:v>
                </c:pt>
                <c:pt idx="31">
                  <c:v>45901</c:v>
                </c:pt>
                <c:pt idx="32">
                  <c:v>45931</c:v>
                </c:pt>
                <c:pt idx="33">
                  <c:v>45962</c:v>
                </c:pt>
                <c:pt idx="34">
                  <c:v>45992</c:v>
                </c:pt>
                <c:pt idx="35">
                  <c:v>46023</c:v>
                </c:pt>
                <c:pt idx="36">
                  <c:v>46054</c:v>
                </c:pt>
                <c:pt idx="37">
                  <c:v>46082</c:v>
                </c:pt>
                <c:pt idx="38">
                  <c:v>46113</c:v>
                </c:pt>
                <c:pt idx="39">
                  <c:v>46143</c:v>
                </c:pt>
                <c:pt idx="40">
                  <c:v>46174</c:v>
                </c:pt>
                <c:pt idx="41">
                  <c:v>46204</c:v>
                </c:pt>
                <c:pt idx="42">
                  <c:v>46235</c:v>
                </c:pt>
              </c:numCache>
            </c:numRef>
          </c:cat>
          <c:val>
            <c:numRef>
              <c:f>Sheet1!$B$4:$B$46</c:f>
              <c:numCache>
                <c:formatCode>0.00%;\-0.00%;0.00%</c:formatCode>
                <c:ptCount val="43"/>
                <c:pt idx="0">
                  <c:v>8.8202866593164297E-3</c:v>
                </c:pt>
                <c:pt idx="1">
                  <c:v>1.40066347217103E-2</c:v>
                </c:pt>
                <c:pt idx="2">
                  <c:v>8.1572117167222798E-3</c:v>
                </c:pt>
                <c:pt idx="3">
                  <c:v>4.4526901669758798E-3</c:v>
                </c:pt>
                <c:pt idx="4">
                  <c:v>9.6582466567607696E-3</c:v>
                </c:pt>
                <c:pt idx="5">
                  <c:v>1.1940298507462701E-2</c:v>
                </c:pt>
                <c:pt idx="6">
                  <c:v>6.6543438077633996E-3</c:v>
                </c:pt>
                <c:pt idx="7">
                  <c:v>1.0877447425670801E-2</c:v>
                </c:pt>
                <c:pt idx="8">
                  <c:v>4.99464859079558E-3</c:v>
                </c:pt>
                <c:pt idx="9">
                  <c:v>9.9115044247787606E-3</c:v>
                </c:pt>
                <c:pt idx="10">
                  <c:v>6.3739376770538198E-3</c:v>
                </c:pt>
                <c:pt idx="11">
                  <c:v>2.8228652081863101E-3</c:v>
                </c:pt>
                <c:pt idx="12">
                  <c:v>6.3313401336616204E-3</c:v>
                </c:pt>
                <c:pt idx="13">
                  <c:v>1.12596762843068E-2</c:v>
                </c:pt>
                <c:pt idx="14">
                  <c:v>6.3424947145877403E-3</c:v>
                </c:pt>
                <c:pt idx="15">
                  <c:v>4.90883590462833E-3</c:v>
                </c:pt>
                <c:pt idx="16">
                  <c:v>6.2981105668299502E-3</c:v>
                </c:pt>
                <c:pt idx="17">
                  <c:v>4.8712595685455797E-3</c:v>
                </c:pt>
                <c:pt idx="18">
                  <c:v>1.0387811634349001E-2</c:v>
                </c:pt>
                <c:pt idx="19">
                  <c:v>7.4906367041198503E-3</c:v>
                </c:pt>
                <c:pt idx="20">
                  <c:v>5.3262316910785597E-3</c:v>
                </c:pt>
                <c:pt idx="21">
                  <c:v>6.6072018500165199E-3</c:v>
                </c:pt>
                <c:pt idx="22">
                  <c:v>3.3025099075297201E-3</c:v>
                </c:pt>
                <c:pt idx="23">
                  <c:v>4.61133069828722E-3</c:v>
                </c:pt>
                <c:pt idx="24">
                  <c:v>2.6307135810588601E-3</c:v>
                </c:pt>
                <c:pt idx="25">
                  <c:v>1.0540184453227901E-2</c:v>
                </c:pt>
                <c:pt idx="26">
                  <c:v>4.6296296296296302E-3</c:v>
                </c:pt>
                <c:pt idx="27">
                  <c:v>3.3112582781457001E-3</c:v>
                </c:pt>
                <c:pt idx="28">
                  <c:v>4.6357615894039696E-3</c:v>
                </c:pt>
                <c:pt idx="29">
                  <c:v>5.9504132231404999E-3</c:v>
                </c:pt>
                <c:pt idx="30">
                  <c:v>7.2416063199473302E-3</c:v>
                </c:pt>
                <c:pt idx="31">
                  <c:v>8.5022890778286495E-3</c:v>
                </c:pt>
                <c:pt idx="32">
                  <c:v>6.4956154595647896E-3</c:v>
                </c:pt>
                <c:pt idx="33">
                  <c:v>4.5351473922902504E-3</c:v>
                </c:pt>
                <c:pt idx="34">
                  <c:v>6.4766839378238303E-3</c:v>
                </c:pt>
                <c:pt idx="35">
                  <c:v>7.1312803889789301E-3</c:v>
                </c:pt>
                <c:pt idx="36">
                  <c:v>7.7821011673151804E-3</c:v>
                </c:pt>
                <c:pt idx="37">
                  <c:v>7.1544715447154498E-3</c:v>
                </c:pt>
                <c:pt idx="38">
                  <c:v>3.2658393207054201E-3</c:v>
                </c:pt>
                <c:pt idx="39">
                  <c:v>3.269042170644E-3</c:v>
                </c:pt>
                <c:pt idx="40">
                  <c:v>5.8823529411764696E-3</c:v>
                </c:pt>
                <c:pt idx="41">
                  <c:v>6.5638332786347202E-3</c:v>
                </c:pt>
                <c:pt idx="42">
                  <c:v>4.6219874546054801E-3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25F-46E2-99DC-86907A8BAC87}"/>
            </c:ext>
          </c:extLst>
        </c:ser>
        <c:ser>
          <c:idx val="1"/>
          <c:order val="1"/>
          <c:tx>
            <c:strRef>
              <c:f>Sheet1!$C$3</c:f>
              <c:strCache>
                <c:ptCount val="1"/>
                <c:pt idx="0">
                  <c:v>Leavers - FTE divided by Avg FTE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Sheet1!$A$4:$A$46</c:f>
              <c:numCache>
                <c:formatCode>mmmm\ yyyy</c:formatCode>
                <c:ptCount val="43"/>
                <c:pt idx="0">
                  <c:v>44958</c:v>
                </c:pt>
                <c:pt idx="1">
                  <c:v>44986</c:v>
                </c:pt>
                <c:pt idx="2">
                  <c:v>45017</c:v>
                </c:pt>
                <c:pt idx="3">
                  <c:v>45047</c:v>
                </c:pt>
                <c:pt idx="4">
                  <c:v>45078</c:v>
                </c:pt>
                <c:pt idx="5">
                  <c:v>45108</c:v>
                </c:pt>
                <c:pt idx="6">
                  <c:v>45139</c:v>
                </c:pt>
                <c:pt idx="7">
                  <c:v>45170</c:v>
                </c:pt>
                <c:pt idx="8">
                  <c:v>45200</c:v>
                </c:pt>
                <c:pt idx="9">
                  <c:v>45231</c:v>
                </c:pt>
                <c:pt idx="10">
                  <c:v>45261</c:v>
                </c:pt>
                <c:pt idx="11">
                  <c:v>45292</c:v>
                </c:pt>
                <c:pt idx="12">
                  <c:v>45323</c:v>
                </c:pt>
                <c:pt idx="13">
                  <c:v>45352</c:v>
                </c:pt>
                <c:pt idx="14">
                  <c:v>45383</c:v>
                </c:pt>
                <c:pt idx="15">
                  <c:v>45413</c:v>
                </c:pt>
                <c:pt idx="16">
                  <c:v>45444</c:v>
                </c:pt>
                <c:pt idx="17">
                  <c:v>45474</c:v>
                </c:pt>
                <c:pt idx="18">
                  <c:v>45505</c:v>
                </c:pt>
                <c:pt idx="19">
                  <c:v>45536</c:v>
                </c:pt>
                <c:pt idx="20">
                  <c:v>45566</c:v>
                </c:pt>
                <c:pt idx="21">
                  <c:v>45597</c:v>
                </c:pt>
                <c:pt idx="22">
                  <c:v>45627</c:v>
                </c:pt>
                <c:pt idx="23">
                  <c:v>45658</c:v>
                </c:pt>
                <c:pt idx="24">
                  <c:v>45689</c:v>
                </c:pt>
                <c:pt idx="25">
                  <c:v>45717</c:v>
                </c:pt>
                <c:pt idx="26">
                  <c:v>45748</c:v>
                </c:pt>
                <c:pt idx="27">
                  <c:v>45778</c:v>
                </c:pt>
                <c:pt idx="28">
                  <c:v>45809</c:v>
                </c:pt>
                <c:pt idx="29">
                  <c:v>45839</c:v>
                </c:pt>
                <c:pt idx="30">
                  <c:v>45870</c:v>
                </c:pt>
                <c:pt idx="31">
                  <c:v>45901</c:v>
                </c:pt>
                <c:pt idx="32">
                  <c:v>45931</c:v>
                </c:pt>
                <c:pt idx="33">
                  <c:v>45962</c:v>
                </c:pt>
                <c:pt idx="34">
                  <c:v>45992</c:v>
                </c:pt>
                <c:pt idx="35">
                  <c:v>46023</c:v>
                </c:pt>
                <c:pt idx="36">
                  <c:v>46054</c:v>
                </c:pt>
                <c:pt idx="37">
                  <c:v>46082</c:v>
                </c:pt>
                <c:pt idx="38">
                  <c:v>46113</c:v>
                </c:pt>
                <c:pt idx="39">
                  <c:v>46143</c:v>
                </c:pt>
                <c:pt idx="40">
                  <c:v>46174</c:v>
                </c:pt>
                <c:pt idx="41">
                  <c:v>46204</c:v>
                </c:pt>
                <c:pt idx="42">
                  <c:v>46235</c:v>
                </c:pt>
              </c:numCache>
            </c:numRef>
          </c:cat>
          <c:val>
            <c:numRef>
              <c:f>Sheet1!$C$4:$C$46</c:f>
              <c:numCache>
                <c:formatCode>0.00%;\-0.00%;0.00%</c:formatCode>
                <c:ptCount val="43"/>
                <c:pt idx="0">
                  <c:v>8.5047086418322902E-3</c:v>
                </c:pt>
                <c:pt idx="1">
                  <c:v>1.37328540197859E-2</c:v>
                </c:pt>
                <c:pt idx="2">
                  <c:v>7.6499868782268299E-3</c:v>
                </c:pt>
                <c:pt idx="3">
                  <c:v>3.9742656727011997E-3</c:v>
                </c:pt>
                <c:pt idx="4">
                  <c:v>1.0311631803229001E-2</c:v>
                </c:pt>
                <c:pt idx="5">
                  <c:v>1.2110672640102901E-2</c:v>
                </c:pt>
                <c:pt idx="6">
                  <c:v>6.9867178329458997E-3</c:v>
                </c:pt>
                <c:pt idx="7">
                  <c:v>1.1309975899296699E-2</c:v>
                </c:pt>
                <c:pt idx="8">
                  <c:v>4.0863008780222896E-3</c:v>
                </c:pt>
                <c:pt idx="9">
                  <c:v>1.00261283991043E-2</c:v>
                </c:pt>
                <c:pt idx="10">
                  <c:v>6.0147876793829498E-3</c:v>
                </c:pt>
                <c:pt idx="11">
                  <c:v>2.9624009035679102E-3</c:v>
                </c:pt>
                <c:pt idx="12">
                  <c:v>5.7009646790833098E-3</c:v>
                </c:pt>
                <c:pt idx="13">
                  <c:v>1.1204064139034501E-2</c:v>
                </c:pt>
                <c:pt idx="14">
                  <c:v>6.45973808284448E-3</c:v>
                </c:pt>
                <c:pt idx="15">
                  <c:v>5.0572974560989196E-3</c:v>
                </c:pt>
                <c:pt idx="16">
                  <c:v>6.3966254220012902E-3</c:v>
                </c:pt>
                <c:pt idx="17">
                  <c:v>4.8733036053945104E-3</c:v>
                </c:pt>
                <c:pt idx="18">
                  <c:v>1.0383132865921799E-2</c:v>
                </c:pt>
                <c:pt idx="19">
                  <c:v>7.3698063761021403E-3</c:v>
                </c:pt>
                <c:pt idx="20">
                  <c:v>4.8812953769567496E-3</c:v>
                </c:pt>
                <c:pt idx="21">
                  <c:v>6.8361206301987797E-3</c:v>
                </c:pt>
                <c:pt idx="22">
                  <c:v>2.4245930206911498E-3</c:v>
                </c:pt>
                <c:pt idx="23">
                  <c:v>4.5825208528534698E-3</c:v>
                </c:pt>
                <c:pt idx="24">
                  <c:v>2.86981070380633E-3</c:v>
                </c:pt>
                <c:pt idx="25">
                  <c:v>8.8140166825499307E-3</c:v>
                </c:pt>
                <c:pt idx="26">
                  <c:v>4.7192606035670196E-3</c:v>
                </c:pt>
                <c:pt idx="27">
                  <c:v>2.6214614179554201E-3</c:v>
                </c:pt>
                <c:pt idx="28">
                  <c:v>4.6491682097411901E-3</c:v>
                </c:pt>
                <c:pt idx="29">
                  <c:v>5.2003200666993097E-3</c:v>
                </c:pt>
                <c:pt idx="30">
                  <c:v>6.65050233816871E-3</c:v>
                </c:pt>
                <c:pt idx="31">
                  <c:v>7.3038362095434201E-3</c:v>
                </c:pt>
                <c:pt idx="32">
                  <c:v>6.0907944027313397E-3</c:v>
                </c:pt>
                <c:pt idx="33">
                  <c:v>4.3943735022270898E-3</c:v>
                </c:pt>
                <c:pt idx="34">
                  <c:v>6.9218414585905004E-3</c:v>
                </c:pt>
                <c:pt idx="35">
                  <c:v>7.6437064857900602E-3</c:v>
                </c:pt>
                <c:pt idx="36">
                  <c:v>7.0334729047432099E-3</c:v>
                </c:pt>
                <c:pt idx="37">
                  <c:v>4.72540039150983E-3</c:v>
                </c:pt>
                <c:pt idx="38">
                  <c:v>3.56836721821539E-3</c:v>
                </c:pt>
                <c:pt idx="39">
                  <c:v>3.4684070611651799E-3</c:v>
                </c:pt>
                <c:pt idx="40">
                  <c:v>5.7027720497517202E-3</c:v>
                </c:pt>
                <c:pt idx="41">
                  <c:v>6.7598347604417202E-3</c:v>
                </c:pt>
                <c:pt idx="42">
                  <c:v>4.1986848662088697E-3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25F-46E2-99DC-86907A8BAC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93589503"/>
        <c:axId val="346334576"/>
      </c:lineChart>
      <c:dateAx>
        <c:axId val="1093589503"/>
        <c:scaling>
          <c:orientation val="minMax"/>
        </c:scaling>
        <c:delete val="0"/>
        <c:axPos val="b"/>
        <c:numFmt formatCode="mmmm\ 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46334576"/>
        <c:crosses val="autoZero"/>
        <c:auto val="1"/>
        <c:lblOffset val="100"/>
        <c:baseTimeUnit val="months"/>
      </c:dateAx>
      <c:valAx>
        <c:axId val="346334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;\-0.00%;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93589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751D5878A9DB4631BDE7EB878E2E2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877C-4950-41B9-AD07-C94369F00F8D}"/>
      </w:docPartPr>
      <w:docPartBody>
        <w:p w:rsidR="00C3159D" w:rsidRDefault="00ED754B" w:rsidP="00ED754B">
          <w:pPr>
            <w:pStyle w:val="751D5878A9DB4631BDE7EB878E2E21A8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RDefault="00ED754B" w:rsidP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RDefault="00524839" w:rsidP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RDefault="0040753F" w:rsidP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RDefault="0040753F" w:rsidP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RDefault="0040753F" w:rsidP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RDefault="0040753F" w:rsidP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6015B"/>
    <w:rsid w:val="00066004"/>
    <w:rsid w:val="000756A2"/>
    <w:rsid w:val="000C5081"/>
    <w:rsid w:val="000F6DD0"/>
    <w:rsid w:val="0013382A"/>
    <w:rsid w:val="00175F97"/>
    <w:rsid w:val="001B0EEF"/>
    <w:rsid w:val="001B3EFE"/>
    <w:rsid w:val="001C6C4F"/>
    <w:rsid w:val="00236251"/>
    <w:rsid w:val="00240F00"/>
    <w:rsid w:val="002D7989"/>
    <w:rsid w:val="003261FD"/>
    <w:rsid w:val="00327324"/>
    <w:rsid w:val="00387A41"/>
    <w:rsid w:val="003C272E"/>
    <w:rsid w:val="0040753F"/>
    <w:rsid w:val="004140C9"/>
    <w:rsid w:val="00452091"/>
    <w:rsid w:val="00467E8C"/>
    <w:rsid w:val="00500DD2"/>
    <w:rsid w:val="00524839"/>
    <w:rsid w:val="00591655"/>
    <w:rsid w:val="005B5CDE"/>
    <w:rsid w:val="005F2A11"/>
    <w:rsid w:val="00613210"/>
    <w:rsid w:val="00641883"/>
    <w:rsid w:val="006721CA"/>
    <w:rsid w:val="00672A4C"/>
    <w:rsid w:val="006D0E46"/>
    <w:rsid w:val="006F00D3"/>
    <w:rsid w:val="006F549F"/>
    <w:rsid w:val="00730D6F"/>
    <w:rsid w:val="0076681D"/>
    <w:rsid w:val="007D313C"/>
    <w:rsid w:val="007D7F3C"/>
    <w:rsid w:val="00872305"/>
    <w:rsid w:val="008F7DC3"/>
    <w:rsid w:val="00994245"/>
    <w:rsid w:val="009E14BB"/>
    <w:rsid w:val="00A9600C"/>
    <w:rsid w:val="00AC2950"/>
    <w:rsid w:val="00AD486E"/>
    <w:rsid w:val="00B06ACB"/>
    <w:rsid w:val="00B904E5"/>
    <w:rsid w:val="00BD78A2"/>
    <w:rsid w:val="00C02A6D"/>
    <w:rsid w:val="00C3159D"/>
    <w:rsid w:val="00C57800"/>
    <w:rsid w:val="00C64D27"/>
    <w:rsid w:val="00C666DD"/>
    <w:rsid w:val="00C704C4"/>
    <w:rsid w:val="00CB2F21"/>
    <w:rsid w:val="00CC048E"/>
    <w:rsid w:val="00D06474"/>
    <w:rsid w:val="00D320D8"/>
    <w:rsid w:val="00D914F2"/>
    <w:rsid w:val="00DB0D6E"/>
    <w:rsid w:val="00DC089B"/>
    <w:rsid w:val="00DD6133"/>
    <w:rsid w:val="00E10124"/>
    <w:rsid w:val="00E62F67"/>
    <w:rsid w:val="00E65F23"/>
    <w:rsid w:val="00E86CA7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751D5878A9DB4631BDE7EB878E2E21A8">
    <w:name w:val="751D5878A9DB4631BDE7EB878E2E21A8"/>
    <w:rsid w:val="00ED754B"/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3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AFA753-BEA1-4578-AF07-3B3639C76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2462</Words>
  <Characters>14109</Characters>
  <Application>Microsoft Office Word</Application>
  <DocSecurity>0</DocSecurity>
  <Lines>522</Lines>
  <Paragraphs>290</Paragraphs>
  <ScaleCrop>false</ScaleCrop>
  <Company>ABM LHB</Company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Wenger (ABM ULHB - Corporate Governance)</dc:creator>
  <cp:keywords/>
  <cp:lastModifiedBy>Amelia Cole (Swansea Bay UHB - Corporate)</cp:lastModifiedBy>
  <cp:revision>7</cp:revision>
  <dcterms:created xsi:type="dcterms:W3CDTF">2026-10-08T09:51:00Z</dcterms:created>
  <dcterms:modified xsi:type="dcterms:W3CDTF">2026-10-14T11:59:00Z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