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071C1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23-G-022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071C1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23-G-022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71C19" w:rsidRPr="00071C19" w:rsidRDefault="00071C19" w:rsidP="00071C19">
      <w:pPr>
        <w:rPr>
          <w:rFonts w:ascii="Verdana" w:hAnsi="Verdana"/>
          <w:bCs/>
          <w:noProof/>
          <w:sz w:val="22"/>
          <w:szCs w:val="22"/>
        </w:rPr>
      </w:pPr>
      <w:r w:rsidRPr="00071C19">
        <w:rPr>
          <w:rFonts w:ascii="Verdana" w:hAnsi="Verdana"/>
          <w:bCs/>
          <w:noProof/>
          <w:sz w:val="22"/>
          <w:szCs w:val="22"/>
        </w:rPr>
        <w:t xml:space="preserve">In the past 3 months [latest 3 months available] how many patients have received the following treatments [for any disease]: </w:t>
      </w:r>
    </w:p>
    <w:p w:rsidR="00071C19" w:rsidRPr="00071C19" w:rsidRDefault="00071C19" w:rsidP="00071C1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071C19">
        <w:rPr>
          <w:rFonts w:ascii="Verdana" w:hAnsi="Verdana"/>
          <w:bCs/>
          <w:noProof/>
          <w:sz w:val="22"/>
          <w:szCs w:val="22"/>
        </w:rPr>
        <w:t xml:space="preserve">Berinert (Human C1-esterase inhibitor)  </w:t>
      </w:r>
    </w:p>
    <w:p w:rsidR="00071C19" w:rsidRPr="00071C19" w:rsidRDefault="00071C19" w:rsidP="00071C1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071C19">
        <w:rPr>
          <w:rFonts w:ascii="Verdana" w:hAnsi="Verdana"/>
          <w:bCs/>
          <w:noProof/>
          <w:sz w:val="22"/>
          <w:szCs w:val="22"/>
        </w:rPr>
        <w:t xml:space="preserve">Cinryze (Human C1-esterase inhibitor)  </w:t>
      </w:r>
    </w:p>
    <w:p w:rsidR="00071C19" w:rsidRPr="00071C19" w:rsidRDefault="00071C19" w:rsidP="00071C1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071C19">
        <w:rPr>
          <w:rFonts w:ascii="Verdana" w:hAnsi="Verdana"/>
          <w:bCs/>
          <w:noProof/>
          <w:sz w:val="22"/>
          <w:szCs w:val="22"/>
        </w:rPr>
        <w:t xml:space="preserve">Orladeyo (berotralstat) </w:t>
      </w:r>
      <w:bookmarkStart w:id="0" w:name="_GoBack"/>
      <w:bookmarkEnd w:id="0"/>
    </w:p>
    <w:p w:rsidR="00071C19" w:rsidRPr="00071C19" w:rsidRDefault="00071C19" w:rsidP="00071C1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071C19">
        <w:rPr>
          <w:rFonts w:ascii="Verdana" w:hAnsi="Verdana"/>
          <w:bCs/>
          <w:noProof/>
          <w:sz w:val="22"/>
          <w:szCs w:val="22"/>
        </w:rPr>
        <w:t xml:space="preserve">Takhzyro (Lanadelumab)  </w:t>
      </w:r>
    </w:p>
    <w:p w:rsidR="00071C19" w:rsidRPr="00071C19" w:rsidRDefault="00071C19" w:rsidP="00071C1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071C19">
        <w:rPr>
          <w:rFonts w:ascii="Verdana" w:hAnsi="Verdana"/>
          <w:bCs/>
          <w:noProof/>
          <w:sz w:val="22"/>
          <w:szCs w:val="22"/>
        </w:rPr>
        <w:t xml:space="preserve">Ruconest (Recombinant human C1-esterase inhibitor)  </w:t>
      </w:r>
    </w:p>
    <w:p w:rsidR="00071C19" w:rsidRPr="00071C19" w:rsidRDefault="00071C19" w:rsidP="00071C1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071C19">
        <w:rPr>
          <w:rFonts w:ascii="Verdana" w:hAnsi="Verdana"/>
          <w:bCs/>
          <w:noProof/>
          <w:sz w:val="22"/>
          <w:szCs w:val="22"/>
        </w:rPr>
        <w:t xml:space="preserve">Firazyr (Icatibant)  </w:t>
      </w:r>
    </w:p>
    <w:p w:rsidR="00A10460" w:rsidRPr="00071C19" w:rsidRDefault="00071C19" w:rsidP="00071C1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071C19">
        <w:rPr>
          <w:rFonts w:ascii="Verdana" w:hAnsi="Verdana"/>
          <w:bCs/>
          <w:noProof/>
          <w:sz w:val="22"/>
          <w:szCs w:val="22"/>
        </w:rPr>
        <w:t>Icatibant – any brand except Firazyr</w:t>
      </w: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071C19" w:rsidRPr="00071C19">
        <w:rPr>
          <w:rFonts w:ascii="Verdana" w:hAnsi="Verdana"/>
          <w:bCs/>
          <w:noProof/>
          <w:sz w:val="22"/>
          <w:szCs w:val="22"/>
        </w:rPr>
        <w:t>I can confirm that none of these medications have been issued by SBUHB in the time period April to June 2023.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71C19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7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1513BDA"/>
    <w:multiLevelType w:val="hybridMultilevel"/>
    <w:tmpl w:val="A05C5CE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71C19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1B643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1EAFF0-9790-4933-BC98-4C718F00C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34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2023-07-27T10:04:00Z</dcterms:modified>
</cp:coreProperties>
</file>