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67313">
                              <w:rPr>
                                <w:rFonts w:ascii="Verdana" w:hAnsi="Verdana"/>
                                <w:b/>
                                <w:sz w:val="22"/>
                                <w:szCs w:val="22"/>
                              </w:rPr>
                              <w:t xml:space="preserve"> 23-G-026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67313">
                        <w:rPr>
                          <w:rFonts w:ascii="Verdana" w:hAnsi="Verdana"/>
                          <w:b/>
                          <w:sz w:val="22"/>
                          <w:szCs w:val="22"/>
                        </w:rPr>
                        <w:t xml:space="preserve"> 23-G-026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167313" w:rsidP="00D62A67">
      <w:pPr>
        <w:spacing w:before="280"/>
        <w:rPr>
          <w:rFonts w:ascii="Verdana" w:hAnsi="Verdana"/>
          <w:b/>
          <w:sz w:val="22"/>
        </w:rPr>
      </w:pPr>
      <w:r>
        <w:rPr>
          <w:rFonts w:ascii="Verdana" w:hAnsi="Verdana"/>
          <w:sz w:val="22"/>
        </w:rPr>
        <w:t>Please note that we have provided this information for the period March to May 2023.</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rsidR="00167313" w:rsidRPr="00167313" w:rsidRDefault="00167313" w:rsidP="00167313">
      <w:pPr>
        <w:pStyle w:val="ListParagraph"/>
        <w:numPr>
          <w:ilvl w:val="0"/>
          <w:numId w:val="21"/>
        </w:numPr>
        <w:rPr>
          <w:rFonts w:ascii="Verdana" w:hAnsi="Verdana"/>
          <w:bCs/>
          <w:noProof/>
          <w:sz w:val="22"/>
          <w:szCs w:val="22"/>
        </w:rPr>
      </w:pPr>
      <w:r w:rsidRPr="00167313">
        <w:rPr>
          <w:rFonts w:ascii="Verdana" w:hAnsi="Verdana"/>
          <w:b/>
          <w:bCs/>
          <w:noProof/>
          <w:sz w:val="22"/>
          <w:szCs w:val="22"/>
        </w:rPr>
        <w:t>In the past 3 months, how many patients have been treated for urothelial cancer with the following agents?</w:t>
      </w:r>
      <w:r>
        <w:rPr>
          <w:rFonts w:ascii="Verdana" w:hAnsi="Verdana"/>
          <w:b/>
          <w:bCs/>
          <w:noProof/>
          <w:sz w:val="22"/>
          <w:szCs w:val="22"/>
        </w:rPr>
        <w:br/>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Avelumab</w:t>
      </w:r>
      <w:r w:rsidRPr="00167313">
        <w:rPr>
          <w:rFonts w:ascii="Verdana" w:hAnsi="Verdana"/>
          <w:bCs/>
          <w:noProof/>
          <w:sz w:val="22"/>
          <w:szCs w:val="22"/>
        </w:rPr>
        <w:t xml:space="preserve"> - &lt;5*</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Atezolizumab</w:t>
      </w:r>
      <w:r>
        <w:rPr>
          <w:rFonts w:ascii="Verdana" w:hAnsi="Verdana"/>
          <w:bCs/>
          <w:noProof/>
          <w:sz w:val="22"/>
          <w:szCs w:val="22"/>
        </w:rPr>
        <w:t xml:space="preserve"> - 5</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Carboplatin with Gemcitabine - &lt;5*</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Carboplatin single or in any other combination</w:t>
      </w:r>
      <w:r>
        <w:rPr>
          <w:rFonts w:ascii="Verdana" w:hAnsi="Verdana"/>
          <w:bCs/>
          <w:noProof/>
          <w:sz w:val="22"/>
          <w:szCs w:val="22"/>
        </w:rPr>
        <w:t xml:space="preserve"> - 0</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Cisplatin with Gemcitabine</w:t>
      </w:r>
      <w:r>
        <w:rPr>
          <w:rFonts w:ascii="Verdana" w:hAnsi="Verdana"/>
          <w:bCs/>
          <w:noProof/>
          <w:sz w:val="22"/>
          <w:szCs w:val="22"/>
        </w:rPr>
        <w:t xml:space="preserve"> - &lt;5*</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Cisplatin single or in any other combination</w:t>
      </w:r>
      <w:r>
        <w:rPr>
          <w:rFonts w:ascii="Verdana" w:hAnsi="Verdana"/>
          <w:bCs/>
          <w:noProof/>
          <w:sz w:val="22"/>
          <w:szCs w:val="22"/>
        </w:rPr>
        <w:t xml:space="preserve"> - 0</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Nivolumab</w:t>
      </w:r>
      <w:r>
        <w:rPr>
          <w:rFonts w:ascii="Verdana" w:hAnsi="Verdana"/>
          <w:bCs/>
          <w:noProof/>
          <w:sz w:val="22"/>
          <w:szCs w:val="22"/>
        </w:rPr>
        <w:t xml:space="preserve"> - 0</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Pembrolizumab</w:t>
      </w:r>
      <w:r>
        <w:rPr>
          <w:rFonts w:ascii="Verdana" w:hAnsi="Verdana"/>
          <w:bCs/>
          <w:noProof/>
          <w:sz w:val="22"/>
          <w:szCs w:val="22"/>
        </w:rPr>
        <w:t xml:space="preserve"> - 0</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Any other systemic anti-cancer therapy</w:t>
      </w:r>
      <w:r>
        <w:rPr>
          <w:rFonts w:ascii="Verdana" w:hAnsi="Verdana"/>
          <w:bCs/>
          <w:noProof/>
          <w:sz w:val="22"/>
          <w:szCs w:val="22"/>
        </w:rPr>
        <w:t xml:space="preserve"> - &lt;5*</w:t>
      </w:r>
    </w:p>
    <w:p w:rsidR="00167313" w:rsidRPr="00167313" w:rsidRDefault="00167313" w:rsidP="00167313">
      <w:pPr>
        <w:pStyle w:val="ListParagraph"/>
        <w:numPr>
          <w:ilvl w:val="0"/>
          <w:numId w:val="19"/>
        </w:numPr>
        <w:rPr>
          <w:rFonts w:ascii="Verdana" w:hAnsi="Verdana"/>
          <w:bCs/>
          <w:noProof/>
          <w:sz w:val="22"/>
          <w:szCs w:val="22"/>
        </w:rPr>
      </w:pPr>
      <w:r w:rsidRPr="00167313">
        <w:rPr>
          <w:rFonts w:ascii="Verdana" w:hAnsi="Verdana"/>
          <w:bCs/>
          <w:noProof/>
          <w:sz w:val="22"/>
          <w:szCs w:val="22"/>
        </w:rPr>
        <w:t>Palliative care only</w:t>
      </w:r>
      <w:r>
        <w:rPr>
          <w:rFonts w:ascii="Verdana" w:hAnsi="Verdana"/>
          <w:bCs/>
          <w:noProof/>
          <w:sz w:val="22"/>
          <w:szCs w:val="22"/>
        </w:rPr>
        <w:t xml:space="preserve"> - </w:t>
      </w:r>
      <w:r w:rsidR="009A515D" w:rsidRPr="00524A9A">
        <w:rPr>
          <w:rFonts w:ascii="Verdana" w:hAnsi="Verdana"/>
          <w:sz w:val="22"/>
          <w:szCs w:val="22"/>
        </w:rPr>
        <w:t xml:space="preserve">To obtain this information would involve a manual trawl and search of records which </w:t>
      </w:r>
      <w:r w:rsidR="009A515D" w:rsidRPr="00524A9A">
        <w:rPr>
          <w:rFonts w:ascii="Verdana" w:hAnsi="Verdana" w:cs="Times New Roman"/>
          <w:sz w:val="22"/>
          <w:szCs w:val="22"/>
        </w:rPr>
        <w:t xml:space="preserve">we have estimated would significantly exceed the 18 hours limit set down by the </w:t>
      </w:r>
      <w:smartTag w:uri="urn:schemas-microsoft-com:office:smarttags" w:element="address">
        <w:r w:rsidR="009A515D" w:rsidRPr="00524A9A">
          <w:rPr>
            <w:rFonts w:ascii="Verdana" w:hAnsi="Verdana" w:cs="Times New Roman"/>
            <w:sz w:val="22"/>
            <w:szCs w:val="22"/>
          </w:rPr>
          <w:t>FOI</w:t>
        </w:r>
      </w:smartTag>
      <w:r w:rsidR="009A515D" w:rsidRPr="00524A9A">
        <w:rPr>
          <w:rFonts w:ascii="Verdana" w:hAnsi="Verdana" w:cs="Times New Roman"/>
          <w:sz w:val="22"/>
          <w:szCs w:val="22"/>
        </w:rPr>
        <w:t xml:space="preserve"> Act as the reasonable limit. </w:t>
      </w:r>
      <w:r w:rsidR="009A515D" w:rsidRPr="00524A9A">
        <w:rPr>
          <w:rFonts w:ascii="Verdana" w:hAnsi="Verdana" w:cs="Tahoma"/>
          <w:sz w:val="22"/>
          <w:szCs w:val="22"/>
        </w:rPr>
        <w:t>Section 12 of the FOI Act and T</w:t>
      </w:r>
      <w:r w:rsidR="009A515D" w:rsidRPr="00524A9A">
        <w:rPr>
          <w:rFonts w:ascii="Verdana" w:hAnsi="Verdana"/>
          <w:sz w:val="22"/>
          <w:szCs w:val="22"/>
        </w:rPr>
        <w:t xml:space="preserve">he Freedom of Information and Data Protection (Appropriate Limit and Fees) Regulation 2004 </w:t>
      </w:r>
      <w:r w:rsidR="009A515D" w:rsidRPr="00524A9A">
        <w:rPr>
          <w:rFonts w:ascii="Verdana" w:hAnsi="Verdana" w:cs="Times New Roman"/>
          <w:sz w:val="22"/>
          <w:szCs w:val="22"/>
        </w:rPr>
        <w:t>provides that we are not obliged to spend in excess of 18 hours in any sixty day period locating, retrieving and identifying information in order to deal with a request for information and therefore we are withholding this information at this time.</w:t>
      </w:r>
    </w:p>
    <w:p w:rsidR="00167313" w:rsidRPr="00167313" w:rsidRDefault="00167313" w:rsidP="00167313">
      <w:pPr>
        <w:rPr>
          <w:rFonts w:ascii="Verdana" w:hAnsi="Verdana"/>
          <w:b/>
          <w:bCs/>
          <w:noProof/>
          <w:sz w:val="22"/>
          <w:szCs w:val="22"/>
        </w:rPr>
      </w:pPr>
    </w:p>
    <w:p w:rsidR="00167313" w:rsidRDefault="00167313" w:rsidP="00167313">
      <w:pPr>
        <w:pStyle w:val="ListParagraph"/>
        <w:numPr>
          <w:ilvl w:val="0"/>
          <w:numId w:val="21"/>
        </w:numPr>
        <w:rPr>
          <w:rFonts w:ascii="Verdana" w:hAnsi="Verdana"/>
          <w:b/>
          <w:bCs/>
          <w:noProof/>
          <w:sz w:val="22"/>
          <w:szCs w:val="22"/>
        </w:rPr>
      </w:pPr>
      <w:r w:rsidRPr="00167313">
        <w:rPr>
          <w:rFonts w:ascii="Verdana" w:hAnsi="Verdana"/>
          <w:b/>
          <w:bCs/>
          <w:noProof/>
          <w:sz w:val="22"/>
          <w:szCs w:val="22"/>
        </w:rPr>
        <w:t xml:space="preserve">Does your </w:t>
      </w:r>
      <w:r>
        <w:rPr>
          <w:rFonts w:ascii="Verdana" w:hAnsi="Verdana"/>
          <w:b/>
          <w:bCs/>
          <w:noProof/>
          <w:sz w:val="22"/>
          <w:szCs w:val="22"/>
        </w:rPr>
        <w:t>health board</w:t>
      </w:r>
      <w:r w:rsidRPr="00167313">
        <w:rPr>
          <w:rFonts w:ascii="Verdana" w:hAnsi="Verdana"/>
          <w:b/>
          <w:bCs/>
          <w:noProof/>
          <w:sz w:val="22"/>
          <w:szCs w:val="22"/>
        </w:rPr>
        <w:t xml:space="preserve"> participate in any ongoing clinical trials for the treatment of urothelial cancer? If so, can you please provide the name of each trial along with the number of patients taking part?</w:t>
      </w:r>
      <w:r>
        <w:rPr>
          <w:rFonts w:ascii="Verdana" w:hAnsi="Verdana"/>
          <w:b/>
          <w:bCs/>
          <w:noProof/>
          <w:sz w:val="22"/>
          <w:szCs w:val="22"/>
        </w:rPr>
        <w:br/>
      </w:r>
      <w:r w:rsidRPr="00167313">
        <w:rPr>
          <w:rFonts w:ascii="Verdana" w:hAnsi="Verdana"/>
          <w:bCs/>
          <w:noProof/>
          <w:sz w:val="22"/>
          <w:szCs w:val="22"/>
        </w:rPr>
        <w:t>No, SBUHB has not participated in any urothelial cancer trials in the time period specified.</w:t>
      </w:r>
      <w:r>
        <w:rPr>
          <w:rFonts w:ascii="Verdana" w:hAnsi="Verdana"/>
          <w:b/>
          <w:bCs/>
          <w:noProof/>
          <w:sz w:val="22"/>
          <w:szCs w:val="22"/>
        </w:rPr>
        <w:br/>
      </w:r>
    </w:p>
    <w:p w:rsidR="00167313" w:rsidRPr="009A515D" w:rsidRDefault="00167313" w:rsidP="009A515D">
      <w:pPr>
        <w:pStyle w:val="ListParagraph"/>
        <w:numPr>
          <w:ilvl w:val="0"/>
          <w:numId w:val="21"/>
        </w:numPr>
        <w:rPr>
          <w:rFonts w:ascii="Verdana" w:hAnsi="Verdana"/>
          <w:b/>
          <w:bCs/>
          <w:noProof/>
          <w:sz w:val="22"/>
          <w:szCs w:val="22"/>
        </w:rPr>
      </w:pPr>
      <w:r w:rsidRPr="00167313">
        <w:rPr>
          <w:rFonts w:ascii="Verdana" w:hAnsi="Verdana"/>
          <w:b/>
          <w:bCs/>
          <w:noProof/>
          <w:sz w:val="22"/>
          <w:szCs w:val="22"/>
        </w:rPr>
        <w:lastRenderedPageBreak/>
        <w:t>In the past 3 months, how many patients have been treated for colorectal cancer [CRC] with the following agents?</w:t>
      </w:r>
      <w:r w:rsidR="009A515D">
        <w:rPr>
          <w:rFonts w:ascii="Verdana" w:hAnsi="Verdana"/>
          <w:b/>
          <w:bCs/>
          <w:noProof/>
          <w:sz w:val="22"/>
          <w:szCs w:val="22"/>
        </w:rPr>
        <w:br/>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Aflibercept</w:t>
      </w:r>
      <w:r w:rsidR="00CB43C8">
        <w:rPr>
          <w:rFonts w:ascii="Verdana" w:hAnsi="Verdana"/>
          <w:bCs/>
          <w:noProof/>
          <w:sz w:val="22"/>
          <w:szCs w:val="22"/>
        </w:rPr>
        <w:t xml:space="preserve"> - 0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Bevacizumab</w:t>
      </w:r>
      <w:r w:rsidR="00CB43C8">
        <w:rPr>
          <w:rFonts w:ascii="Verdana" w:hAnsi="Verdana"/>
          <w:bCs/>
          <w:noProof/>
          <w:sz w:val="22"/>
          <w:szCs w:val="22"/>
        </w:rPr>
        <w:t xml:space="preserve"> - &lt;5*</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Capecitabine</w:t>
      </w:r>
      <w:r w:rsidR="00CB43C8">
        <w:rPr>
          <w:rFonts w:ascii="Verdana" w:hAnsi="Verdana"/>
          <w:bCs/>
          <w:noProof/>
          <w:sz w:val="22"/>
          <w:szCs w:val="22"/>
        </w:rPr>
        <w:t xml:space="preserve"> - 20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CAPIRI</w:t>
      </w:r>
      <w:r w:rsidR="00CB43C8">
        <w:rPr>
          <w:rFonts w:ascii="Verdana" w:hAnsi="Verdana"/>
          <w:bCs/>
          <w:noProof/>
          <w:sz w:val="22"/>
          <w:szCs w:val="22"/>
        </w:rPr>
        <w:t xml:space="preserve"> </w:t>
      </w:r>
      <w:r w:rsidR="00CB43C8">
        <w:rPr>
          <w:rFonts w:ascii="Verdana" w:hAnsi="Verdana"/>
          <w:bCs/>
          <w:noProof/>
          <w:sz w:val="22"/>
          <w:szCs w:val="22"/>
        </w:rPr>
        <w:t>- 0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CAPOX (XELOX)</w:t>
      </w:r>
      <w:r w:rsidR="00CB43C8">
        <w:rPr>
          <w:rFonts w:ascii="Verdana" w:hAnsi="Verdana"/>
          <w:bCs/>
          <w:noProof/>
          <w:sz w:val="22"/>
          <w:szCs w:val="22"/>
        </w:rPr>
        <w:t xml:space="preserve"> - 41</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Cetuximab in combination with FOLFIRI/FOLFOX</w:t>
      </w:r>
      <w:r w:rsidR="00CB43C8">
        <w:rPr>
          <w:rFonts w:ascii="Verdana" w:hAnsi="Verdana"/>
          <w:bCs/>
          <w:noProof/>
          <w:sz w:val="22"/>
          <w:szCs w:val="22"/>
        </w:rPr>
        <w:t xml:space="preserve"> </w:t>
      </w:r>
      <w:r w:rsidR="00CB43C8">
        <w:rPr>
          <w:rFonts w:ascii="Verdana" w:hAnsi="Verdana"/>
          <w:bCs/>
          <w:noProof/>
          <w:sz w:val="22"/>
          <w:szCs w:val="22"/>
        </w:rPr>
        <w:t>- &lt;5*</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Cetuximab not in combination with FOLFIRI or FOLFOX</w:t>
      </w:r>
      <w:r w:rsidR="00CB43C8">
        <w:rPr>
          <w:rFonts w:ascii="Verdana" w:hAnsi="Verdana"/>
          <w:bCs/>
          <w:noProof/>
          <w:sz w:val="22"/>
          <w:szCs w:val="22"/>
        </w:rPr>
        <w:t xml:space="preserve"> </w:t>
      </w:r>
      <w:r w:rsidR="00CB43C8">
        <w:rPr>
          <w:rFonts w:ascii="Verdana" w:hAnsi="Verdana"/>
          <w:bCs/>
          <w:noProof/>
          <w:sz w:val="22"/>
          <w:szCs w:val="22"/>
        </w:rPr>
        <w:t>- &lt;5*</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Irinotecan only</w:t>
      </w:r>
      <w:r w:rsidR="00CB43C8">
        <w:rPr>
          <w:rFonts w:ascii="Verdana" w:hAnsi="Verdana"/>
          <w:bCs/>
          <w:noProof/>
          <w:sz w:val="22"/>
          <w:szCs w:val="22"/>
        </w:rPr>
        <w:t xml:space="preserve"> </w:t>
      </w:r>
      <w:r w:rsidR="00CB43C8">
        <w:rPr>
          <w:rFonts w:ascii="Verdana" w:hAnsi="Verdana"/>
          <w:bCs/>
          <w:noProof/>
          <w:sz w:val="22"/>
          <w:szCs w:val="22"/>
        </w:rPr>
        <w:t>- &lt;5*</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FOLFIRI</w:t>
      </w:r>
      <w:r w:rsidR="00CB43C8">
        <w:rPr>
          <w:rFonts w:ascii="Verdana" w:hAnsi="Verdana"/>
          <w:bCs/>
          <w:noProof/>
          <w:sz w:val="22"/>
          <w:szCs w:val="22"/>
        </w:rPr>
        <w:t xml:space="preserve"> - 18</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FOLFOX</w:t>
      </w:r>
      <w:r w:rsidR="00CB43C8">
        <w:rPr>
          <w:rFonts w:ascii="Verdana" w:hAnsi="Verdana"/>
          <w:bCs/>
          <w:noProof/>
          <w:sz w:val="22"/>
          <w:szCs w:val="22"/>
        </w:rPr>
        <w:t xml:space="preserve"> - 11</w:t>
      </w:r>
      <w:bookmarkStart w:id="0" w:name="_GoBack"/>
      <w:bookmarkEnd w:id="0"/>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Fluorouracil (5FU) only</w:t>
      </w:r>
      <w:r w:rsidR="00CB43C8">
        <w:rPr>
          <w:rFonts w:ascii="Verdana" w:hAnsi="Verdana"/>
          <w:bCs/>
          <w:noProof/>
          <w:sz w:val="22"/>
          <w:szCs w:val="22"/>
        </w:rPr>
        <w:t xml:space="preserve"> </w:t>
      </w:r>
      <w:r w:rsidR="00CB43C8">
        <w:rPr>
          <w:rFonts w:ascii="Verdana" w:hAnsi="Verdana"/>
          <w:bCs/>
          <w:noProof/>
          <w:sz w:val="22"/>
          <w:szCs w:val="22"/>
        </w:rPr>
        <w:t>- 0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Oxaliplatin only</w:t>
      </w:r>
      <w:r w:rsidR="00CB43C8">
        <w:rPr>
          <w:rFonts w:ascii="Verdana" w:hAnsi="Verdana"/>
          <w:bCs/>
          <w:noProof/>
          <w:sz w:val="22"/>
          <w:szCs w:val="22"/>
        </w:rPr>
        <w:t xml:space="preserve"> </w:t>
      </w:r>
      <w:r w:rsidR="00CB43C8">
        <w:rPr>
          <w:rFonts w:ascii="Verdana" w:hAnsi="Verdana"/>
          <w:bCs/>
          <w:noProof/>
          <w:sz w:val="22"/>
          <w:szCs w:val="22"/>
        </w:rPr>
        <w:t>- 0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Nivolumab</w:t>
      </w:r>
      <w:r w:rsidR="00CB43C8">
        <w:rPr>
          <w:rFonts w:ascii="Verdana" w:hAnsi="Verdana"/>
          <w:bCs/>
          <w:noProof/>
          <w:sz w:val="22"/>
          <w:szCs w:val="22"/>
        </w:rPr>
        <w:t xml:space="preserve"> </w:t>
      </w:r>
      <w:r w:rsidR="00CB43C8">
        <w:rPr>
          <w:rFonts w:ascii="Verdana" w:hAnsi="Verdana"/>
          <w:bCs/>
          <w:noProof/>
          <w:sz w:val="22"/>
          <w:szCs w:val="22"/>
        </w:rPr>
        <w:t>- 0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Panitumumab in combination with FOLFIRI/FOLFOX</w:t>
      </w:r>
      <w:r w:rsidR="00CB43C8">
        <w:rPr>
          <w:rFonts w:ascii="Verdana" w:hAnsi="Verdana"/>
          <w:bCs/>
          <w:noProof/>
          <w:sz w:val="22"/>
          <w:szCs w:val="22"/>
        </w:rPr>
        <w:t xml:space="preserve"> </w:t>
      </w:r>
      <w:r w:rsidR="00CB43C8">
        <w:rPr>
          <w:rFonts w:ascii="Verdana" w:hAnsi="Verdana"/>
          <w:bCs/>
          <w:noProof/>
          <w:sz w:val="22"/>
          <w:szCs w:val="22"/>
        </w:rPr>
        <w:t>- &lt;5*</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Panitumumab not in combination with FOLFIRI or FOLFOX</w:t>
      </w:r>
      <w:r w:rsidR="00CB43C8">
        <w:rPr>
          <w:rFonts w:ascii="Verdana" w:hAnsi="Verdana"/>
          <w:bCs/>
          <w:noProof/>
          <w:sz w:val="22"/>
          <w:szCs w:val="22"/>
        </w:rPr>
        <w:t xml:space="preserve"> - 5</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Pembrolizumab</w:t>
      </w:r>
      <w:r w:rsidR="00CB43C8">
        <w:rPr>
          <w:rFonts w:ascii="Verdana" w:hAnsi="Verdana"/>
          <w:bCs/>
          <w:noProof/>
          <w:sz w:val="22"/>
          <w:szCs w:val="22"/>
        </w:rPr>
        <w:t xml:space="preserve"> </w:t>
      </w:r>
      <w:r w:rsidR="00CB43C8">
        <w:rPr>
          <w:rFonts w:ascii="Verdana" w:hAnsi="Verdana"/>
          <w:bCs/>
          <w:noProof/>
          <w:sz w:val="22"/>
          <w:szCs w:val="22"/>
        </w:rPr>
        <w:t>- 0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Raltitrexed</w:t>
      </w:r>
      <w:r w:rsidR="00CB43C8">
        <w:rPr>
          <w:rFonts w:ascii="Verdana" w:hAnsi="Verdana"/>
          <w:bCs/>
          <w:noProof/>
          <w:sz w:val="22"/>
          <w:szCs w:val="22"/>
        </w:rPr>
        <w:t xml:space="preserve"> </w:t>
      </w:r>
      <w:r w:rsidR="00CB43C8">
        <w:rPr>
          <w:rFonts w:ascii="Verdana" w:hAnsi="Verdana"/>
          <w:bCs/>
          <w:noProof/>
          <w:sz w:val="22"/>
          <w:szCs w:val="22"/>
        </w:rPr>
        <w:t>- 0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Ramucirumab</w:t>
      </w:r>
      <w:r w:rsidR="00CB43C8">
        <w:rPr>
          <w:rFonts w:ascii="Verdana" w:hAnsi="Verdana"/>
          <w:bCs/>
          <w:noProof/>
          <w:sz w:val="22"/>
          <w:szCs w:val="22"/>
        </w:rPr>
        <w:t xml:space="preserve"> </w:t>
      </w:r>
      <w:r w:rsidR="00CB43C8">
        <w:rPr>
          <w:rFonts w:ascii="Verdana" w:hAnsi="Verdana"/>
          <w:bCs/>
          <w:noProof/>
          <w:sz w:val="22"/>
          <w:szCs w:val="22"/>
        </w:rPr>
        <w:t>- 0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Regorafenib</w:t>
      </w:r>
      <w:r w:rsidR="00CB43C8">
        <w:rPr>
          <w:rFonts w:ascii="Verdana" w:hAnsi="Verdana"/>
          <w:bCs/>
          <w:noProof/>
          <w:sz w:val="22"/>
          <w:szCs w:val="22"/>
        </w:rPr>
        <w:t xml:space="preserve"> - 6</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Tegafur + Uracil</w:t>
      </w:r>
      <w:r w:rsidR="00CB43C8">
        <w:rPr>
          <w:rFonts w:ascii="Verdana" w:hAnsi="Verdana"/>
          <w:bCs/>
          <w:noProof/>
          <w:sz w:val="22"/>
          <w:szCs w:val="22"/>
        </w:rPr>
        <w:t xml:space="preserve"> </w:t>
      </w:r>
      <w:r w:rsidR="00CB43C8">
        <w:rPr>
          <w:rFonts w:ascii="Verdana" w:hAnsi="Verdana"/>
          <w:bCs/>
          <w:noProof/>
          <w:sz w:val="22"/>
          <w:szCs w:val="22"/>
        </w:rPr>
        <w:t>- 0</w:t>
      </w:r>
    </w:p>
    <w:p w:rsidR="00167313" w:rsidRPr="009A515D" w:rsidRDefault="00167313" w:rsidP="00167313">
      <w:pPr>
        <w:pStyle w:val="ListParagraph"/>
        <w:numPr>
          <w:ilvl w:val="0"/>
          <w:numId w:val="19"/>
        </w:numPr>
        <w:rPr>
          <w:rFonts w:ascii="Verdana" w:hAnsi="Verdana"/>
          <w:bCs/>
          <w:noProof/>
          <w:sz w:val="22"/>
          <w:szCs w:val="22"/>
        </w:rPr>
      </w:pPr>
      <w:r w:rsidRPr="009A515D">
        <w:rPr>
          <w:rFonts w:ascii="Verdana" w:hAnsi="Verdana"/>
          <w:bCs/>
          <w:noProof/>
          <w:sz w:val="22"/>
          <w:szCs w:val="22"/>
        </w:rPr>
        <w:t>Any other systemic anti-cancer therapy</w:t>
      </w:r>
      <w:r w:rsidR="00CB43C8">
        <w:rPr>
          <w:rFonts w:ascii="Verdana" w:hAnsi="Verdana"/>
          <w:bCs/>
          <w:noProof/>
          <w:sz w:val="22"/>
          <w:szCs w:val="22"/>
        </w:rPr>
        <w:t xml:space="preserve"> - 23</w:t>
      </w:r>
    </w:p>
    <w:p w:rsidR="00CB43C8" w:rsidRPr="00167313" w:rsidRDefault="00167313" w:rsidP="00CB43C8">
      <w:pPr>
        <w:pStyle w:val="ListParagraph"/>
        <w:numPr>
          <w:ilvl w:val="0"/>
          <w:numId w:val="19"/>
        </w:numPr>
        <w:rPr>
          <w:rFonts w:ascii="Verdana" w:hAnsi="Verdana"/>
          <w:bCs/>
          <w:noProof/>
          <w:sz w:val="22"/>
          <w:szCs w:val="22"/>
        </w:rPr>
      </w:pPr>
      <w:r w:rsidRPr="009A515D">
        <w:rPr>
          <w:rFonts w:ascii="Verdana" w:hAnsi="Verdana"/>
          <w:bCs/>
          <w:noProof/>
          <w:sz w:val="22"/>
          <w:szCs w:val="22"/>
        </w:rPr>
        <w:t>Palliative care only</w:t>
      </w:r>
      <w:r w:rsidR="00CB43C8">
        <w:rPr>
          <w:rFonts w:ascii="Verdana" w:hAnsi="Verdana"/>
          <w:bCs/>
          <w:noProof/>
          <w:sz w:val="22"/>
          <w:szCs w:val="22"/>
        </w:rPr>
        <w:t xml:space="preserve"> - </w:t>
      </w:r>
      <w:r w:rsidR="00CB43C8" w:rsidRPr="00524A9A">
        <w:rPr>
          <w:rFonts w:ascii="Verdana" w:hAnsi="Verdana"/>
          <w:sz w:val="22"/>
          <w:szCs w:val="22"/>
        </w:rPr>
        <w:t xml:space="preserve">To obtain this information would involve a manual trawl and search of records which </w:t>
      </w:r>
      <w:r w:rsidR="00CB43C8" w:rsidRPr="00524A9A">
        <w:rPr>
          <w:rFonts w:ascii="Verdana" w:hAnsi="Verdana" w:cs="Times New Roman"/>
          <w:sz w:val="22"/>
          <w:szCs w:val="22"/>
        </w:rPr>
        <w:t xml:space="preserve">we have estimated would significantly exceed the 18 hours limit set down by the </w:t>
      </w:r>
      <w:smartTag w:uri="urn:schemas-microsoft-com:office:smarttags" w:element="address">
        <w:r w:rsidR="00CB43C8" w:rsidRPr="00524A9A">
          <w:rPr>
            <w:rFonts w:ascii="Verdana" w:hAnsi="Verdana" w:cs="Times New Roman"/>
            <w:sz w:val="22"/>
            <w:szCs w:val="22"/>
          </w:rPr>
          <w:t>FOI</w:t>
        </w:r>
      </w:smartTag>
      <w:r w:rsidR="00CB43C8" w:rsidRPr="00524A9A">
        <w:rPr>
          <w:rFonts w:ascii="Verdana" w:hAnsi="Verdana" w:cs="Times New Roman"/>
          <w:sz w:val="22"/>
          <w:szCs w:val="22"/>
        </w:rPr>
        <w:t xml:space="preserve"> Act as the reasonable limit. </w:t>
      </w:r>
      <w:r w:rsidR="00CB43C8" w:rsidRPr="00524A9A">
        <w:rPr>
          <w:rFonts w:ascii="Verdana" w:hAnsi="Verdana" w:cs="Tahoma"/>
          <w:sz w:val="22"/>
          <w:szCs w:val="22"/>
        </w:rPr>
        <w:t>Section 12 of the FOI Act and T</w:t>
      </w:r>
      <w:r w:rsidR="00CB43C8" w:rsidRPr="00524A9A">
        <w:rPr>
          <w:rFonts w:ascii="Verdana" w:hAnsi="Verdana"/>
          <w:sz w:val="22"/>
          <w:szCs w:val="22"/>
        </w:rPr>
        <w:t xml:space="preserve">he Freedom of Information and Data Protection (Appropriate Limit and Fees) Regulation 2004 </w:t>
      </w:r>
      <w:r w:rsidR="00CB43C8" w:rsidRPr="00524A9A">
        <w:rPr>
          <w:rFonts w:ascii="Verdana" w:hAnsi="Verdana" w:cs="Times New Roman"/>
          <w:sz w:val="22"/>
          <w:szCs w:val="22"/>
        </w:rPr>
        <w:t>provides that we are not obliged to spend in excess of 18 hours in any sixty day period locating, retrieving and identifying information in order to deal with a request for information and therefore we are withholding this information at this time.</w:t>
      </w:r>
    </w:p>
    <w:p w:rsidR="00167313" w:rsidRDefault="00421E7F" w:rsidP="00CB43C8">
      <w:pPr>
        <w:pStyle w:val="ListParagraph"/>
        <w:ind w:left="1225"/>
        <w:rPr>
          <w:rFonts w:ascii="Verdana" w:hAnsi="Verdana"/>
          <w:b/>
          <w:bCs/>
          <w:noProof/>
          <w:sz w:val="22"/>
          <w:szCs w:val="22"/>
        </w:rPr>
      </w:pPr>
      <w:r w:rsidRPr="00167313">
        <w:rPr>
          <w:rFonts w:ascii="Verdana" w:hAnsi="Verdana"/>
          <w:b/>
          <w:bCs/>
          <w:noProof/>
          <w:sz w:val="22"/>
          <w:szCs w:val="22"/>
        </w:rPr>
        <w:br/>
      </w:r>
    </w:p>
    <w:p w:rsidR="00167313" w:rsidRDefault="00167313" w:rsidP="00167313">
      <w:pPr>
        <w:rPr>
          <w:rFonts w:ascii="Verdana" w:hAnsi="Verdana"/>
          <w:b/>
          <w:bCs/>
          <w:noProof/>
          <w:sz w:val="22"/>
          <w:szCs w:val="22"/>
        </w:rPr>
      </w:pPr>
      <w:r w:rsidRPr="00167313">
        <w:rPr>
          <w:rFonts w:ascii="Verdana" w:hAnsi="Verdana"/>
          <w:b/>
          <w:bCs/>
          <w:noProof/>
          <w:sz w:val="22"/>
          <w:szCs w:val="22"/>
        </w:rPr>
        <w:t>*</w:t>
      </w:r>
      <w:r w:rsidRPr="00167313">
        <w:rPr>
          <w:rFonts w:ascii="Verdana" w:hAnsi="Verdana"/>
          <w:sz w:val="22"/>
          <w:szCs w:val="22"/>
        </w:rPr>
        <w:t xml:space="preserve"> </w:t>
      </w:r>
      <w:r w:rsidRPr="00167313">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167313">
          <w:rPr>
            <w:rFonts w:ascii="Verdana" w:hAnsi="Verdana"/>
            <w:sz w:val="22"/>
            <w:szCs w:val="22"/>
          </w:rPr>
          <w:t>Freedom of Information</w:t>
        </w:r>
      </w:smartTag>
      <w:r w:rsidRPr="00167313">
        <w:rPr>
          <w:rFonts w:ascii="Verdana" w:hAnsi="Verdana"/>
          <w:sz w:val="22"/>
          <w:szCs w:val="22"/>
        </w:rPr>
        <w:t xml:space="preserve"> Act 2000.  This information is protected by the </w:t>
      </w:r>
      <w:r w:rsidRPr="00167313">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167313">
        <w:rPr>
          <w:rFonts w:ascii="Verdana" w:hAnsi="Verdana"/>
          <w:bCs/>
          <w:iCs/>
          <w:sz w:val="22"/>
          <w:szCs w:val="22"/>
        </w:rPr>
        <w:t>in regard to</w:t>
      </w:r>
      <w:r w:rsidRPr="00167313">
        <w:rPr>
          <w:rFonts w:ascii="Verdana" w:hAnsi="Verdana"/>
          <w:iCs/>
          <w:sz w:val="22"/>
          <w:szCs w:val="22"/>
        </w:rPr>
        <w:t xml:space="preserve"> Articles 5, 6, and 9 of GDPR.  </w:t>
      </w:r>
      <w:r w:rsidRPr="00167313">
        <w:rPr>
          <w:rFonts w:ascii="Verdana" w:hAnsi="Verdana"/>
          <w:sz w:val="22"/>
          <w:szCs w:val="22"/>
        </w:rPr>
        <w:t>This exemption is absolute and therefore there is no requirement to apply the public interest test.</w:t>
      </w:r>
      <w:r w:rsidR="00421E7F" w:rsidRPr="00167313">
        <w:rPr>
          <w:rFonts w:ascii="Verdana" w:hAnsi="Verdana"/>
          <w:b/>
          <w:bCs/>
          <w:noProof/>
          <w:sz w:val="22"/>
          <w:szCs w:val="22"/>
        </w:rPr>
        <w:br/>
      </w:r>
      <w:r w:rsidR="00421E7F" w:rsidRPr="00167313">
        <w:rPr>
          <w:rFonts w:ascii="Verdana" w:hAnsi="Verdana"/>
          <w:b/>
          <w:bCs/>
          <w:noProof/>
          <w:sz w:val="22"/>
          <w:szCs w:val="22"/>
        </w:rPr>
        <w:br/>
      </w:r>
      <w:r w:rsidR="00421E7F" w:rsidRPr="00167313">
        <w:rPr>
          <w:rFonts w:ascii="Verdana" w:hAnsi="Verdana"/>
          <w:b/>
          <w:bCs/>
          <w:noProof/>
          <w:sz w:val="22"/>
          <w:szCs w:val="22"/>
        </w:rPr>
        <w:br/>
      </w:r>
    </w:p>
    <w:p w:rsidR="00A10460" w:rsidRPr="00167313" w:rsidRDefault="00421E7F" w:rsidP="00167313">
      <w:pPr>
        <w:jc w:val="center"/>
        <w:rPr>
          <w:rFonts w:ascii="Verdana" w:hAnsi="Verdana"/>
          <w:b/>
          <w:bCs/>
          <w:noProof/>
          <w:sz w:val="22"/>
          <w:szCs w:val="22"/>
        </w:rPr>
      </w:pPr>
      <w:r w:rsidRPr="00167313">
        <w:rPr>
          <w:rFonts w:ascii="Verdana" w:hAnsi="Verdana"/>
          <w:b/>
          <w:bCs/>
          <w:noProof/>
          <w:sz w:val="22"/>
          <w:szCs w:val="22"/>
        </w:rPr>
        <w:t>_____________________________________________________________</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B43C8">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0" type="#_x0000_t75" style="width:20.4pt;height:20.4pt;visibility:visible;mso-wrap-style:square" o:bullet="t">
        <v:imagedata r:id="rId1" o:title=""/>
      </v:shape>
    </w:pict>
  </w:numPicBullet>
  <w:numPicBullet w:numPicBulletId="1">
    <w:pict>
      <v:shape id="_x0000_i1071" type="#_x0000_t75" style="width:383.65pt;height:383.65pt;visibility:visible;mso-wrap-style:square" o:bullet="t">
        <v:imagedata r:id="rId2" o:title=""/>
      </v:shape>
    </w:pict>
  </w:numPicBullet>
  <w:numPicBullet w:numPicBulletId="2">
    <w:pict>
      <v:shape id="_x0000_i1072" type="#_x0000_t75" style="width:225.65pt;height:225.65pt;visibility:visible;mso-wrap-style:square" o:bullet="t">
        <v:imagedata r:id="rId3" o:title=""/>
      </v:shape>
    </w:pict>
  </w:numPicBullet>
  <w:numPicBullet w:numPicBulletId="3">
    <w:pict>
      <v:shape id="_x0000_i1073" type="#_x0000_t75" style="width:16.1pt;height:16.1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1F46023"/>
    <w:multiLevelType w:val="hybridMultilevel"/>
    <w:tmpl w:val="D6AE50D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0" w15:restartNumberingAfterBreak="0">
    <w:nsid w:val="4AAD1F2D"/>
    <w:multiLevelType w:val="hybridMultilevel"/>
    <w:tmpl w:val="916A26FA"/>
    <w:lvl w:ilvl="0" w:tplc="1F681DEE">
      <w:start w:val="1"/>
      <w:numFmt w:val="bullet"/>
      <w:lvlText w:val="•"/>
      <w:lvlJc w:val="left"/>
      <w:pPr>
        <w:ind w:left="137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7675AC4"/>
    <w:multiLevelType w:val="hybridMultilevel"/>
    <w:tmpl w:val="B7C8F37E"/>
    <w:lvl w:ilvl="0" w:tplc="1F681DEE">
      <w:start w:val="1"/>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4A26539"/>
    <w:multiLevelType w:val="hybridMultilevel"/>
    <w:tmpl w:val="18EC8E2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7C34C9C"/>
    <w:multiLevelType w:val="hybridMultilevel"/>
    <w:tmpl w:val="9238E27E"/>
    <w:lvl w:ilvl="0" w:tplc="AE06AF80">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7"/>
  </w:num>
  <w:num w:numId="4">
    <w:abstractNumId w:val="18"/>
  </w:num>
  <w:num w:numId="5">
    <w:abstractNumId w:val="3"/>
  </w:num>
  <w:num w:numId="6">
    <w:abstractNumId w:val="2"/>
  </w:num>
  <w:num w:numId="7">
    <w:abstractNumId w:val="11"/>
  </w:num>
  <w:num w:numId="8">
    <w:abstractNumId w:val="16"/>
  </w:num>
  <w:num w:numId="9">
    <w:abstractNumId w:val="21"/>
  </w:num>
  <w:num w:numId="10">
    <w:abstractNumId w:val="1"/>
  </w:num>
  <w:num w:numId="11">
    <w:abstractNumId w:val="8"/>
  </w:num>
  <w:num w:numId="12">
    <w:abstractNumId w:val="13"/>
  </w:num>
  <w:num w:numId="13">
    <w:abstractNumId w:val="19"/>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4"/>
  </w:num>
  <w:num w:numId="18">
    <w:abstractNumId w:val="17"/>
  </w:num>
  <w:num w:numId="19">
    <w:abstractNumId w:val="15"/>
  </w:num>
  <w:num w:numId="20">
    <w:abstractNumId w:val="9"/>
  </w:num>
  <w:num w:numId="21">
    <w:abstractNumId w:val="20"/>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67313"/>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A515D"/>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B43C8"/>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BBFC84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34E4F5-3169-48DF-8710-06AD7E17A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15</TotalTime>
  <Pages>2</Pages>
  <Words>544</Words>
  <Characters>3107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2023-07-31T14:23:00Z</dcterms:modified>
</cp:coreProperties>
</file>