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2301B4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301B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23-K-033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2301B4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301B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23-K-033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BD305F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BD305F">
        <w:rPr>
          <w:rFonts w:ascii="Verdana" w:hAnsi="Verdana"/>
          <w:b/>
          <w:sz w:val="22"/>
          <w:szCs w:val="22"/>
        </w:rPr>
        <w:t>You asked:</w:t>
      </w:r>
    </w:p>
    <w:p w:rsidR="002301B4" w:rsidRPr="00BD305F" w:rsidRDefault="002301B4" w:rsidP="002301B4">
      <w:pPr>
        <w:pStyle w:val="NoSpacing"/>
        <w:jc w:val="both"/>
        <w:rPr>
          <w:rFonts w:ascii="Verdana" w:hAnsi="Verdana"/>
          <w:b/>
          <w:sz w:val="22"/>
          <w:szCs w:val="22"/>
        </w:rPr>
      </w:pPr>
      <w:r w:rsidRPr="00BD305F">
        <w:rPr>
          <w:rFonts w:ascii="Verdana" w:hAnsi="Verdana"/>
          <w:b/>
          <w:sz w:val="22"/>
          <w:szCs w:val="22"/>
        </w:rPr>
        <w:t>In the past 3 months, how many patients</w:t>
      </w:r>
      <w:bookmarkStart w:id="0" w:name="_GoBack"/>
      <w:bookmarkEnd w:id="0"/>
      <w:r w:rsidRPr="00BD305F">
        <w:rPr>
          <w:rFonts w:ascii="Verdana" w:hAnsi="Verdana"/>
          <w:b/>
          <w:sz w:val="22"/>
          <w:szCs w:val="22"/>
        </w:rPr>
        <w:t xml:space="preserve"> have been treated for Colorectal Cancer [CRC] with the following regimens? If possible, please also provide the split of metastatic vs non-metastatic patients for each regimen.</w:t>
      </w:r>
    </w:p>
    <w:p w:rsidR="002301B4" w:rsidRPr="00BD305F" w:rsidRDefault="002301B4" w:rsidP="002301B4">
      <w:pPr>
        <w:pStyle w:val="NoSpacing"/>
        <w:jc w:val="both"/>
        <w:rPr>
          <w:rFonts w:ascii="Verdana" w:hAnsi="Verdana"/>
          <w:sz w:val="22"/>
          <w:szCs w:val="22"/>
        </w:rPr>
      </w:pPr>
      <w:r w:rsidRPr="00BD305F">
        <w:rPr>
          <w:rFonts w:ascii="Verdana" w:hAnsi="Verdana"/>
          <w:sz w:val="22"/>
          <w:szCs w:val="22"/>
        </w:rPr>
        <w:t>We have provided the data for 1</w:t>
      </w:r>
      <w:r w:rsidRPr="00BD305F">
        <w:rPr>
          <w:rFonts w:ascii="Verdana" w:hAnsi="Verdana"/>
          <w:sz w:val="22"/>
          <w:szCs w:val="22"/>
          <w:vertAlign w:val="superscript"/>
        </w:rPr>
        <w:t>st</w:t>
      </w:r>
      <w:r w:rsidRPr="00BD305F">
        <w:rPr>
          <w:rFonts w:ascii="Verdana" w:hAnsi="Verdana"/>
          <w:sz w:val="22"/>
          <w:szCs w:val="22"/>
        </w:rPr>
        <w:t xml:space="preserve"> August 2023 to 31 October 2023:</w:t>
      </w:r>
    </w:p>
    <w:tbl>
      <w:tblPr>
        <w:tblpPr w:leftFromText="165" w:rightFromText="165" w:vertAnchor="text"/>
        <w:tblW w:w="94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70"/>
        <w:gridCol w:w="1463"/>
        <w:gridCol w:w="1575"/>
        <w:gridCol w:w="546"/>
        <w:gridCol w:w="1575"/>
      </w:tblGrid>
      <w:tr w:rsidR="002301B4" w:rsidTr="002301B4">
        <w:trPr>
          <w:trHeight w:val="909"/>
        </w:trPr>
        <w:tc>
          <w:tcPr>
            <w:tcW w:w="49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301B4" w:rsidRDefault="002301B4">
            <w:pPr>
              <w:spacing w:after="0" w:line="240" w:lineRule="auto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Regimens</w:t>
            </w:r>
          </w:p>
        </w:tc>
        <w:tc>
          <w:tcPr>
            <w:tcW w:w="13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301B4" w:rsidRDefault="002301B4" w:rsidP="002301B4">
            <w:pPr>
              <w:spacing w:after="0" w:line="240" w:lineRule="auto"/>
              <w:ind w:left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Total patients</w:t>
            </w:r>
          </w:p>
        </w:tc>
        <w:tc>
          <w:tcPr>
            <w:tcW w:w="15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301B4" w:rsidRDefault="002301B4" w:rsidP="002301B4">
            <w:pPr>
              <w:spacing w:after="0" w:line="240" w:lineRule="auto"/>
              <w:ind w:left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Metastatic patients</w:t>
            </w:r>
          </w:p>
        </w:tc>
        <w:tc>
          <w:tcPr>
            <w:tcW w:w="96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301B4" w:rsidRDefault="002301B4" w:rsidP="002301B4">
            <w:pPr>
              <w:spacing w:after="0" w:line="240" w:lineRule="auto"/>
              <w:ind w:left="0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301B4" w:rsidRDefault="002301B4" w:rsidP="002301B4">
            <w:pPr>
              <w:spacing w:after="0" w:line="240" w:lineRule="auto"/>
              <w:ind w:left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Non-Metastatic patients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Capecitabine</w:t>
            </w:r>
            <w:proofErr w:type="spellEnd"/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</w:t>
            </w: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CAPIRI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 w:rsidP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CAPOX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</w:t>
            </w: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Cetuximab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with FOLFIRI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Cetuximab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with FOLFOX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Cetuximab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as a single agent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Cetuximab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with </w:t>
            </w:r>
            <w:proofErr w:type="spellStart"/>
            <w:r>
              <w:rPr>
                <w:color w:val="000000"/>
                <w:sz w:val="20"/>
                <w:szCs w:val="20"/>
              </w:rPr>
              <w:t>Encorafenib</w:t>
            </w:r>
            <w:proofErr w:type="spellEnd"/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Irinotecan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as a single agent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FOLFIRI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FOLFOX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&lt;5*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&lt;5*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Fluorouracil (5FU) as a single agent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Oxaliplatin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as a single agent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Nivolumab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with Ipilimumab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Panitumumab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with FOLFIRI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Panitumumab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with FOLFOX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Panitumumab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as a single agent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 w:rsidP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 w:rsidP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Pembrolizumab</w:t>
            </w:r>
            <w:proofErr w:type="spellEnd"/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 w:rsidP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 w:rsidP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&lt;5*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Any other systemic anti-cancer therapy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15</w:t>
            </w:r>
          </w:p>
        </w:tc>
      </w:tr>
      <w:tr w:rsidR="002301B4" w:rsidTr="002301B4">
        <w:trPr>
          <w:trHeight w:val="257"/>
        </w:trPr>
        <w:tc>
          <w:tcPr>
            <w:tcW w:w="49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Palliative care only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 w:rsidP="002301B4">
            <w:pPr>
              <w:spacing w:after="0" w:line="240" w:lineRule="auto"/>
              <w:ind w:left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**</w:t>
            </w: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 w:rsidP="002301B4">
            <w:pPr>
              <w:spacing w:after="0" w:line="240" w:lineRule="auto"/>
              <w:ind w:left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**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301B4" w:rsidRDefault="002301B4" w:rsidP="002301B4">
            <w:pPr>
              <w:spacing w:after="0" w:line="240" w:lineRule="auto"/>
              <w:ind w:left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**</w:t>
            </w: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301B4" w:rsidRDefault="002301B4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</w:tbl>
    <w:p w:rsidR="002301B4" w:rsidRDefault="002301B4" w:rsidP="002301B4">
      <w:pPr>
        <w:pStyle w:val="NoSpacing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p w:rsidR="002301B4" w:rsidRDefault="002301B4" w:rsidP="002301B4">
      <w:pPr>
        <w:pStyle w:val="NoSpacing"/>
        <w:jc w:val="both"/>
      </w:pPr>
    </w:p>
    <w:p w:rsidR="002301B4" w:rsidRDefault="002301B4" w:rsidP="002301B4">
      <w:pPr>
        <w:pStyle w:val="NoSpacing"/>
        <w:jc w:val="both"/>
      </w:pP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:rsidR="002301B4" w:rsidRDefault="002301B4" w:rsidP="002301B4">
      <w:pPr>
        <w:pStyle w:val="NoSpacing"/>
        <w:jc w:val="both"/>
      </w:pPr>
      <w:r>
        <w:t>**</w:t>
      </w:r>
      <w:r w:rsidR="00BD305F" w:rsidRPr="00BD305F">
        <w:rPr>
          <w:rFonts w:ascii="Verdana" w:hAnsi="Verdana"/>
          <w:sz w:val="22"/>
          <w:szCs w:val="22"/>
        </w:rPr>
        <w:t xml:space="preserve"> </w:t>
      </w:r>
      <w:r w:rsidR="00BD305F"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BD305F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BD305F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BD305F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BD305F" w:rsidRPr="00FC3B42">
        <w:rPr>
          <w:rFonts w:ascii="Verdana" w:hAnsi="Verdana" w:cs="Tahoma"/>
          <w:sz w:val="22"/>
          <w:szCs w:val="22"/>
        </w:rPr>
        <w:t>Section 12 of the FOI Act and T</w:t>
      </w:r>
      <w:r w:rsidR="00BD305F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BD305F" w:rsidRPr="00FC3B42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</w:p>
    <w:p w:rsidR="002301B4" w:rsidRDefault="002301B4" w:rsidP="002301B4">
      <w:pPr>
        <w:pStyle w:val="NoSpacing"/>
        <w:jc w:val="both"/>
      </w:pPr>
    </w:p>
    <w:p w:rsidR="002301B4" w:rsidRDefault="002301B4" w:rsidP="002301B4">
      <w:pPr>
        <w:pStyle w:val="NoSpacing"/>
        <w:jc w:val="both"/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D305F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301B4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D305F"/>
    <w:rsid w:val="00C021A4"/>
    <w:rsid w:val="00C050BE"/>
    <w:rsid w:val="00C251BC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8E7A47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7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0ECD3E-73C2-4103-B6EF-87ECAAE86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2</Pages>
  <Words>395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2023-12-13T15:24:00Z</dcterms:created>
  <dcterms:modified xsi:type="dcterms:W3CDTF">2023-12-13T15:34:00Z</dcterms:modified>
</cp:coreProperties>
</file>