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22EA">
                              <w:rPr>
                                <w:rFonts w:ascii="Verdana" w:hAnsi="Verdana"/>
                                <w:b/>
                                <w:sz w:val="22"/>
                                <w:szCs w:val="22"/>
                              </w:rPr>
                              <w:t>23-K-043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22EA">
                        <w:rPr>
                          <w:rFonts w:ascii="Verdana" w:hAnsi="Verdana"/>
                          <w:b/>
                          <w:sz w:val="22"/>
                          <w:szCs w:val="22"/>
                        </w:rPr>
                        <w:t>23-K-043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1722EA" w:rsidRPr="002B3FC7" w:rsidRDefault="001722EA" w:rsidP="001722EA">
      <w:pPr>
        <w:spacing w:line="254" w:lineRule="auto"/>
        <w:rPr>
          <w:rFonts w:ascii="Verdana" w:hAnsi="Verdana" w:cs="Calibri"/>
          <w:b/>
          <w:sz w:val="22"/>
          <w:szCs w:val="22"/>
        </w:rPr>
      </w:pPr>
      <w:r w:rsidRPr="002B3FC7">
        <w:rPr>
          <w:rFonts w:ascii="Verdana" w:hAnsi="Verdana" w:cs="Calibri"/>
          <w:b/>
          <w:sz w:val="22"/>
          <w:szCs w:val="22"/>
        </w:rPr>
        <w:t>For each of the years 2018-2023 please can you provide the following information under the FOI Act:</w:t>
      </w:r>
    </w:p>
    <w:p w:rsidR="001722EA" w:rsidRPr="000B167A" w:rsidRDefault="001722EA" w:rsidP="000B167A">
      <w:pPr>
        <w:pStyle w:val="ListParagraph"/>
        <w:numPr>
          <w:ilvl w:val="0"/>
          <w:numId w:val="18"/>
        </w:numPr>
        <w:spacing w:line="254" w:lineRule="auto"/>
        <w:rPr>
          <w:rFonts w:ascii="Verdana" w:hAnsi="Verdana" w:cs="Calibri"/>
          <w:b/>
          <w:color w:val="000000" w:themeColor="text1"/>
          <w:sz w:val="22"/>
          <w:szCs w:val="22"/>
        </w:rPr>
      </w:pPr>
      <w:r w:rsidRPr="000B167A">
        <w:rPr>
          <w:rFonts w:ascii="Verdana" w:hAnsi="Verdana" w:cs="Calibri"/>
          <w:b/>
          <w:color w:val="000000" w:themeColor="text1"/>
          <w:sz w:val="22"/>
          <w:szCs w:val="22"/>
        </w:rPr>
        <w:t>If the health board has met the safe maternity levels</w:t>
      </w:r>
    </w:p>
    <w:p w:rsidR="000B167A" w:rsidRPr="000B167A" w:rsidRDefault="000B167A" w:rsidP="000B167A">
      <w:pPr>
        <w:pStyle w:val="ListParagraph"/>
        <w:spacing w:line="254" w:lineRule="auto"/>
        <w:ind w:left="865"/>
        <w:rPr>
          <w:rFonts w:ascii="Verdana" w:hAnsi="Verdana" w:cs="Calibri"/>
          <w:b/>
          <w:color w:val="FF0000"/>
          <w:sz w:val="22"/>
          <w:szCs w:val="22"/>
        </w:rPr>
      </w:pPr>
    </w:p>
    <w:p w:rsidR="000B167A" w:rsidRPr="000B167A" w:rsidRDefault="000B167A" w:rsidP="000B167A">
      <w:pPr>
        <w:pStyle w:val="ListParagraph"/>
        <w:spacing w:before="240" w:after="240"/>
        <w:ind w:left="865"/>
        <w:rPr>
          <w:rFonts w:ascii="Verdana" w:eastAsia="Verdana Pro" w:hAnsi="Verdana" w:cs="Verdana Pro"/>
          <w:color w:val="000000" w:themeColor="text1"/>
          <w:sz w:val="22"/>
          <w:szCs w:val="22"/>
        </w:rPr>
      </w:pPr>
      <w:r w:rsidRPr="000B167A">
        <w:rPr>
          <w:rFonts w:ascii="Verdana" w:eastAsia="Verdana Pro" w:hAnsi="Verdana" w:cs="Verdana Pro"/>
          <w:color w:val="000000" w:themeColor="text1"/>
          <w:sz w:val="22"/>
          <w:szCs w:val="22"/>
        </w:rPr>
        <w:t>The maternity service has had a recent Birth rate plus assessment in 2023 and the appropriate recommendations for amendments to our staffing have been shared at board level.  Further investment into staffing has enabled us to achieve staffing levels.</w:t>
      </w:r>
      <w:r>
        <w:rPr>
          <w:rFonts w:ascii="Verdana" w:eastAsia="Verdana Pro" w:hAnsi="Verdana" w:cs="Verdana Pro"/>
          <w:color w:val="000000" w:themeColor="text1"/>
          <w:sz w:val="22"/>
          <w:szCs w:val="22"/>
        </w:rPr>
        <w:t xml:space="preserve"> </w:t>
      </w:r>
      <w:r w:rsidRPr="000B167A">
        <w:rPr>
          <w:rFonts w:ascii="Verdana" w:eastAsia="Verdana Pro" w:hAnsi="Verdana" w:cs="Verdana Pro"/>
          <w:color w:val="000000" w:themeColor="text1"/>
          <w:sz w:val="22"/>
          <w:szCs w:val="22"/>
        </w:rPr>
        <w:t>Our escalation policy facilitates supports flexibility in staff working areas to meet the acuity needs. It also enables restricting our services when acuity levels are high and safe staffing levels are challenged.</w:t>
      </w:r>
    </w:p>
    <w:p w:rsidR="000B167A" w:rsidRDefault="001722EA" w:rsidP="000B167A">
      <w:pPr>
        <w:pStyle w:val="gmail-msolistparagraph"/>
        <w:numPr>
          <w:ilvl w:val="0"/>
          <w:numId w:val="18"/>
        </w:numPr>
        <w:spacing w:before="0" w:beforeAutospacing="0" w:after="0" w:afterAutospacing="0" w:line="254" w:lineRule="auto"/>
        <w:rPr>
          <w:rFonts w:ascii="Verdana" w:hAnsi="Verdana" w:cs="Calibri"/>
          <w:b/>
          <w:color w:val="000000" w:themeColor="text1"/>
          <w:sz w:val="22"/>
          <w:szCs w:val="22"/>
        </w:rPr>
      </w:pPr>
      <w:r w:rsidRPr="000B167A">
        <w:rPr>
          <w:rFonts w:ascii="Verdana" w:hAnsi="Verdana" w:cs="Calibri"/>
          <w:b/>
          <w:color w:val="000000" w:themeColor="text1"/>
          <w:sz w:val="22"/>
          <w:szCs w:val="22"/>
        </w:rPr>
        <w:t xml:space="preserve">The number of days where the safe maternity levels were not met </w:t>
      </w:r>
    </w:p>
    <w:p w:rsidR="000B167A" w:rsidRDefault="000B167A" w:rsidP="000B167A">
      <w:pPr>
        <w:pStyle w:val="gmail-msolistparagraph"/>
        <w:spacing w:before="0" w:beforeAutospacing="0" w:after="0" w:afterAutospacing="0" w:line="254" w:lineRule="auto"/>
        <w:rPr>
          <w:rFonts w:ascii="Verdana" w:hAnsi="Verdana" w:cs="Calibri"/>
          <w:b/>
          <w:color w:val="000000" w:themeColor="text1"/>
          <w:sz w:val="22"/>
          <w:szCs w:val="22"/>
        </w:rPr>
      </w:pPr>
    </w:p>
    <w:p w:rsidR="000B167A" w:rsidRPr="000B167A" w:rsidRDefault="000B167A" w:rsidP="000B167A">
      <w:pPr>
        <w:pStyle w:val="gmail-msolistparagraph"/>
        <w:spacing w:before="0" w:beforeAutospacing="0" w:after="0" w:afterAutospacing="0" w:line="254" w:lineRule="auto"/>
        <w:ind w:left="865"/>
        <w:rPr>
          <w:rFonts w:ascii="Verdana" w:hAnsi="Verdana" w:cs="Calibri"/>
          <w:color w:val="000000" w:themeColor="text1"/>
          <w:sz w:val="22"/>
          <w:szCs w:val="22"/>
        </w:rPr>
      </w:pPr>
      <w:r>
        <w:rPr>
          <w:rFonts w:ascii="Verdana" w:hAnsi="Verdana" w:cs="Calibri"/>
          <w:color w:val="000000" w:themeColor="text1"/>
          <w:sz w:val="22"/>
          <w:szCs w:val="22"/>
        </w:rPr>
        <w:t>Please see above</w:t>
      </w:r>
    </w:p>
    <w:p w:rsidR="002B3FC7" w:rsidRPr="002B3FC7" w:rsidRDefault="002B3FC7" w:rsidP="002B3FC7">
      <w:pPr>
        <w:pStyle w:val="gmail-msolistparagraph"/>
        <w:spacing w:before="0" w:beforeAutospacing="0" w:after="0" w:afterAutospacing="0" w:line="254" w:lineRule="auto"/>
        <w:ind w:firstLine="505"/>
        <w:rPr>
          <w:rFonts w:ascii="Verdana" w:hAnsi="Verdana" w:cs="Calibri"/>
          <w:b/>
          <w:sz w:val="22"/>
          <w:szCs w:val="22"/>
        </w:rPr>
      </w:pPr>
    </w:p>
    <w:p w:rsidR="000B167A" w:rsidRDefault="001722EA" w:rsidP="000B167A">
      <w:pPr>
        <w:pStyle w:val="gmail-msolistparagraph"/>
        <w:numPr>
          <w:ilvl w:val="0"/>
          <w:numId w:val="18"/>
        </w:numPr>
        <w:spacing w:before="0" w:beforeAutospacing="0" w:after="0" w:afterAutospacing="0" w:line="254" w:lineRule="auto"/>
        <w:rPr>
          <w:rFonts w:ascii="Verdana" w:hAnsi="Verdana" w:cs="Calibri"/>
          <w:b/>
          <w:sz w:val="22"/>
          <w:szCs w:val="22"/>
        </w:rPr>
      </w:pPr>
      <w:r w:rsidRPr="002B3FC7">
        <w:rPr>
          <w:rFonts w:ascii="Verdana" w:hAnsi="Verdana" w:cs="Calibri"/>
          <w:b/>
          <w:sz w:val="22"/>
          <w:szCs w:val="22"/>
        </w:rPr>
        <w:t xml:space="preserve">The number of times each of the below red flag midwifery staffing </w:t>
      </w:r>
    </w:p>
    <w:p w:rsidR="001722EA" w:rsidRPr="002B3FC7" w:rsidRDefault="001722EA" w:rsidP="000B167A">
      <w:pPr>
        <w:pStyle w:val="gmail-msolistparagraph"/>
        <w:spacing w:before="0" w:beforeAutospacing="0" w:after="0" w:afterAutospacing="0" w:line="254" w:lineRule="auto"/>
        <w:ind w:left="865"/>
        <w:rPr>
          <w:rFonts w:ascii="Verdana" w:hAnsi="Verdana" w:cs="Calibri"/>
          <w:b/>
          <w:sz w:val="22"/>
          <w:szCs w:val="22"/>
        </w:rPr>
      </w:pPr>
      <w:r w:rsidRPr="002B3FC7">
        <w:rPr>
          <w:rFonts w:ascii="Verdana" w:hAnsi="Verdana" w:cs="Calibri"/>
          <w:b/>
          <w:sz w:val="22"/>
          <w:szCs w:val="22"/>
        </w:rPr>
        <w:t>incidents occurred in your health board</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 xml:space="preserve">Delayed or cancelled time critical activity. </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 xml:space="preserve">Missed or delayed care (for example, delay of 60 minutes or more in washing and suturing). </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 xml:space="preserve">Missed medication during an admission to hospital or midwifery-led unit (for example, diabetes medication). </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 xml:space="preserve">Delay of more than 30 minutes in providing pain relief. </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Delay of 30 minutes or more between presentation and triage.</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 xml:space="preserve">Full clinical examination not carried out when presenting in labour. </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 xml:space="preserve">Delay of 2 hours or more between admission for induction and beginning of process. </w:t>
      </w:r>
    </w:p>
    <w:p w:rsidR="001722EA" w:rsidRPr="002B3FC7" w:rsidRDefault="001722EA" w:rsidP="001722EA">
      <w:pPr>
        <w:pStyle w:val="gmail-msolistparagraph"/>
        <w:spacing w:before="0" w:beforeAutospacing="0" w:after="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Delayed recognition of and action on abnormal vital signs (for example, sepsis or urine output).</w:t>
      </w:r>
    </w:p>
    <w:p w:rsidR="001722EA" w:rsidRPr="002B3FC7" w:rsidRDefault="001722EA" w:rsidP="001722EA">
      <w:pPr>
        <w:pStyle w:val="gmail-msolistparagraph"/>
        <w:spacing w:before="0" w:beforeAutospacing="0" w:after="160" w:afterAutospacing="0" w:line="254" w:lineRule="auto"/>
        <w:ind w:left="1440"/>
        <w:rPr>
          <w:rFonts w:ascii="Verdana" w:hAnsi="Verdana" w:cs="Calibri"/>
          <w:b/>
          <w:sz w:val="22"/>
          <w:szCs w:val="22"/>
        </w:rPr>
      </w:pPr>
      <w:r w:rsidRPr="002B3FC7">
        <w:rPr>
          <w:rFonts w:ascii="Verdana" w:hAnsi="Verdana" w:cs="Courier New"/>
          <w:b/>
          <w:sz w:val="22"/>
          <w:szCs w:val="22"/>
        </w:rPr>
        <w:t>o</w:t>
      </w:r>
      <w:r w:rsidRPr="002B3FC7">
        <w:rPr>
          <w:rFonts w:ascii="Verdana" w:hAnsi="Verdana" w:cs="Courier New"/>
          <w:b/>
          <w:sz w:val="14"/>
          <w:szCs w:val="14"/>
        </w:rPr>
        <w:t xml:space="preserve">   </w:t>
      </w:r>
      <w:r w:rsidRPr="002B3FC7">
        <w:rPr>
          <w:rFonts w:ascii="Verdana" w:hAnsi="Verdana" w:cs="Calibri"/>
          <w:b/>
          <w:sz w:val="22"/>
          <w:szCs w:val="22"/>
        </w:rPr>
        <w:t>Any occasion when 1 midwife is not able to provide continuous one-to-one care and support to a woman during established labour</w:t>
      </w:r>
    </w:p>
    <w:p w:rsidR="00AD64CC" w:rsidRPr="002B3FC7" w:rsidRDefault="00AD64CC" w:rsidP="00AD64CC">
      <w:pPr>
        <w:pStyle w:val="PlainText"/>
        <w:rPr>
          <w:rFonts w:ascii="Verdana" w:hAnsi="Verdana"/>
          <w:b/>
        </w:rPr>
      </w:pPr>
      <w:bookmarkStart w:id="0" w:name="_GoBack"/>
      <w:bookmarkEnd w:id="0"/>
    </w:p>
    <w:p w:rsidR="002B3FC7" w:rsidRPr="002B3FC7" w:rsidRDefault="002B3FC7" w:rsidP="002B3FC7">
      <w:pPr>
        <w:spacing w:after="120"/>
        <w:rPr>
          <w:rFonts w:ascii="Verdana" w:hAnsi="Verdana"/>
          <w:sz w:val="22"/>
          <w:szCs w:val="22"/>
        </w:rPr>
      </w:pPr>
      <w:r w:rsidRPr="002B3FC7">
        <w:rPr>
          <w:rStyle w:val="Emphasis"/>
          <w:rFonts w:ascii="Verdana" w:hAnsi="Verdana"/>
          <w:i w:val="0"/>
          <w:sz w:val="22"/>
          <w:szCs w:val="22"/>
        </w:rPr>
        <w:t xml:space="preserve">The </w:t>
      </w:r>
      <w:proofErr w:type="spellStart"/>
      <w:r w:rsidR="00812F1E">
        <w:rPr>
          <w:rStyle w:val="Emphasis"/>
          <w:rFonts w:ascii="Verdana" w:hAnsi="Verdana"/>
          <w:i w:val="0"/>
          <w:sz w:val="22"/>
          <w:szCs w:val="22"/>
        </w:rPr>
        <w:t>Safecare</w:t>
      </w:r>
      <w:proofErr w:type="spellEnd"/>
      <w:r w:rsidRPr="002B3FC7">
        <w:rPr>
          <w:rStyle w:val="Emphasis"/>
          <w:rFonts w:ascii="Verdana" w:hAnsi="Verdana"/>
          <w:i w:val="0"/>
          <w:sz w:val="22"/>
          <w:szCs w:val="22"/>
        </w:rPr>
        <w:t xml:space="preserve"> red flag system hasn’t been implemented yet. The data will be recorded manually but not stored centrally. </w:t>
      </w:r>
      <w:r w:rsidRPr="002B3FC7">
        <w:rPr>
          <w:rFonts w:ascii="Verdana" w:hAnsi="Verdana"/>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Pro">
    <w:charset w:val="00"/>
    <w:family w:val="swiss"/>
    <w:pitch w:val="variable"/>
    <w:sig w:usb0="80000287" w:usb1="0000004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2B3FC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06" type="#_x0000_t75" style="width:20.5pt;height:20.5pt;visibility:visible;mso-wrap-style:square" o:bullet="t">
        <v:imagedata r:id="rId1" o:title=""/>
      </v:shape>
    </w:pict>
  </w:numPicBullet>
  <w:numPicBullet w:numPicBulletId="1">
    <w:pict>
      <v:shape id="_x0000_i1707" type="#_x0000_t75" style="width:383pt;height:383pt;visibility:visible;mso-wrap-style:square" o:bullet="t">
        <v:imagedata r:id="rId2" o:title=""/>
      </v:shape>
    </w:pict>
  </w:numPicBullet>
  <w:numPicBullet w:numPicBulletId="2">
    <w:pict>
      <v:shape id="_x0000_i1708" type="#_x0000_t75" style="width:225.5pt;height:225.5pt;visibility:visible;mso-wrap-style:square" o:bullet="t">
        <v:imagedata r:id="rId3" o:title=""/>
      </v:shape>
    </w:pict>
  </w:numPicBullet>
  <w:numPicBullet w:numPicBulletId="3">
    <w:pict>
      <v:shape id="_x0000_i170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B376AEE"/>
    <w:multiLevelType w:val="hybridMultilevel"/>
    <w:tmpl w:val="E04C733E"/>
    <w:lvl w:ilvl="0" w:tplc="787462E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56B9"/>
    <w:rsid w:val="000B167A"/>
    <w:rsid w:val="000C00ED"/>
    <w:rsid w:val="00111757"/>
    <w:rsid w:val="001276F0"/>
    <w:rsid w:val="001722EA"/>
    <w:rsid w:val="00185784"/>
    <w:rsid w:val="001B1339"/>
    <w:rsid w:val="001E2D50"/>
    <w:rsid w:val="00213076"/>
    <w:rsid w:val="002156AF"/>
    <w:rsid w:val="002677FD"/>
    <w:rsid w:val="00296FDA"/>
    <w:rsid w:val="002B3FC7"/>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12F1E"/>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64CC"/>
    <w:rsid w:val="00AF0E8B"/>
    <w:rsid w:val="00AF691A"/>
    <w:rsid w:val="00B34966"/>
    <w:rsid w:val="00B50387"/>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F727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AD64CC"/>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AD64CC"/>
    <w:rPr>
      <w:rFonts w:ascii="Calibri" w:eastAsiaTheme="minorHAnsi" w:hAnsi="Calibri" w:cstheme="minorBidi"/>
      <w:sz w:val="22"/>
      <w:szCs w:val="21"/>
      <w:lang w:eastAsia="en-US"/>
    </w:rPr>
  </w:style>
  <w:style w:type="paragraph" w:customStyle="1" w:styleId="gmail-msolistparagraph">
    <w:name w:val="gmail-msolistparagraph"/>
    <w:basedOn w:val="Normal"/>
    <w:rsid w:val="001722EA"/>
    <w:pPr>
      <w:spacing w:before="100" w:beforeAutospacing="1" w:after="100" w:afterAutospacing="1" w:line="240" w:lineRule="auto"/>
      <w:ind w:left="0" w:right="0"/>
    </w:pPr>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8023803">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801834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38571001">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BB7C23-ED72-4ED4-A54C-D37318B81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2</Pages>
  <Words>392</Words>
  <Characters>2236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2019-03-26T11:11:00Z</cp:lastPrinted>
  <dcterms:created xsi:type="dcterms:W3CDTF">2023-12-14T09:19:00Z</dcterms:created>
  <dcterms:modified xsi:type="dcterms:W3CDTF">2024-01-19T17:13:00Z</dcterms:modified>
</cp:coreProperties>
</file>