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CF4BB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E985955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81E91E" wp14:editId="16D903CF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121D4A1F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E77E4" w:rsidRPr="00CE77E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23-J-013</w:t>
                            </w:r>
                          </w:p>
                          <w:p w14:paraId="08B14801" w14:textId="77777777" w:rsidR="00DC7FA9" w:rsidRDefault="00DC7FA9" w:rsidP="00DC7FA9"/>
                          <w:p w14:paraId="1423FF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40B6AEA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E77E4" w:rsidRPr="00CE77E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23-J-013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5A81860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CBBF684" w14:textId="77777777" w:rsidR="00DC7FA9" w:rsidRPr="00CE77E4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CE77E4">
        <w:rPr>
          <w:rFonts w:ascii="Verdana" w:hAnsi="Verdana"/>
          <w:b/>
          <w:sz w:val="22"/>
        </w:rPr>
        <w:t>You asked:</w:t>
      </w:r>
    </w:p>
    <w:p w14:paraId="21ECDF0D" w14:textId="7FC970B5" w:rsidR="00CE77E4" w:rsidRPr="00CE77E4" w:rsidRDefault="00CE77E4" w:rsidP="00CE77E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Q1. How many Non-small cell lung cancer (NSCLC) patients were treated in the past 3 months</w:t>
      </w:r>
      <w:r w:rsidR="00030B2A">
        <w:rPr>
          <w:rFonts w:ascii="Verdana" w:hAnsi="Verdana"/>
          <w:b/>
          <w:sz w:val="22"/>
          <w:szCs w:val="22"/>
          <w:lang w:val="en-US"/>
        </w:rPr>
        <w:t>, July to September</w:t>
      </w:r>
      <w:r w:rsidR="001E1BDF">
        <w:rPr>
          <w:rFonts w:ascii="Verdana" w:hAnsi="Verdana"/>
          <w:b/>
          <w:sz w:val="22"/>
          <w:szCs w:val="22"/>
          <w:lang w:val="en-US"/>
        </w:rPr>
        <w:t xml:space="preserve"> 2023</w:t>
      </w:r>
      <w:r w:rsidR="00030B2A">
        <w:rPr>
          <w:rFonts w:ascii="Verdana" w:hAnsi="Verdana"/>
          <w:b/>
          <w:sz w:val="22"/>
          <w:szCs w:val="22"/>
          <w:lang w:val="en-US"/>
        </w:rPr>
        <w:t>,</w:t>
      </w:r>
      <w:r w:rsidRPr="00CE77E4">
        <w:rPr>
          <w:rFonts w:ascii="Verdana" w:hAnsi="Verdana"/>
          <w:b/>
          <w:sz w:val="22"/>
          <w:szCs w:val="22"/>
          <w:lang w:val="en-US"/>
        </w:rPr>
        <w:t xml:space="preserve"> with: </w:t>
      </w:r>
    </w:p>
    <w:p w14:paraId="1735B8F0" w14:textId="77777777" w:rsidR="00CE77E4" w:rsidRPr="00CE77E4" w:rsidRDefault="00CE77E4" w:rsidP="00CE77E4">
      <w:pPr>
        <w:spacing w:after="0"/>
        <w:rPr>
          <w:rFonts w:ascii="Verdana" w:hAnsi="Verdana"/>
          <w:b/>
          <w:sz w:val="22"/>
          <w:szCs w:val="22"/>
          <w:lang w:val="en-US"/>
        </w:rPr>
      </w:pPr>
      <w:bookmarkStart w:id="0" w:name="_GoBack"/>
      <w:bookmarkEnd w:id="0"/>
    </w:p>
    <w:p w14:paraId="0304800B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ALK Inhibitors (Alectinib, Brigatinib, Ceritinib, Crizotinib, Lorlatinib)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  <w:r>
        <w:rPr>
          <w:rFonts w:ascii="Verdana" w:hAnsi="Verdana"/>
          <w:sz w:val="22"/>
          <w:szCs w:val="22"/>
          <w:lang w:val="en-US"/>
        </w:rPr>
        <w:t>- 5</w:t>
      </w:r>
    </w:p>
    <w:p w14:paraId="5EB0E9F4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Amivantamab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  <w:r w:rsidRPr="00CE77E4">
        <w:rPr>
          <w:rFonts w:ascii="Verdana" w:hAnsi="Verdana"/>
          <w:sz w:val="22"/>
          <w:szCs w:val="22"/>
          <w:lang w:val="en-US"/>
        </w:rPr>
        <w:t>– Nil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</w:p>
    <w:p w14:paraId="440C2C2E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Atezolizumab Monotherapy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  <w:r w:rsidRPr="00CE77E4">
        <w:rPr>
          <w:rFonts w:ascii="Verdana" w:hAnsi="Verdana"/>
          <w:sz w:val="22"/>
          <w:szCs w:val="22"/>
          <w:lang w:val="en-US"/>
        </w:rPr>
        <w:t>- &lt;5</w:t>
      </w:r>
      <w:r w:rsidR="004B67DA">
        <w:rPr>
          <w:rFonts w:ascii="Verdana" w:hAnsi="Verdana"/>
          <w:sz w:val="22"/>
          <w:szCs w:val="22"/>
          <w:lang w:val="en-US"/>
        </w:rPr>
        <w:t>*</w:t>
      </w:r>
    </w:p>
    <w:p w14:paraId="2207B8D4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Atezolizumab + Bevacizumab + Carboplatin + Paclitaxel</w:t>
      </w:r>
      <w:r>
        <w:rPr>
          <w:rFonts w:ascii="Verdana" w:hAnsi="Verdana"/>
          <w:b/>
          <w:sz w:val="22"/>
          <w:szCs w:val="22"/>
          <w:lang w:val="en-US"/>
        </w:rPr>
        <w:t xml:space="preserve"> - </w:t>
      </w:r>
      <w:r w:rsidRPr="00CE77E4">
        <w:rPr>
          <w:rFonts w:ascii="Verdana" w:hAnsi="Verdana"/>
          <w:sz w:val="22"/>
          <w:szCs w:val="22"/>
          <w:lang w:val="en-US"/>
        </w:rPr>
        <w:t>&lt;5</w:t>
      </w:r>
      <w:r w:rsidR="004B67DA">
        <w:rPr>
          <w:rFonts w:ascii="Verdana" w:hAnsi="Verdana"/>
          <w:sz w:val="22"/>
          <w:szCs w:val="22"/>
          <w:lang w:val="en-US"/>
        </w:rPr>
        <w:t>*</w:t>
      </w:r>
    </w:p>
    <w:p w14:paraId="1D4A67DF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Dabrafenib + Trametinib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  <w:r>
        <w:rPr>
          <w:rFonts w:ascii="Verdana" w:hAnsi="Verdana"/>
          <w:sz w:val="22"/>
          <w:szCs w:val="22"/>
          <w:lang w:val="en-US"/>
        </w:rPr>
        <w:t xml:space="preserve"> - &lt;5</w:t>
      </w:r>
      <w:r w:rsidR="004B67DA">
        <w:rPr>
          <w:rFonts w:ascii="Verdana" w:hAnsi="Verdana"/>
          <w:sz w:val="22"/>
          <w:szCs w:val="22"/>
          <w:lang w:val="en-US"/>
        </w:rPr>
        <w:t>*</w:t>
      </w:r>
    </w:p>
    <w:p w14:paraId="4A7F9B18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Docetaxel monotherapy or in combination with Carboplatin/Cisplatin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  <w:r>
        <w:rPr>
          <w:rFonts w:ascii="Verdana" w:hAnsi="Verdana"/>
          <w:sz w:val="22"/>
          <w:szCs w:val="22"/>
          <w:lang w:val="en-US"/>
        </w:rPr>
        <w:t>- &lt;5</w:t>
      </w:r>
    </w:p>
    <w:p w14:paraId="1C6DD3B1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Durvalumab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  <w:r w:rsidRPr="00CE77E4">
        <w:rPr>
          <w:rFonts w:ascii="Verdana" w:hAnsi="Verdana"/>
          <w:sz w:val="22"/>
          <w:szCs w:val="22"/>
          <w:lang w:val="en-US"/>
        </w:rPr>
        <w:t>- 7</w:t>
      </w:r>
    </w:p>
    <w:p w14:paraId="3C5EFD53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Gemcitabine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  <w:r w:rsidRPr="00CE77E4">
        <w:rPr>
          <w:rFonts w:ascii="Verdana" w:hAnsi="Verdana"/>
          <w:sz w:val="22"/>
          <w:szCs w:val="22"/>
          <w:lang w:val="en-US"/>
        </w:rPr>
        <w:t>– Nil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</w:p>
    <w:p w14:paraId="232932B2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Nitedanib + Docetaxel</w:t>
      </w:r>
      <w:r>
        <w:rPr>
          <w:rFonts w:ascii="Verdana" w:hAnsi="Verdana"/>
          <w:b/>
          <w:sz w:val="22"/>
          <w:szCs w:val="22"/>
          <w:lang w:val="en-US"/>
        </w:rPr>
        <w:t xml:space="preserve"> – </w:t>
      </w:r>
      <w:r w:rsidRPr="00CE77E4">
        <w:rPr>
          <w:rFonts w:ascii="Verdana" w:hAnsi="Verdana"/>
          <w:sz w:val="22"/>
          <w:szCs w:val="22"/>
          <w:lang w:val="en-US"/>
        </w:rPr>
        <w:t xml:space="preserve">Nil </w:t>
      </w:r>
    </w:p>
    <w:p w14:paraId="7E8A8C76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Nivolumab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  <w:r>
        <w:rPr>
          <w:rFonts w:ascii="Verdana" w:hAnsi="Verdana"/>
          <w:sz w:val="22"/>
          <w:szCs w:val="22"/>
          <w:lang w:val="en-US"/>
        </w:rPr>
        <w:t>- &lt;5</w:t>
      </w:r>
      <w:r w:rsidR="004B67DA">
        <w:rPr>
          <w:rFonts w:ascii="Verdana" w:hAnsi="Verdana"/>
          <w:sz w:val="22"/>
          <w:szCs w:val="22"/>
          <w:lang w:val="en-US"/>
        </w:rPr>
        <w:t>*</w:t>
      </w:r>
    </w:p>
    <w:p w14:paraId="243B74BE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Osimertinib</w:t>
      </w:r>
      <w:r>
        <w:rPr>
          <w:rFonts w:ascii="Verdana" w:hAnsi="Verdana"/>
          <w:b/>
          <w:sz w:val="22"/>
          <w:szCs w:val="22"/>
          <w:lang w:val="en-US"/>
        </w:rPr>
        <w:t xml:space="preserve"> - </w:t>
      </w:r>
      <w:r w:rsidRPr="00CE77E4">
        <w:rPr>
          <w:rFonts w:ascii="Verdana" w:hAnsi="Verdana"/>
          <w:sz w:val="22"/>
          <w:szCs w:val="22"/>
          <w:lang w:val="en-US"/>
        </w:rPr>
        <w:t>13</w:t>
      </w:r>
    </w:p>
    <w:p w14:paraId="17FA69D4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Other EGFR Inhibitors (Afatinib, Erlotinib, Gefitinib, Dacomitinib, Mobocertinib)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  <w:r>
        <w:rPr>
          <w:rFonts w:ascii="Verdana" w:hAnsi="Verdana"/>
          <w:sz w:val="22"/>
          <w:szCs w:val="22"/>
          <w:lang w:val="en-US"/>
        </w:rPr>
        <w:t xml:space="preserve"> - &lt;5</w:t>
      </w:r>
      <w:r w:rsidR="004B67DA">
        <w:rPr>
          <w:rFonts w:ascii="Verdana" w:hAnsi="Verdana"/>
          <w:sz w:val="22"/>
          <w:szCs w:val="22"/>
          <w:lang w:val="en-US"/>
        </w:rPr>
        <w:t>*</w:t>
      </w:r>
    </w:p>
    <w:p w14:paraId="7CBAA475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Paclitaxel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  <w:r w:rsidRPr="00CE77E4">
        <w:rPr>
          <w:rFonts w:ascii="Verdana" w:hAnsi="Verdana"/>
          <w:sz w:val="22"/>
          <w:szCs w:val="22"/>
          <w:lang w:val="en-US"/>
        </w:rPr>
        <w:t>– Nil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</w:p>
    <w:p w14:paraId="1F44106C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Pembrolizumab Monotherapy</w:t>
      </w:r>
      <w:r>
        <w:rPr>
          <w:rFonts w:ascii="Verdana" w:hAnsi="Verdana"/>
          <w:b/>
          <w:sz w:val="22"/>
          <w:szCs w:val="22"/>
          <w:lang w:val="en-US"/>
        </w:rPr>
        <w:t xml:space="preserve"> </w:t>
      </w:r>
      <w:r w:rsidRPr="00CE77E4">
        <w:rPr>
          <w:rFonts w:ascii="Verdana" w:hAnsi="Verdana"/>
          <w:sz w:val="22"/>
          <w:szCs w:val="22"/>
          <w:lang w:val="en-US"/>
        </w:rPr>
        <w:t>- 35</w:t>
      </w:r>
    </w:p>
    <w:p w14:paraId="1136B2B7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Pembrolizumab + Paclitaxel + Platinum (Carboplatin/Cisplatin)</w:t>
      </w:r>
      <w:r>
        <w:rPr>
          <w:rFonts w:ascii="Verdana" w:hAnsi="Verdana"/>
          <w:b/>
          <w:sz w:val="22"/>
          <w:szCs w:val="22"/>
          <w:lang w:val="en-US"/>
        </w:rPr>
        <w:t xml:space="preserve"> - </w:t>
      </w:r>
      <w:r w:rsidRPr="00CE77E4">
        <w:rPr>
          <w:rFonts w:ascii="Verdana" w:hAnsi="Verdana"/>
          <w:sz w:val="22"/>
          <w:szCs w:val="22"/>
          <w:lang w:val="en-US"/>
        </w:rPr>
        <w:t>5</w:t>
      </w:r>
    </w:p>
    <w:p w14:paraId="7A72C1C9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Pembrolizumab + Pemetrexed + Platinum (Carboplatin/Cisplatin)</w:t>
      </w:r>
      <w:r>
        <w:rPr>
          <w:rFonts w:ascii="Verdana" w:hAnsi="Verdana"/>
          <w:b/>
          <w:sz w:val="22"/>
          <w:szCs w:val="22"/>
          <w:lang w:val="en-US"/>
        </w:rPr>
        <w:t xml:space="preserve"> - </w:t>
      </w:r>
      <w:r w:rsidRPr="00CE77E4">
        <w:rPr>
          <w:rFonts w:ascii="Verdana" w:hAnsi="Verdana"/>
          <w:sz w:val="22"/>
          <w:szCs w:val="22"/>
          <w:lang w:val="en-US"/>
        </w:rPr>
        <w:t>5</w:t>
      </w:r>
    </w:p>
    <w:p w14:paraId="1F813BC6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Pemetrexed + Platinum (Carboplatin/Cisplatin)</w:t>
      </w:r>
      <w:r>
        <w:rPr>
          <w:rFonts w:ascii="Verdana" w:hAnsi="Verdana"/>
          <w:b/>
          <w:sz w:val="22"/>
          <w:szCs w:val="22"/>
          <w:lang w:val="en-US"/>
        </w:rPr>
        <w:t xml:space="preserve"> - </w:t>
      </w:r>
      <w:r w:rsidRPr="00CE77E4">
        <w:rPr>
          <w:rFonts w:ascii="Verdana" w:hAnsi="Verdana"/>
          <w:sz w:val="22"/>
          <w:szCs w:val="22"/>
          <w:lang w:val="en-US"/>
        </w:rPr>
        <w:t>&lt;5</w:t>
      </w:r>
      <w:r w:rsidR="004B67DA">
        <w:rPr>
          <w:rFonts w:ascii="Verdana" w:hAnsi="Verdana"/>
          <w:sz w:val="22"/>
          <w:szCs w:val="22"/>
          <w:lang w:val="en-US"/>
        </w:rPr>
        <w:t>*</w:t>
      </w:r>
    </w:p>
    <w:p w14:paraId="3BDEE93B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RET Inhibitors (Pralsetinib, Selpercatinib)</w:t>
      </w:r>
      <w:r>
        <w:rPr>
          <w:rFonts w:ascii="Verdana" w:hAnsi="Verdana"/>
          <w:b/>
          <w:sz w:val="22"/>
          <w:szCs w:val="22"/>
          <w:lang w:val="en-US"/>
        </w:rPr>
        <w:t xml:space="preserve"> – </w:t>
      </w:r>
      <w:r w:rsidRPr="00CE77E4">
        <w:rPr>
          <w:rFonts w:ascii="Verdana" w:hAnsi="Verdana"/>
          <w:sz w:val="22"/>
          <w:szCs w:val="22"/>
          <w:lang w:val="en-US"/>
        </w:rPr>
        <w:t xml:space="preserve">Nil </w:t>
      </w:r>
    </w:p>
    <w:p w14:paraId="71A64F27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Sotorasib</w:t>
      </w:r>
      <w:r>
        <w:rPr>
          <w:rFonts w:ascii="Verdana" w:hAnsi="Verdana"/>
          <w:b/>
          <w:sz w:val="22"/>
          <w:szCs w:val="22"/>
          <w:lang w:val="en-US"/>
        </w:rPr>
        <w:t xml:space="preserve"> - </w:t>
      </w:r>
      <w:r w:rsidRPr="00CE77E4">
        <w:rPr>
          <w:rFonts w:ascii="Verdana" w:hAnsi="Verdana"/>
          <w:sz w:val="22"/>
          <w:szCs w:val="22"/>
          <w:lang w:val="en-US"/>
        </w:rPr>
        <w:t>&lt;5</w:t>
      </w:r>
      <w:r w:rsidR="004B67DA">
        <w:rPr>
          <w:rFonts w:ascii="Verdana" w:hAnsi="Verdana"/>
          <w:sz w:val="22"/>
          <w:szCs w:val="22"/>
          <w:lang w:val="en-US"/>
        </w:rPr>
        <w:t>*</w:t>
      </w:r>
    </w:p>
    <w:p w14:paraId="14377964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Tepotinib</w:t>
      </w:r>
      <w:r>
        <w:rPr>
          <w:rFonts w:ascii="Verdana" w:hAnsi="Verdana"/>
          <w:b/>
          <w:sz w:val="22"/>
          <w:szCs w:val="22"/>
          <w:lang w:val="en-US"/>
        </w:rPr>
        <w:t xml:space="preserve"> - </w:t>
      </w:r>
      <w:r w:rsidRPr="00CE77E4">
        <w:rPr>
          <w:rFonts w:ascii="Verdana" w:hAnsi="Verdana"/>
          <w:sz w:val="22"/>
          <w:szCs w:val="22"/>
          <w:lang w:val="en-US"/>
        </w:rPr>
        <w:t>Nil</w:t>
      </w:r>
    </w:p>
    <w:p w14:paraId="2F38AC4C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Vinorelbine monotherapy or in combination with Carboplatin/Cisplatin</w:t>
      </w:r>
      <w:r>
        <w:rPr>
          <w:rFonts w:ascii="Verdana" w:hAnsi="Verdana"/>
          <w:b/>
          <w:sz w:val="22"/>
          <w:szCs w:val="22"/>
          <w:lang w:val="en-US"/>
        </w:rPr>
        <w:t xml:space="preserve"> - </w:t>
      </w:r>
      <w:r w:rsidRPr="00CE77E4">
        <w:rPr>
          <w:rFonts w:ascii="Verdana" w:hAnsi="Verdana"/>
          <w:sz w:val="22"/>
          <w:szCs w:val="22"/>
          <w:lang w:val="en-US"/>
        </w:rPr>
        <w:t>11</w:t>
      </w:r>
    </w:p>
    <w:p w14:paraId="2C36B794" w14:textId="77777777" w:rsid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Other active systemic anti-cancer therapy</w:t>
      </w:r>
      <w:r>
        <w:rPr>
          <w:rFonts w:ascii="Verdana" w:hAnsi="Verdana"/>
          <w:b/>
          <w:sz w:val="22"/>
          <w:szCs w:val="22"/>
          <w:lang w:val="en-US"/>
        </w:rPr>
        <w:t xml:space="preserve"> – </w:t>
      </w:r>
    </w:p>
    <w:p w14:paraId="4A2D65AF" w14:textId="77777777" w:rsidR="00CE77E4" w:rsidRPr="00CE77E4" w:rsidRDefault="00CE77E4" w:rsidP="00CE77E4">
      <w:pPr>
        <w:spacing w:before="0" w:after="0" w:line="240" w:lineRule="auto"/>
        <w:ind w:left="72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CE77E4">
        <w:rPr>
          <w:rFonts w:ascii="Verdana" w:eastAsia="Times New Roman" w:hAnsi="Verdana" w:cs="Calibri"/>
          <w:color w:val="000000"/>
          <w:sz w:val="22"/>
          <w:szCs w:val="22"/>
        </w:rPr>
        <w:t>Gemcitabine &amp; Carboplatin</w:t>
      </w:r>
      <w:r>
        <w:rPr>
          <w:rFonts w:ascii="Verdana" w:eastAsia="Times New Roman" w:hAnsi="Verdana" w:cs="Calibri"/>
          <w:color w:val="000000"/>
          <w:sz w:val="22"/>
          <w:szCs w:val="22"/>
        </w:rPr>
        <w:t xml:space="preserve"> - &lt;5</w:t>
      </w:r>
      <w:r w:rsidR="004B67DA">
        <w:rPr>
          <w:rFonts w:ascii="Verdana" w:eastAsia="Times New Roman" w:hAnsi="Verdana" w:cs="Calibri"/>
          <w:color w:val="000000"/>
          <w:sz w:val="22"/>
          <w:szCs w:val="22"/>
        </w:rPr>
        <w:t>*</w:t>
      </w:r>
      <w:r w:rsidRPr="00CE77E4">
        <w:rPr>
          <w:rFonts w:ascii="Verdana" w:eastAsia="Times New Roman" w:hAnsi="Verdana" w:cs="Calibri"/>
          <w:color w:val="000000"/>
          <w:sz w:val="22"/>
          <w:szCs w:val="22"/>
        </w:rPr>
        <w:t xml:space="preserve">    </w:t>
      </w:r>
    </w:p>
    <w:p w14:paraId="4AA2B7E6" w14:textId="77777777" w:rsidR="00CE77E4" w:rsidRPr="00CE77E4" w:rsidRDefault="00CE77E4" w:rsidP="00CE77E4">
      <w:pPr>
        <w:spacing w:before="0" w:after="0" w:line="240" w:lineRule="auto"/>
        <w:ind w:left="720" w:right="0"/>
        <w:rPr>
          <w:rFonts w:ascii="Verdana" w:eastAsia="Times New Roman" w:hAnsi="Verdana" w:cs="Calibri"/>
          <w:color w:val="000000"/>
          <w:sz w:val="22"/>
          <w:szCs w:val="22"/>
        </w:rPr>
      </w:pPr>
      <w:proofErr w:type="spellStart"/>
      <w:r w:rsidRPr="00CE77E4">
        <w:rPr>
          <w:rFonts w:ascii="Verdana" w:eastAsia="Times New Roman" w:hAnsi="Verdana" w:cs="Calibri"/>
          <w:color w:val="000000"/>
          <w:sz w:val="22"/>
          <w:szCs w:val="22"/>
        </w:rPr>
        <w:t>Nintedanib</w:t>
      </w:r>
      <w:proofErr w:type="spellEnd"/>
      <w:r w:rsidRPr="00CE77E4">
        <w:rPr>
          <w:rFonts w:ascii="Verdana" w:eastAsia="Times New Roman" w:hAnsi="Verdana" w:cs="Calibri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 w:cs="Calibri"/>
          <w:color w:val="000000"/>
          <w:sz w:val="22"/>
          <w:szCs w:val="22"/>
        </w:rPr>
        <w:t xml:space="preserve"> - &lt;5</w:t>
      </w:r>
      <w:r w:rsidR="004B67DA">
        <w:rPr>
          <w:rFonts w:ascii="Verdana" w:eastAsia="Times New Roman" w:hAnsi="Verdana" w:cs="Calibri"/>
          <w:color w:val="000000"/>
          <w:sz w:val="22"/>
          <w:szCs w:val="22"/>
        </w:rPr>
        <w:t>*</w:t>
      </w:r>
    </w:p>
    <w:p w14:paraId="5F75DDC7" w14:textId="77777777" w:rsidR="00CE77E4" w:rsidRPr="00CE77E4" w:rsidRDefault="00CE77E4" w:rsidP="00CE77E4">
      <w:pPr>
        <w:spacing w:before="0" w:after="0" w:line="240" w:lineRule="auto"/>
        <w:ind w:left="72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CE77E4">
        <w:rPr>
          <w:rFonts w:ascii="Verdana" w:eastAsia="Times New Roman" w:hAnsi="Verdana" w:cs="Calibri"/>
          <w:color w:val="000000"/>
          <w:sz w:val="22"/>
          <w:szCs w:val="22"/>
        </w:rPr>
        <w:t xml:space="preserve">Pembrolizumab &amp; Pemetrexed </w:t>
      </w:r>
      <w:r>
        <w:rPr>
          <w:rFonts w:ascii="Verdana" w:eastAsia="Times New Roman" w:hAnsi="Verdana" w:cs="Calibri"/>
          <w:color w:val="000000"/>
          <w:sz w:val="22"/>
          <w:szCs w:val="22"/>
        </w:rPr>
        <w:t>- &lt;5</w:t>
      </w:r>
      <w:r w:rsidR="004B67DA">
        <w:rPr>
          <w:rFonts w:ascii="Verdana" w:eastAsia="Times New Roman" w:hAnsi="Verdana" w:cs="Calibri"/>
          <w:color w:val="000000"/>
          <w:sz w:val="22"/>
          <w:szCs w:val="22"/>
        </w:rPr>
        <w:t>*</w:t>
      </w:r>
      <w:r w:rsidRPr="00CE77E4">
        <w:rPr>
          <w:rFonts w:ascii="Verdana" w:eastAsia="Times New Roman" w:hAnsi="Verdana" w:cs="Calibri"/>
          <w:color w:val="000000"/>
          <w:sz w:val="22"/>
          <w:szCs w:val="22"/>
        </w:rPr>
        <w:t xml:space="preserve">       </w:t>
      </w:r>
    </w:p>
    <w:p w14:paraId="47C9F25C" w14:textId="77777777" w:rsidR="00CE77E4" w:rsidRPr="00CE77E4" w:rsidRDefault="00CE77E4" w:rsidP="00CE77E4">
      <w:pPr>
        <w:spacing w:before="0" w:after="0" w:line="240" w:lineRule="auto"/>
        <w:ind w:left="72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CE77E4">
        <w:rPr>
          <w:rFonts w:ascii="Verdana" w:eastAsia="Times New Roman" w:hAnsi="Verdana" w:cs="Calibri"/>
          <w:color w:val="000000"/>
          <w:sz w:val="22"/>
          <w:szCs w:val="22"/>
        </w:rPr>
        <w:lastRenderedPageBreak/>
        <w:t>Pemetrexed single agent</w:t>
      </w:r>
      <w:r>
        <w:rPr>
          <w:rFonts w:ascii="Verdana" w:eastAsia="Times New Roman" w:hAnsi="Verdana" w:cs="Calibri"/>
          <w:color w:val="000000"/>
          <w:sz w:val="22"/>
          <w:szCs w:val="22"/>
        </w:rPr>
        <w:t xml:space="preserve"> - &lt;5</w:t>
      </w:r>
      <w:r w:rsidR="004B67DA">
        <w:rPr>
          <w:rFonts w:ascii="Verdana" w:eastAsia="Times New Roman" w:hAnsi="Verdana" w:cs="Calibri"/>
          <w:color w:val="000000"/>
          <w:sz w:val="22"/>
          <w:szCs w:val="22"/>
        </w:rPr>
        <w:t>*</w:t>
      </w:r>
    </w:p>
    <w:p w14:paraId="29638FCF" w14:textId="77777777" w:rsidR="00CE77E4" w:rsidRPr="00CE77E4" w:rsidRDefault="00CE77E4" w:rsidP="00CE77E4">
      <w:pPr>
        <w:spacing w:before="0" w:after="0" w:line="240" w:lineRule="auto"/>
        <w:ind w:left="72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CE77E4">
        <w:rPr>
          <w:rFonts w:ascii="Verdana" w:eastAsia="Times New Roman" w:hAnsi="Verdana" w:cs="Calibri"/>
          <w:color w:val="000000"/>
          <w:sz w:val="22"/>
          <w:szCs w:val="22"/>
        </w:rPr>
        <w:t xml:space="preserve">Carboplatin &amp; paclitaxel </w:t>
      </w:r>
      <w:r>
        <w:rPr>
          <w:rFonts w:ascii="Verdana" w:eastAsia="Times New Roman" w:hAnsi="Verdana" w:cs="Calibri"/>
          <w:color w:val="000000"/>
          <w:sz w:val="22"/>
          <w:szCs w:val="22"/>
        </w:rPr>
        <w:t>- &lt;5</w:t>
      </w:r>
      <w:r w:rsidR="004B67DA">
        <w:rPr>
          <w:rFonts w:ascii="Verdana" w:eastAsia="Times New Roman" w:hAnsi="Verdana" w:cs="Calibri"/>
          <w:color w:val="000000"/>
          <w:sz w:val="22"/>
          <w:szCs w:val="22"/>
        </w:rPr>
        <w:t>*</w:t>
      </w:r>
    </w:p>
    <w:p w14:paraId="6B90D09D" w14:textId="77777777" w:rsidR="00CE77E4" w:rsidRPr="00CE77E4" w:rsidRDefault="00CE77E4" w:rsidP="00CE77E4">
      <w:pPr>
        <w:spacing w:before="0" w:after="0" w:line="240" w:lineRule="auto"/>
        <w:ind w:right="0"/>
        <w:rPr>
          <w:rFonts w:ascii="Verdana" w:eastAsia="Times New Roman" w:hAnsi="Verdana" w:cs="Calibri"/>
          <w:color w:val="000000"/>
          <w:sz w:val="22"/>
          <w:szCs w:val="22"/>
        </w:rPr>
      </w:pP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proofErr w:type="spellStart"/>
      <w:r w:rsidRPr="00CE77E4">
        <w:rPr>
          <w:rFonts w:ascii="Verdana" w:eastAsia="Times New Roman" w:hAnsi="Verdana" w:cs="Calibri"/>
          <w:color w:val="000000"/>
          <w:sz w:val="22"/>
          <w:szCs w:val="22"/>
        </w:rPr>
        <w:t>Entrectinib</w:t>
      </w:r>
      <w:proofErr w:type="spellEnd"/>
      <w:r>
        <w:rPr>
          <w:rFonts w:ascii="Verdana" w:eastAsia="Times New Roman" w:hAnsi="Verdana" w:cs="Calibri"/>
          <w:color w:val="000000"/>
          <w:sz w:val="22"/>
          <w:szCs w:val="22"/>
        </w:rPr>
        <w:t xml:space="preserve"> - &lt;5</w:t>
      </w:r>
      <w:r w:rsidR="004B67DA">
        <w:rPr>
          <w:rFonts w:ascii="Verdana" w:eastAsia="Times New Roman" w:hAnsi="Verdana" w:cs="Calibri"/>
          <w:color w:val="000000"/>
          <w:sz w:val="22"/>
          <w:szCs w:val="22"/>
        </w:rPr>
        <w:t>*</w:t>
      </w:r>
      <w:r w:rsidRPr="00CE77E4">
        <w:rPr>
          <w:rFonts w:ascii="Verdana" w:eastAsia="Times New Roman" w:hAnsi="Verdana" w:cs="Calibri"/>
          <w:color w:val="000000"/>
          <w:sz w:val="22"/>
          <w:szCs w:val="22"/>
        </w:rPr>
        <w:t xml:space="preserve">                       </w:t>
      </w:r>
    </w:p>
    <w:p w14:paraId="2D9FFDC3" w14:textId="77777777" w:rsidR="00CE77E4" w:rsidRPr="00CE77E4" w:rsidRDefault="00CE77E4" w:rsidP="00CE77E4">
      <w:pPr>
        <w:spacing w:before="0" w:after="0" w:line="240" w:lineRule="auto"/>
        <w:ind w:left="72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CE77E4">
        <w:rPr>
          <w:rFonts w:ascii="Verdana" w:eastAsia="Times New Roman" w:hAnsi="Verdana" w:cs="Calibri"/>
          <w:color w:val="000000"/>
          <w:sz w:val="22"/>
          <w:szCs w:val="22"/>
        </w:rPr>
        <w:t xml:space="preserve">Gefitinib </w:t>
      </w:r>
      <w:r>
        <w:rPr>
          <w:rFonts w:ascii="Verdana" w:eastAsia="Times New Roman" w:hAnsi="Verdana" w:cs="Calibri"/>
          <w:color w:val="000000"/>
          <w:sz w:val="22"/>
          <w:szCs w:val="22"/>
        </w:rPr>
        <w:t>- &lt;5</w:t>
      </w:r>
      <w:r w:rsidR="004B67DA">
        <w:rPr>
          <w:rFonts w:ascii="Verdana" w:eastAsia="Times New Roman" w:hAnsi="Verdana" w:cs="Calibri"/>
          <w:color w:val="000000"/>
          <w:sz w:val="22"/>
          <w:szCs w:val="22"/>
        </w:rPr>
        <w:t>*</w:t>
      </w:r>
    </w:p>
    <w:p w14:paraId="6DD6FCE0" w14:textId="77777777" w:rsidR="00CE77E4" w:rsidRPr="00CE77E4" w:rsidRDefault="00CE77E4" w:rsidP="00CE77E4">
      <w:pPr>
        <w:pStyle w:val="ListParagraph"/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</w:p>
    <w:p w14:paraId="6BB011D0" w14:textId="77777777" w:rsidR="00CE77E4" w:rsidRPr="00CE77E4" w:rsidRDefault="00CE77E4" w:rsidP="00CE77E4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Palliative care only</w:t>
      </w:r>
      <w:r>
        <w:rPr>
          <w:rFonts w:ascii="Verdana" w:hAnsi="Verdana"/>
          <w:b/>
          <w:sz w:val="22"/>
          <w:szCs w:val="22"/>
          <w:lang w:val="en-US"/>
        </w:rPr>
        <w:t xml:space="preserve"> - </w:t>
      </w:r>
      <w:r w:rsidR="004B67DA">
        <w:rPr>
          <w:rFonts w:ascii="Verdana" w:hAnsi="Verdana"/>
          <w:b/>
          <w:sz w:val="22"/>
          <w:szCs w:val="22"/>
          <w:lang w:val="en-US"/>
        </w:rPr>
        <w:t>**</w:t>
      </w:r>
    </w:p>
    <w:p w14:paraId="5CA83CE4" w14:textId="77777777" w:rsidR="00CE77E4" w:rsidRPr="00CE77E4" w:rsidRDefault="00CE77E4" w:rsidP="00CE77E4">
      <w:pPr>
        <w:pStyle w:val="ListParagraph"/>
        <w:spacing w:after="0"/>
        <w:rPr>
          <w:rFonts w:ascii="Verdana" w:hAnsi="Verdana"/>
          <w:b/>
          <w:sz w:val="22"/>
          <w:szCs w:val="22"/>
          <w:lang w:val="en-US"/>
        </w:rPr>
      </w:pPr>
    </w:p>
    <w:p w14:paraId="3D34D90F" w14:textId="77777777" w:rsidR="00CE77E4" w:rsidRDefault="00CE77E4" w:rsidP="00CE77E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CE77E4">
        <w:rPr>
          <w:rFonts w:ascii="Verdana" w:hAnsi="Verdana"/>
          <w:b/>
          <w:sz w:val="22"/>
          <w:szCs w:val="22"/>
          <w:lang w:val="en-US"/>
        </w:rPr>
        <w:t>Q2. Does your health board participate in any clinical trials for non-small cell lung cancer (NSCLC)?  If so, could you please provide the name of each active trial and the number of patients taking part.</w:t>
      </w:r>
    </w:p>
    <w:p w14:paraId="2F77F34F" w14:textId="77777777" w:rsidR="00CE77E4" w:rsidRPr="00CE77E4" w:rsidRDefault="00CE77E4" w:rsidP="00CE77E4">
      <w:pPr>
        <w:spacing w:after="0"/>
        <w:rPr>
          <w:rFonts w:ascii="Verdana" w:hAnsi="Verdana"/>
          <w:sz w:val="22"/>
          <w:szCs w:val="22"/>
          <w:lang w:val="en-US"/>
        </w:rPr>
      </w:pPr>
      <w:r>
        <w:rPr>
          <w:rFonts w:ascii="Verdana" w:hAnsi="Verdana"/>
          <w:sz w:val="22"/>
          <w:szCs w:val="22"/>
          <w:lang w:val="en-US"/>
        </w:rPr>
        <w:t>You clarified on the 8</w:t>
      </w:r>
      <w:r w:rsidRPr="00CE77E4">
        <w:rPr>
          <w:rFonts w:ascii="Verdana" w:hAnsi="Verdana"/>
          <w:sz w:val="22"/>
          <w:szCs w:val="22"/>
          <w:vertAlign w:val="superscript"/>
          <w:lang w:val="en-US"/>
        </w:rPr>
        <w:t>th</w:t>
      </w:r>
      <w:r>
        <w:rPr>
          <w:rFonts w:ascii="Verdana" w:hAnsi="Verdana"/>
          <w:sz w:val="22"/>
          <w:szCs w:val="22"/>
          <w:lang w:val="en-US"/>
        </w:rPr>
        <w:t xml:space="preserve"> November that you only required information on treatment clinical trials. During the past 3 months there were no </w:t>
      </w:r>
      <w:r w:rsidR="004B67DA">
        <w:rPr>
          <w:rFonts w:ascii="Verdana" w:hAnsi="Verdana"/>
          <w:sz w:val="22"/>
          <w:szCs w:val="22"/>
          <w:lang w:val="en-US"/>
        </w:rPr>
        <w:t xml:space="preserve">treatment </w:t>
      </w:r>
      <w:r>
        <w:rPr>
          <w:rFonts w:ascii="Verdana" w:hAnsi="Verdana"/>
          <w:sz w:val="22"/>
          <w:szCs w:val="22"/>
          <w:lang w:val="en-US"/>
        </w:rPr>
        <w:t xml:space="preserve">clinical trials for NSCLC. </w:t>
      </w:r>
    </w:p>
    <w:p w14:paraId="27BDF5E4" w14:textId="77777777" w:rsidR="00CE77E4" w:rsidRDefault="00CE77E4" w:rsidP="00CE77E4">
      <w:pPr>
        <w:spacing w:after="0"/>
        <w:rPr>
          <w:rFonts w:ascii="Verdana" w:hAnsi="Verdana"/>
          <w:b/>
          <w:sz w:val="22"/>
          <w:szCs w:val="22"/>
          <w:lang w:val="en-US"/>
        </w:rPr>
      </w:pPr>
    </w:p>
    <w:p w14:paraId="3D8EFDA6" w14:textId="77777777" w:rsidR="00CE77E4" w:rsidRPr="004B67DA" w:rsidRDefault="004B67DA" w:rsidP="004B67DA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4B67DA">
        <w:rPr>
          <w:rFonts w:ascii="Verdana" w:hAnsi="Verdana"/>
          <w:sz w:val="22"/>
          <w:szCs w:val="22"/>
        </w:rPr>
        <w:t xml:space="preserve">*Where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4B67DA">
          <w:rPr>
            <w:rFonts w:ascii="Verdana" w:hAnsi="Verdana"/>
            <w:sz w:val="22"/>
            <w:szCs w:val="22"/>
          </w:rPr>
          <w:t>Freedom of Information</w:t>
        </w:r>
      </w:smartTag>
      <w:r w:rsidRPr="004B67DA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4B67D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4B67DA">
        <w:rPr>
          <w:rFonts w:ascii="Verdana" w:hAnsi="Verdana"/>
          <w:bCs/>
          <w:iCs/>
          <w:sz w:val="22"/>
          <w:szCs w:val="22"/>
        </w:rPr>
        <w:t>in regard to</w:t>
      </w:r>
      <w:r w:rsidRPr="004B67DA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4B67D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31A5B0A2" w14:textId="77777777" w:rsidR="00CE77E4" w:rsidRPr="00CE77E4" w:rsidRDefault="00CE77E4" w:rsidP="00CE77E4">
      <w:pPr>
        <w:spacing w:after="0"/>
        <w:rPr>
          <w:rFonts w:ascii="Verdana" w:hAnsi="Verdana"/>
          <w:sz w:val="22"/>
          <w:szCs w:val="22"/>
          <w:lang w:val="en-US"/>
        </w:rPr>
      </w:pPr>
    </w:p>
    <w:p w14:paraId="3C75FCD6" w14:textId="77777777" w:rsidR="004B67DA" w:rsidRPr="00FC3B42" w:rsidRDefault="004B67DA" w:rsidP="004B67DA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>**</w:t>
      </w:r>
      <w:r w:rsidRPr="004B67DA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15716A3F" w14:textId="77777777" w:rsidR="00CE77E4" w:rsidRPr="00CE77E4" w:rsidRDefault="00CE77E4" w:rsidP="00D62A67">
      <w:pPr>
        <w:spacing w:before="280"/>
        <w:rPr>
          <w:rFonts w:ascii="Verdana" w:hAnsi="Verdana"/>
          <w:sz w:val="22"/>
          <w:szCs w:val="22"/>
        </w:rPr>
      </w:pPr>
    </w:p>
    <w:p w14:paraId="3B05B7D2" w14:textId="77777777" w:rsidR="002677FD" w:rsidRPr="00CE77E4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6569D152" w14:textId="77777777" w:rsidR="00A10460" w:rsidRPr="00CE77E4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2790356B" w14:textId="77777777" w:rsidR="00A10460" w:rsidRPr="00CE77E4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625E22A9" w14:textId="77777777" w:rsidR="00A10460" w:rsidRPr="00CE77E4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50649099" w14:textId="77777777" w:rsidR="00A10460" w:rsidRPr="00CE77E4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3D0C2A4E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CE77E4">
        <w:rPr>
          <w:rFonts w:ascii="Verdana" w:hAnsi="Verdana"/>
          <w:b/>
          <w:bCs/>
          <w:noProof/>
          <w:sz w:val="22"/>
          <w:szCs w:val="22"/>
        </w:rPr>
        <w:br/>
      </w:r>
      <w:r w:rsidRPr="00CE77E4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6BFBB52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F9EFCE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595C53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96EFBA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F7CA8CC" wp14:editId="5C645A5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F77ABA8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44A49">
      <w:rPr>
        <w:noProof/>
      </w:rPr>
      <w:t>3</w:t>
    </w:r>
    <w:r w:rsidR="00795AD1" w:rsidRPr="00795AD1">
      <w:rPr>
        <w:noProof/>
      </w:rPr>
      <w:fldChar w:fldCharType="end"/>
    </w:r>
  </w:p>
  <w:p w14:paraId="1D0113E4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EF0EE9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5141EB5" wp14:editId="1FEAE9EF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D1BC5F3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D85FC2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8274E3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16EF887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E530EF9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96A5E2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5EF2C4B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0EA63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0E9EF2F" wp14:editId="7989870F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C0F3200" wp14:editId="5DFE0509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8BC646C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E65300B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AF0E14C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6000F8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1B5F9B1C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00B004A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4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34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4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34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2B03E19"/>
    <w:multiLevelType w:val="hybridMultilevel"/>
    <w:tmpl w:val="FD8445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0B2A"/>
    <w:rsid w:val="00040038"/>
    <w:rsid w:val="00095DF5"/>
    <w:rsid w:val="000C00ED"/>
    <w:rsid w:val="00111757"/>
    <w:rsid w:val="001276F0"/>
    <w:rsid w:val="00185784"/>
    <w:rsid w:val="001B1339"/>
    <w:rsid w:val="001E1BDF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B67DA"/>
    <w:rsid w:val="004C59CA"/>
    <w:rsid w:val="004C7B47"/>
    <w:rsid w:val="004E1954"/>
    <w:rsid w:val="004F1E5A"/>
    <w:rsid w:val="005317D4"/>
    <w:rsid w:val="00534D7A"/>
    <w:rsid w:val="00544A49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E77E4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CACB62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44A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44A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44A4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4A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4A4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1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7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43324C-1681-4FE0-BB95-6D814BC7A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29</TotalTime>
  <Pages>3</Pages>
  <Words>489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2023-11-21T11:36:00Z</dcterms:modified>
</cp:coreProperties>
</file>