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158E0">
                              <w:rPr>
                                <w:rFonts w:ascii="Verdana" w:hAnsi="Verdana"/>
                                <w:b/>
                                <w:sz w:val="22"/>
                                <w:szCs w:val="22"/>
                              </w:rPr>
                              <w:t>23-I-049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158E0">
                        <w:rPr>
                          <w:rFonts w:ascii="Verdana" w:hAnsi="Verdana"/>
                          <w:b/>
                          <w:sz w:val="22"/>
                          <w:szCs w:val="22"/>
                        </w:rPr>
                        <w:t>23-I-049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6158E0" w:rsidRPr="00FC781E" w:rsidRDefault="006158E0" w:rsidP="006158E0">
      <w:pPr>
        <w:spacing w:before="0" w:after="0" w:line="240" w:lineRule="auto"/>
        <w:ind w:right="0"/>
        <w:rPr>
          <w:rFonts w:ascii="Verdana" w:eastAsia="Times New Roman" w:hAnsi="Verdana" w:cs="Segoe UI"/>
          <w:b/>
          <w:sz w:val="22"/>
          <w:szCs w:val="22"/>
        </w:rPr>
      </w:pPr>
      <w:r w:rsidRPr="00FC781E">
        <w:rPr>
          <w:rFonts w:ascii="Verdana" w:eastAsia="Times New Roman" w:hAnsi="Verdana" w:cs="Segoe UI"/>
          <w:b/>
          <w:sz w:val="22"/>
          <w:szCs w:val="22"/>
        </w:rPr>
        <w:t xml:space="preserve">Provide the waiting times data for surgery/ treatment for endometriosis for the population in your Health Board area, for each of last 5 financial years. </w:t>
      </w:r>
    </w:p>
    <w:p w:rsidR="00BC73FB" w:rsidRPr="00FC781E" w:rsidRDefault="00BC73FB" w:rsidP="00BC73FB">
      <w:pPr>
        <w:rPr>
          <w:rFonts w:ascii="Verdana" w:hAnsi="Verdana"/>
          <w:sz w:val="22"/>
          <w:szCs w:val="22"/>
        </w:rPr>
      </w:pPr>
      <w:r w:rsidRPr="00FC781E">
        <w:rPr>
          <w:rFonts w:ascii="Verdana" w:hAnsi="Verdana"/>
          <w:sz w:val="22"/>
          <w:szCs w:val="22"/>
        </w:rPr>
        <w:t>The Covid-19 pandemic caused huge disruption to NHS services, not just in Swansea Bay but across the UK.  As with all health organisations, during the first and subsequent waves we suspended non-emergency services and appointments so our hospitals did not become overwhelmed while we cared for those seriously ill with the virus. Inevitably this has affected waiting times as it has done with all other health boards.</w:t>
      </w:r>
    </w:p>
    <w:p w:rsidR="00FC781E" w:rsidRPr="00FC781E" w:rsidRDefault="00FC781E" w:rsidP="00FC781E">
      <w:pPr>
        <w:rPr>
          <w:rFonts w:ascii="Verdana" w:hAnsi="Verdana"/>
          <w:sz w:val="22"/>
          <w:szCs w:val="22"/>
        </w:rPr>
      </w:pPr>
      <w:r w:rsidRPr="00FC781E">
        <w:rPr>
          <w:rFonts w:ascii="Verdana" w:hAnsi="Verdana"/>
          <w:sz w:val="22"/>
          <w:szCs w:val="22"/>
        </w:rPr>
        <w:t>Gynaecology</w:t>
      </w:r>
      <w:r>
        <w:rPr>
          <w:rFonts w:ascii="Verdana" w:hAnsi="Verdana"/>
          <w:sz w:val="22"/>
          <w:szCs w:val="22"/>
        </w:rPr>
        <w:t xml:space="preserve"> services</w:t>
      </w:r>
      <w:r w:rsidRPr="00FC781E">
        <w:rPr>
          <w:rFonts w:ascii="Verdana" w:hAnsi="Verdana"/>
          <w:sz w:val="22"/>
          <w:szCs w:val="22"/>
        </w:rPr>
        <w:t xml:space="preserve"> ha</w:t>
      </w:r>
      <w:r>
        <w:rPr>
          <w:rFonts w:ascii="Verdana" w:hAnsi="Verdana"/>
          <w:sz w:val="22"/>
          <w:szCs w:val="22"/>
        </w:rPr>
        <w:t>ve</w:t>
      </w:r>
      <w:r w:rsidRPr="00FC781E">
        <w:rPr>
          <w:rFonts w:ascii="Verdana" w:hAnsi="Verdana"/>
          <w:sz w:val="22"/>
          <w:szCs w:val="22"/>
        </w:rPr>
        <w:t xml:space="preserve"> not returned to </w:t>
      </w:r>
      <w:r>
        <w:rPr>
          <w:rFonts w:ascii="Verdana" w:hAnsi="Verdana"/>
          <w:sz w:val="22"/>
          <w:szCs w:val="22"/>
        </w:rPr>
        <w:t xml:space="preserve">the </w:t>
      </w:r>
      <w:r w:rsidRPr="00FC781E">
        <w:rPr>
          <w:rFonts w:ascii="Verdana" w:hAnsi="Verdana"/>
          <w:sz w:val="22"/>
          <w:szCs w:val="22"/>
        </w:rPr>
        <w:t>pre-pandemic level of operating/theatre sessions</w:t>
      </w:r>
      <w:r w:rsidRPr="00FC781E">
        <w:rPr>
          <w:color w:val="1F497D"/>
          <w:sz w:val="22"/>
          <w:szCs w:val="22"/>
        </w:rPr>
        <w:t xml:space="preserve"> </w:t>
      </w:r>
      <w:r w:rsidRPr="00FC781E">
        <w:rPr>
          <w:rFonts w:ascii="Verdana" w:hAnsi="Verdana"/>
          <w:sz w:val="22"/>
          <w:szCs w:val="22"/>
        </w:rPr>
        <w:t xml:space="preserve">and are currently outsourcing to Nuffield Health to help reduce the waiting list for patients </w:t>
      </w:r>
      <w:r w:rsidR="00646485">
        <w:rPr>
          <w:rFonts w:ascii="Verdana" w:hAnsi="Verdana"/>
          <w:sz w:val="22"/>
          <w:szCs w:val="22"/>
        </w:rPr>
        <w:t>(outside of the 80</w:t>
      </w:r>
      <w:r w:rsidR="00983700">
        <w:rPr>
          <w:rFonts w:ascii="Verdana" w:hAnsi="Verdana"/>
          <w:sz w:val="22"/>
          <w:szCs w:val="22"/>
          <w:vertAlign w:val="superscript"/>
        </w:rPr>
        <w:t>th</w:t>
      </w:r>
      <w:bookmarkStart w:id="0" w:name="_GoBack"/>
      <w:bookmarkEnd w:id="0"/>
      <w:r w:rsidR="00646485">
        <w:rPr>
          <w:rFonts w:ascii="Verdana" w:hAnsi="Verdana"/>
          <w:sz w:val="22"/>
          <w:szCs w:val="22"/>
        </w:rPr>
        <w:t xml:space="preserve"> percentile) </w:t>
      </w:r>
      <w:r w:rsidRPr="00FC781E">
        <w:rPr>
          <w:rFonts w:ascii="Verdana" w:hAnsi="Verdana"/>
          <w:sz w:val="22"/>
          <w:szCs w:val="22"/>
        </w:rPr>
        <w:t xml:space="preserve">who have been waiting in excess of 156 weeks.  </w:t>
      </w:r>
    </w:p>
    <w:p w:rsidR="00FC781E" w:rsidRPr="00FC781E" w:rsidRDefault="006158E0" w:rsidP="00FC781E">
      <w:pPr>
        <w:spacing w:before="280"/>
        <w:rPr>
          <w:rFonts w:ascii="Verdana" w:hAnsi="Verdana"/>
          <w:sz w:val="22"/>
          <w:szCs w:val="22"/>
        </w:rPr>
      </w:pPr>
      <w:r w:rsidRPr="00FC781E">
        <w:rPr>
          <w:rFonts w:ascii="Verdana" w:hAnsi="Verdana"/>
          <w:sz w:val="22"/>
          <w:szCs w:val="22"/>
        </w:rPr>
        <w:t>Please note that we cannot provide an average wait for patients currently waiting as some patient will have only just been added to a waiting list and some patients will have waited a lot longer for various personal or clinical reasons.  We have provided data based on the 80</w:t>
      </w:r>
      <w:r w:rsidRPr="00FC781E">
        <w:rPr>
          <w:rFonts w:ascii="Verdana" w:hAnsi="Verdana"/>
          <w:sz w:val="22"/>
          <w:szCs w:val="22"/>
          <w:vertAlign w:val="superscript"/>
        </w:rPr>
        <w:t>th</w:t>
      </w:r>
      <w:r w:rsidRPr="00FC781E">
        <w:rPr>
          <w:rFonts w:ascii="Verdana" w:hAnsi="Verdana"/>
          <w:sz w:val="22"/>
          <w:szCs w:val="22"/>
        </w:rPr>
        <w:t xml:space="preserve"> percentile. Which demonstrates that 80% of the patients had waited up to a certain number of weeks/and or days.</w:t>
      </w:r>
    </w:p>
    <w:tbl>
      <w:tblPr>
        <w:tblW w:w="5817" w:type="dxa"/>
        <w:tblInd w:w="567" w:type="dxa"/>
        <w:tblLook w:val="04A0" w:firstRow="1" w:lastRow="0" w:firstColumn="1" w:lastColumn="0" w:noHBand="0" w:noVBand="1"/>
      </w:tblPr>
      <w:tblGrid>
        <w:gridCol w:w="1535"/>
        <w:gridCol w:w="2391"/>
        <w:gridCol w:w="856"/>
        <w:gridCol w:w="1035"/>
      </w:tblGrid>
      <w:tr w:rsidR="006158E0" w:rsidRPr="006158E0" w:rsidTr="00FC781E">
        <w:trPr>
          <w:trHeight w:val="290"/>
        </w:trPr>
        <w:tc>
          <w:tcPr>
            <w:tcW w:w="5817" w:type="dxa"/>
            <w:gridSpan w:val="4"/>
            <w:tcBorders>
              <w:top w:val="nil"/>
              <w:left w:val="nil"/>
              <w:bottom w:val="nil"/>
              <w:right w:val="nil"/>
            </w:tcBorders>
            <w:shd w:val="clear" w:color="auto" w:fill="auto"/>
            <w:noWrap/>
            <w:vAlign w:val="bottom"/>
            <w:hideMark/>
          </w:tcPr>
          <w:p w:rsidR="006158E0" w:rsidRPr="006158E0" w:rsidRDefault="006158E0" w:rsidP="006158E0">
            <w:pPr>
              <w:spacing w:before="0" w:after="0" w:line="240" w:lineRule="auto"/>
              <w:ind w:left="0" w:right="0"/>
              <w:rPr>
                <w:rFonts w:ascii="Verdana" w:eastAsia="Times New Roman" w:hAnsi="Verdana" w:cs="Calibri"/>
                <w:b/>
                <w:bCs/>
                <w:color w:val="000000"/>
                <w:sz w:val="22"/>
                <w:szCs w:val="22"/>
                <w:u w:val="single"/>
              </w:rPr>
            </w:pPr>
            <w:r w:rsidRPr="006158E0">
              <w:rPr>
                <w:rFonts w:ascii="Verdana" w:eastAsia="Times New Roman" w:hAnsi="Verdana" w:cs="Calibri"/>
                <w:b/>
                <w:bCs/>
                <w:color w:val="000000"/>
                <w:sz w:val="22"/>
                <w:szCs w:val="22"/>
                <w:u w:val="single"/>
              </w:rPr>
              <w:t>Stage 5 patients on waiting list for endometriosis</w:t>
            </w:r>
          </w:p>
        </w:tc>
      </w:tr>
      <w:tr w:rsidR="006158E0" w:rsidRPr="006158E0" w:rsidTr="00FC781E">
        <w:trPr>
          <w:trHeight w:val="300"/>
        </w:trPr>
        <w:tc>
          <w:tcPr>
            <w:tcW w:w="1535" w:type="dxa"/>
            <w:tcBorders>
              <w:top w:val="nil"/>
              <w:left w:val="nil"/>
              <w:bottom w:val="nil"/>
              <w:right w:val="nil"/>
            </w:tcBorders>
            <w:shd w:val="clear" w:color="auto" w:fill="auto"/>
            <w:noWrap/>
            <w:vAlign w:val="bottom"/>
            <w:hideMark/>
          </w:tcPr>
          <w:p w:rsidR="006158E0" w:rsidRPr="006158E0" w:rsidRDefault="006158E0" w:rsidP="006158E0">
            <w:pPr>
              <w:spacing w:before="0" w:after="0" w:line="240" w:lineRule="auto"/>
              <w:ind w:left="0" w:right="0"/>
              <w:rPr>
                <w:rFonts w:ascii="Verdana" w:eastAsia="Times New Roman" w:hAnsi="Verdana" w:cs="Calibri"/>
                <w:b/>
                <w:bCs/>
                <w:color w:val="000000"/>
                <w:sz w:val="22"/>
                <w:szCs w:val="22"/>
                <w:u w:val="single"/>
              </w:rPr>
            </w:pPr>
          </w:p>
        </w:tc>
        <w:tc>
          <w:tcPr>
            <w:tcW w:w="2391" w:type="dxa"/>
            <w:tcBorders>
              <w:top w:val="nil"/>
              <w:left w:val="nil"/>
              <w:bottom w:val="nil"/>
              <w:right w:val="nil"/>
            </w:tcBorders>
            <w:shd w:val="clear" w:color="auto" w:fill="auto"/>
            <w:noWrap/>
            <w:vAlign w:val="bottom"/>
            <w:hideMark/>
          </w:tcPr>
          <w:p w:rsidR="006158E0" w:rsidRPr="006158E0" w:rsidRDefault="006158E0" w:rsidP="006158E0">
            <w:pPr>
              <w:spacing w:before="0" w:after="0" w:line="240" w:lineRule="auto"/>
              <w:ind w:left="0" w:right="0"/>
              <w:rPr>
                <w:rFonts w:ascii="Verdana" w:eastAsia="Times New Roman" w:hAnsi="Verdana" w:cs="Times New Roman"/>
                <w:sz w:val="20"/>
                <w:szCs w:val="20"/>
              </w:rPr>
            </w:pPr>
          </w:p>
        </w:tc>
        <w:tc>
          <w:tcPr>
            <w:tcW w:w="856" w:type="dxa"/>
            <w:tcBorders>
              <w:top w:val="nil"/>
              <w:left w:val="nil"/>
              <w:bottom w:val="nil"/>
              <w:right w:val="nil"/>
            </w:tcBorders>
            <w:shd w:val="clear" w:color="auto" w:fill="auto"/>
            <w:noWrap/>
            <w:vAlign w:val="bottom"/>
            <w:hideMark/>
          </w:tcPr>
          <w:p w:rsidR="006158E0" w:rsidRPr="006158E0" w:rsidRDefault="006158E0" w:rsidP="006158E0">
            <w:pPr>
              <w:spacing w:before="0" w:after="0" w:line="240" w:lineRule="auto"/>
              <w:ind w:left="0" w:right="0"/>
              <w:rPr>
                <w:rFonts w:ascii="Verdana" w:eastAsia="Times New Roman" w:hAnsi="Verdana" w:cs="Times New Roman"/>
                <w:sz w:val="20"/>
                <w:szCs w:val="20"/>
              </w:rPr>
            </w:pPr>
          </w:p>
        </w:tc>
        <w:tc>
          <w:tcPr>
            <w:tcW w:w="1035" w:type="dxa"/>
            <w:tcBorders>
              <w:top w:val="nil"/>
              <w:left w:val="nil"/>
              <w:bottom w:val="nil"/>
              <w:right w:val="nil"/>
            </w:tcBorders>
            <w:shd w:val="clear" w:color="auto" w:fill="auto"/>
            <w:noWrap/>
            <w:vAlign w:val="bottom"/>
            <w:hideMark/>
          </w:tcPr>
          <w:p w:rsidR="006158E0" w:rsidRPr="006158E0" w:rsidRDefault="006158E0" w:rsidP="006158E0">
            <w:pPr>
              <w:spacing w:before="0" w:after="0" w:line="240" w:lineRule="auto"/>
              <w:ind w:left="0" w:right="0"/>
              <w:rPr>
                <w:rFonts w:ascii="Verdana" w:eastAsia="Times New Roman" w:hAnsi="Verdana" w:cs="Times New Roman"/>
                <w:sz w:val="20"/>
                <w:szCs w:val="20"/>
              </w:rPr>
            </w:pPr>
          </w:p>
        </w:tc>
      </w:tr>
      <w:tr w:rsidR="006158E0" w:rsidRPr="006158E0" w:rsidTr="00FC781E">
        <w:trPr>
          <w:trHeight w:val="300"/>
        </w:trPr>
        <w:tc>
          <w:tcPr>
            <w:tcW w:w="1535" w:type="dxa"/>
            <w:tcBorders>
              <w:top w:val="nil"/>
              <w:left w:val="nil"/>
              <w:bottom w:val="nil"/>
              <w:right w:val="nil"/>
            </w:tcBorders>
            <w:shd w:val="clear" w:color="auto" w:fill="auto"/>
            <w:noWrap/>
            <w:vAlign w:val="bottom"/>
            <w:hideMark/>
          </w:tcPr>
          <w:p w:rsidR="006158E0" w:rsidRPr="006158E0" w:rsidRDefault="006158E0" w:rsidP="006158E0">
            <w:pPr>
              <w:spacing w:before="0" w:after="0" w:line="240" w:lineRule="auto"/>
              <w:ind w:left="0" w:right="0"/>
              <w:rPr>
                <w:rFonts w:ascii="Verdana" w:eastAsia="Times New Roman" w:hAnsi="Verdana" w:cs="Times New Roman"/>
                <w:sz w:val="20"/>
                <w:szCs w:val="20"/>
              </w:rPr>
            </w:pPr>
          </w:p>
        </w:tc>
        <w:tc>
          <w:tcPr>
            <w:tcW w:w="2391" w:type="dxa"/>
            <w:tcBorders>
              <w:top w:val="nil"/>
              <w:left w:val="nil"/>
              <w:bottom w:val="nil"/>
              <w:right w:val="nil"/>
            </w:tcBorders>
            <w:shd w:val="clear" w:color="auto" w:fill="auto"/>
            <w:noWrap/>
            <w:vAlign w:val="bottom"/>
            <w:hideMark/>
          </w:tcPr>
          <w:p w:rsidR="006158E0" w:rsidRPr="006158E0" w:rsidRDefault="006158E0" w:rsidP="006158E0">
            <w:pPr>
              <w:spacing w:before="0" w:after="0" w:line="240" w:lineRule="auto"/>
              <w:ind w:left="0" w:right="0"/>
              <w:rPr>
                <w:rFonts w:ascii="Verdana" w:eastAsia="Times New Roman" w:hAnsi="Verdana" w:cs="Times New Roman"/>
                <w:sz w:val="20"/>
                <w:szCs w:val="20"/>
              </w:rPr>
            </w:pPr>
          </w:p>
        </w:tc>
        <w:tc>
          <w:tcPr>
            <w:tcW w:w="1891" w:type="dxa"/>
            <w:gridSpan w:val="2"/>
            <w:tcBorders>
              <w:top w:val="single" w:sz="8" w:space="0" w:color="auto"/>
              <w:left w:val="single" w:sz="8" w:space="0" w:color="auto"/>
              <w:bottom w:val="nil"/>
              <w:right w:val="single" w:sz="8" w:space="0" w:color="000000"/>
            </w:tcBorders>
            <w:shd w:val="clear" w:color="auto" w:fill="auto"/>
            <w:noWrap/>
            <w:vAlign w:val="bottom"/>
            <w:hideMark/>
          </w:tcPr>
          <w:p w:rsidR="006158E0" w:rsidRPr="006158E0" w:rsidRDefault="006158E0" w:rsidP="006158E0">
            <w:pPr>
              <w:spacing w:before="0" w:after="0" w:line="240" w:lineRule="auto"/>
              <w:ind w:left="0" w:right="0"/>
              <w:jc w:val="center"/>
              <w:rPr>
                <w:rFonts w:ascii="Verdana" w:eastAsia="Times New Roman" w:hAnsi="Verdana" w:cs="Calibri"/>
                <w:color w:val="000000"/>
                <w:sz w:val="22"/>
                <w:szCs w:val="22"/>
              </w:rPr>
            </w:pPr>
            <w:r w:rsidRPr="006158E0">
              <w:rPr>
                <w:rFonts w:ascii="Verdana" w:eastAsia="Times New Roman" w:hAnsi="Verdana" w:cs="Calibri"/>
                <w:color w:val="000000"/>
                <w:sz w:val="22"/>
                <w:szCs w:val="22"/>
              </w:rPr>
              <w:t>80th percentile</w:t>
            </w:r>
          </w:p>
        </w:tc>
      </w:tr>
      <w:tr w:rsidR="006158E0" w:rsidRPr="006158E0" w:rsidTr="00FC781E">
        <w:trPr>
          <w:trHeight w:val="300"/>
        </w:trPr>
        <w:tc>
          <w:tcPr>
            <w:tcW w:w="1535" w:type="dxa"/>
            <w:tcBorders>
              <w:top w:val="single" w:sz="8" w:space="0" w:color="auto"/>
              <w:left w:val="single" w:sz="8" w:space="0" w:color="auto"/>
              <w:bottom w:val="single" w:sz="8" w:space="0" w:color="auto"/>
              <w:right w:val="single" w:sz="4" w:space="0" w:color="auto"/>
            </w:tcBorders>
            <w:shd w:val="clear" w:color="000000" w:fill="E7E6E6"/>
            <w:noWrap/>
            <w:vAlign w:val="bottom"/>
            <w:hideMark/>
          </w:tcPr>
          <w:p w:rsidR="006158E0" w:rsidRPr="006158E0" w:rsidRDefault="006158E0" w:rsidP="006158E0">
            <w:pPr>
              <w:spacing w:before="0" w:after="0" w:line="240" w:lineRule="auto"/>
              <w:ind w:left="0" w:right="0"/>
              <w:jc w:val="center"/>
              <w:rPr>
                <w:rFonts w:ascii="Verdana" w:eastAsia="Times New Roman" w:hAnsi="Verdana" w:cs="Calibri"/>
                <w:b/>
                <w:bCs/>
                <w:color w:val="000000"/>
                <w:sz w:val="22"/>
                <w:szCs w:val="22"/>
              </w:rPr>
            </w:pPr>
            <w:r w:rsidRPr="006158E0">
              <w:rPr>
                <w:rFonts w:ascii="Verdana" w:eastAsia="Times New Roman" w:hAnsi="Verdana" w:cs="Calibri"/>
                <w:b/>
                <w:bCs/>
                <w:color w:val="000000"/>
                <w:sz w:val="22"/>
                <w:szCs w:val="22"/>
              </w:rPr>
              <w:t>Snapshot date</w:t>
            </w:r>
          </w:p>
        </w:tc>
        <w:tc>
          <w:tcPr>
            <w:tcW w:w="2391" w:type="dxa"/>
            <w:tcBorders>
              <w:top w:val="single" w:sz="8" w:space="0" w:color="auto"/>
              <w:left w:val="nil"/>
              <w:bottom w:val="single" w:sz="8" w:space="0" w:color="auto"/>
              <w:right w:val="nil"/>
            </w:tcBorders>
            <w:shd w:val="clear" w:color="000000" w:fill="E7E6E6"/>
            <w:noWrap/>
            <w:vAlign w:val="bottom"/>
            <w:hideMark/>
          </w:tcPr>
          <w:p w:rsidR="006158E0" w:rsidRPr="006158E0" w:rsidRDefault="006158E0" w:rsidP="006158E0">
            <w:pPr>
              <w:spacing w:before="0" w:after="0" w:line="240" w:lineRule="auto"/>
              <w:ind w:left="0" w:right="0"/>
              <w:jc w:val="center"/>
              <w:rPr>
                <w:rFonts w:ascii="Verdana" w:eastAsia="Times New Roman" w:hAnsi="Verdana" w:cs="Calibri"/>
                <w:b/>
                <w:bCs/>
                <w:color w:val="000000"/>
                <w:sz w:val="22"/>
                <w:szCs w:val="22"/>
              </w:rPr>
            </w:pPr>
            <w:r w:rsidRPr="006158E0">
              <w:rPr>
                <w:rFonts w:ascii="Verdana" w:eastAsia="Times New Roman" w:hAnsi="Verdana" w:cs="Calibri"/>
                <w:b/>
                <w:bCs/>
                <w:color w:val="000000"/>
                <w:sz w:val="22"/>
                <w:szCs w:val="22"/>
              </w:rPr>
              <w:t>Number of patients</w:t>
            </w:r>
          </w:p>
        </w:tc>
        <w:tc>
          <w:tcPr>
            <w:tcW w:w="856" w:type="dxa"/>
            <w:tcBorders>
              <w:top w:val="single" w:sz="8" w:space="0" w:color="auto"/>
              <w:left w:val="single" w:sz="8" w:space="0" w:color="auto"/>
              <w:bottom w:val="single" w:sz="8" w:space="0" w:color="auto"/>
              <w:right w:val="single" w:sz="4" w:space="0" w:color="auto"/>
            </w:tcBorders>
            <w:shd w:val="clear" w:color="000000" w:fill="E7E6E6"/>
            <w:noWrap/>
            <w:vAlign w:val="bottom"/>
            <w:hideMark/>
          </w:tcPr>
          <w:p w:rsidR="006158E0" w:rsidRPr="006158E0" w:rsidRDefault="006158E0" w:rsidP="006158E0">
            <w:pPr>
              <w:spacing w:before="0" w:after="0" w:line="240" w:lineRule="auto"/>
              <w:ind w:left="0" w:right="0"/>
              <w:jc w:val="center"/>
              <w:rPr>
                <w:rFonts w:ascii="Verdana" w:eastAsia="Times New Roman" w:hAnsi="Verdana" w:cs="Calibri"/>
                <w:b/>
                <w:bCs/>
                <w:color w:val="000000"/>
                <w:sz w:val="22"/>
                <w:szCs w:val="22"/>
              </w:rPr>
            </w:pPr>
            <w:r w:rsidRPr="006158E0">
              <w:rPr>
                <w:rFonts w:ascii="Verdana" w:eastAsia="Times New Roman" w:hAnsi="Verdana" w:cs="Calibri"/>
                <w:b/>
                <w:bCs/>
                <w:color w:val="000000"/>
                <w:sz w:val="22"/>
                <w:szCs w:val="22"/>
              </w:rPr>
              <w:t>Days</w:t>
            </w:r>
          </w:p>
        </w:tc>
        <w:tc>
          <w:tcPr>
            <w:tcW w:w="1035" w:type="dxa"/>
            <w:tcBorders>
              <w:top w:val="single" w:sz="8" w:space="0" w:color="auto"/>
              <w:left w:val="nil"/>
              <w:bottom w:val="single" w:sz="8" w:space="0" w:color="auto"/>
              <w:right w:val="single" w:sz="8" w:space="0" w:color="auto"/>
            </w:tcBorders>
            <w:shd w:val="clear" w:color="000000" w:fill="E7E6E6"/>
            <w:noWrap/>
            <w:vAlign w:val="bottom"/>
            <w:hideMark/>
          </w:tcPr>
          <w:p w:rsidR="006158E0" w:rsidRPr="006158E0" w:rsidRDefault="006158E0" w:rsidP="006158E0">
            <w:pPr>
              <w:spacing w:before="0" w:after="0" w:line="240" w:lineRule="auto"/>
              <w:ind w:left="0" w:right="0"/>
              <w:jc w:val="center"/>
              <w:rPr>
                <w:rFonts w:ascii="Verdana" w:eastAsia="Times New Roman" w:hAnsi="Verdana" w:cs="Calibri"/>
                <w:b/>
                <w:bCs/>
                <w:color w:val="000000"/>
                <w:sz w:val="22"/>
                <w:szCs w:val="22"/>
              </w:rPr>
            </w:pPr>
            <w:r w:rsidRPr="006158E0">
              <w:rPr>
                <w:rFonts w:ascii="Verdana" w:eastAsia="Times New Roman" w:hAnsi="Verdana" w:cs="Calibri"/>
                <w:b/>
                <w:bCs/>
                <w:color w:val="000000"/>
                <w:sz w:val="22"/>
                <w:szCs w:val="22"/>
              </w:rPr>
              <w:t>Weeks</w:t>
            </w:r>
          </w:p>
        </w:tc>
      </w:tr>
      <w:tr w:rsidR="006158E0" w:rsidRPr="006158E0" w:rsidTr="00FC781E">
        <w:trPr>
          <w:trHeight w:val="290"/>
        </w:trPr>
        <w:tc>
          <w:tcPr>
            <w:tcW w:w="1535" w:type="dxa"/>
            <w:tcBorders>
              <w:top w:val="nil"/>
              <w:left w:val="single" w:sz="8" w:space="0" w:color="auto"/>
              <w:bottom w:val="single" w:sz="4" w:space="0" w:color="auto"/>
              <w:right w:val="single" w:sz="4"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31/03/2019</w:t>
            </w:r>
          </w:p>
        </w:tc>
        <w:tc>
          <w:tcPr>
            <w:tcW w:w="2391" w:type="dxa"/>
            <w:tcBorders>
              <w:top w:val="nil"/>
              <w:left w:val="nil"/>
              <w:bottom w:val="single" w:sz="4" w:space="0" w:color="auto"/>
              <w:right w:val="nil"/>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120</w:t>
            </w:r>
          </w:p>
        </w:tc>
        <w:tc>
          <w:tcPr>
            <w:tcW w:w="856" w:type="dxa"/>
            <w:tcBorders>
              <w:top w:val="nil"/>
              <w:left w:val="single" w:sz="8" w:space="0" w:color="auto"/>
              <w:bottom w:val="single" w:sz="4" w:space="0" w:color="auto"/>
              <w:right w:val="single" w:sz="4"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222.4</w:t>
            </w:r>
          </w:p>
        </w:tc>
        <w:tc>
          <w:tcPr>
            <w:tcW w:w="1035" w:type="dxa"/>
            <w:tcBorders>
              <w:top w:val="nil"/>
              <w:left w:val="nil"/>
              <w:bottom w:val="single" w:sz="4" w:space="0" w:color="auto"/>
              <w:right w:val="single" w:sz="8"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31</w:t>
            </w:r>
          </w:p>
        </w:tc>
      </w:tr>
      <w:tr w:rsidR="006158E0" w:rsidRPr="006158E0" w:rsidTr="00FC781E">
        <w:trPr>
          <w:trHeight w:val="290"/>
        </w:trPr>
        <w:tc>
          <w:tcPr>
            <w:tcW w:w="1535" w:type="dxa"/>
            <w:tcBorders>
              <w:top w:val="nil"/>
              <w:left w:val="single" w:sz="8" w:space="0" w:color="auto"/>
              <w:bottom w:val="single" w:sz="4" w:space="0" w:color="auto"/>
              <w:right w:val="single" w:sz="4"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31/03/2020</w:t>
            </w:r>
          </w:p>
        </w:tc>
        <w:tc>
          <w:tcPr>
            <w:tcW w:w="2391" w:type="dxa"/>
            <w:tcBorders>
              <w:top w:val="nil"/>
              <w:left w:val="nil"/>
              <w:bottom w:val="single" w:sz="4" w:space="0" w:color="auto"/>
              <w:right w:val="nil"/>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186</w:t>
            </w:r>
          </w:p>
        </w:tc>
        <w:tc>
          <w:tcPr>
            <w:tcW w:w="856" w:type="dxa"/>
            <w:tcBorders>
              <w:top w:val="nil"/>
              <w:left w:val="single" w:sz="8" w:space="0" w:color="auto"/>
              <w:bottom w:val="single" w:sz="4" w:space="0" w:color="auto"/>
              <w:right w:val="single" w:sz="4"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323</w:t>
            </w:r>
          </w:p>
        </w:tc>
        <w:tc>
          <w:tcPr>
            <w:tcW w:w="1035" w:type="dxa"/>
            <w:tcBorders>
              <w:top w:val="nil"/>
              <w:left w:val="nil"/>
              <w:bottom w:val="single" w:sz="4" w:space="0" w:color="auto"/>
              <w:right w:val="single" w:sz="8"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46</w:t>
            </w:r>
          </w:p>
        </w:tc>
      </w:tr>
      <w:tr w:rsidR="006158E0" w:rsidRPr="006158E0" w:rsidTr="00FC781E">
        <w:trPr>
          <w:trHeight w:val="290"/>
        </w:trPr>
        <w:tc>
          <w:tcPr>
            <w:tcW w:w="1535" w:type="dxa"/>
            <w:tcBorders>
              <w:top w:val="nil"/>
              <w:left w:val="single" w:sz="8" w:space="0" w:color="auto"/>
              <w:bottom w:val="single" w:sz="4" w:space="0" w:color="auto"/>
              <w:right w:val="single" w:sz="4"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31/03/2021</w:t>
            </w:r>
          </w:p>
        </w:tc>
        <w:tc>
          <w:tcPr>
            <w:tcW w:w="2391" w:type="dxa"/>
            <w:tcBorders>
              <w:top w:val="nil"/>
              <w:left w:val="nil"/>
              <w:bottom w:val="single" w:sz="4" w:space="0" w:color="auto"/>
              <w:right w:val="nil"/>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264</w:t>
            </w:r>
          </w:p>
        </w:tc>
        <w:tc>
          <w:tcPr>
            <w:tcW w:w="856" w:type="dxa"/>
            <w:tcBorders>
              <w:top w:val="nil"/>
              <w:left w:val="single" w:sz="8" w:space="0" w:color="auto"/>
              <w:bottom w:val="single" w:sz="4" w:space="0" w:color="auto"/>
              <w:right w:val="single" w:sz="4"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653</w:t>
            </w:r>
          </w:p>
        </w:tc>
        <w:tc>
          <w:tcPr>
            <w:tcW w:w="1035" w:type="dxa"/>
            <w:tcBorders>
              <w:top w:val="nil"/>
              <w:left w:val="nil"/>
              <w:bottom w:val="single" w:sz="4" w:space="0" w:color="auto"/>
              <w:right w:val="single" w:sz="8"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93</w:t>
            </w:r>
          </w:p>
        </w:tc>
      </w:tr>
      <w:tr w:rsidR="006158E0" w:rsidRPr="006158E0" w:rsidTr="00FC781E">
        <w:trPr>
          <w:trHeight w:val="290"/>
        </w:trPr>
        <w:tc>
          <w:tcPr>
            <w:tcW w:w="1535" w:type="dxa"/>
            <w:tcBorders>
              <w:top w:val="nil"/>
              <w:left w:val="single" w:sz="8" w:space="0" w:color="auto"/>
              <w:bottom w:val="single" w:sz="4" w:space="0" w:color="auto"/>
              <w:right w:val="single" w:sz="4"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31/03/2022</w:t>
            </w:r>
          </w:p>
        </w:tc>
        <w:tc>
          <w:tcPr>
            <w:tcW w:w="2391" w:type="dxa"/>
            <w:tcBorders>
              <w:top w:val="nil"/>
              <w:left w:val="nil"/>
              <w:bottom w:val="single" w:sz="4" w:space="0" w:color="auto"/>
              <w:right w:val="nil"/>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404</w:t>
            </w:r>
          </w:p>
        </w:tc>
        <w:tc>
          <w:tcPr>
            <w:tcW w:w="856" w:type="dxa"/>
            <w:tcBorders>
              <w:top w:val="nil"/>
              <w:left w:val="single" w:sz="8" w:space="0" w:color="auto"/>
              <w:bottom w:val="single" w:sz="4" w:space="0" w:color="auto"/>
              <w:right w:val="single" w:sz="4"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869</w:t>
            </w:r>
          </w:p>
        </w:tc>
        <w:tc>
          <w:tcPr>
            <w:tcW w:w="1035" w:type="dxa"/>
            <w:tcBorders>
              <w:top w:val="nil"/>
              <w:left w:val="nil"/>
              <w:bottom w:val="single" w:sz="4" w:space="0" w:color="auto"/>
              <w:right w:val="single" w:sz="8"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124</w:t>
            </w:r>
          </w:p>
        </w:tc>
      </w:tr>
      <w:tr w:rsidR="006158E0" w:rsidRPr="006158E0" w:rsidTr="00FC781E">
        <w:trPr>
          <w:trHeight w:val="300"/>
        </w:trPr>
        <w:tc>
          <w:tcPr>
            <w:tcW w:w="1535" w:type="dxa"/>
            <w:tcBorders>
              <w:top w:val="nil"/>
              <w:left w:val="single" w:sz="8" w:space="0" w:color="auto"/>
              <w:bottom w:val="single" w:sz="8" w:space="0" w:color="auto"/>
              <w:right w:val="single" w:sz="4"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31/03/2023</w:t>
            </w:r>
          </w:p>
        </w:tc>
        <w:tc>
          <w:tcPr>
            <w:tcW w:w="2391" w:type="dxa"/>
            <w:tcBorders>
              <w:top w:val="nil"/>
              <w:left w:val="nil"/>
              <w:bottom w:val="single" w:sz="8" w:space="0" w:color="auto"/>
              <w:right w:val="nil"/>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513</w:t>
            </w:r>
          </w:p>
        </w:tc>
        <w:tc>
          <w:tcPr>
            <w:tcW w:w="856" w:type="dxa"/>
            <w:tcBorders>
              <w:top w:val="nil"/>
              <w:left w:val="single" w:sz="8" w:space="0" w:color="auto"/>
              <w:bottom w:val="single" w:sz="8" w:space="0" w:color="auto"/>
              <w:right w:val="single" w:sz="4"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988.6</w:t>
            </w:r>
          </w:p>
        </w:tc>
        <w:tc>
          <w:tcPr>
            <w:tcW w:w="1035" w:type="dxa"/>
            <w:tcBorders>
              <w:top w:val="nil"/>
              <w:left w:val="nil"/>
              <w:bottom w:val="single" w:sz="8" w:space="0" w:color="auto"/>
              <w:right w:val="single" w:sz="8" w:space="0" w:color="auto"/>
            </w:tcBorders>
            <w:shd w:val="clear" w:color="auto" w:fill="auto"/>
            <w:noWrap/>
            <w:vAlign w:val="bottom"/>
            <w:hideMark/>
          </w:tcPr>
          <w:p w:rsidR="006158E0" w:rsidRPr="006158E0" w:rsidRDefault="006158E0" w:rsidP="006158E0">
            <w:pPr>
              <w:spacing w:before="0" w:after="0" w:line="240" w:lineRule="auto"/>
              <w:ind w:left="0" w:right="0"/>
              <w:jc w:val="right"/>
              <w:rPr>
                <w:rFonts w:ascii="Verdana" w:eastAsia="Times New Roman" w:hAnsi="Verdana" w:cs="Calibri"/>
                <w:color w:val="000000"/>
                <w:sz w:val="22"/>
                <w:szCs w:val="22"/>
              </w:rPr>
            </w:pPr>
            <w:r w:rsidRPr="006158E0">
              <w:rPr>
                <w:rFonts w:ascii="Verdana" w:eastAsia="Times New Roman" w:hAnsi="Verdana" w:cs="Calibri"/>
                <w:color w:val="000000"/>
                <w:sz w:val="22"/>
                <w:szCs w:val="22"/>
              </w:rPr>
              <w:t>141</w:t>
            </w:r>
          </w:p>
        </w:tc>
      </w:tr>
    </w:tbl>
    <w:p w:rsidR="00421E7F" w:rsidRPr="00A10460" w:rsidRDefault="00421E7F" w:rsidP="00FC781E">
      <w:pPr>
        <w:ind w:left="0"/>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BC73FB">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2EC3349"/>
    <w:multiLevelType w:val="hybridMultilevel"/>
    <w:tmpl w:val="6C4C03FA"/>
    <w:lvl w:ilvl="0" w:tplc="FC1A2818">
      <w:numFmt w:val="bullet"/>
      <w:lvlText w:val="-"/>
      <w:lvlJc w:val="left"/>
      <w:pPr>
        <w:ind w:left="720" w:hanging="360"/>
      </w:pPr>
      <w:rPr>
        <w:rFonts w:ascii="Segoe UI" w:eastAsia="Calibri" w:hAnsi="Segoe UI" w:cs="Segoe U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5"/>
  </w:num>
  <w:num w:numId="5">
    <w:abstractNumId w:val="3"/>
  </w:num>
  <w:num w:numId="6">
    <w:abstractNumId w:val="2"/>
  </w:num>
  <w:num w:numId="7">
    <w:abstractNumId w:val="9"/>
  </w:num>
  <w:num w:numId="8">
    <w:abstractNumId w:val="13"/>
  </w:num>
  <w:num w:numId="9">
    <w:abstractNumId w:val="17"/>
  </w:num>
  <w:num w:numId="10">
    <w:abstractNumId w:val="1"/>
  </w:num>
  <w:num w:numId="11">
    <w:abstractNumId w:val="8"/>
  </w:num>
  <w:num w:numId="12">
    <w:abstractNumId w:val="11"/>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158E0"/>
    <w:rsid w:val="00635BDA"/>
    <w:rsid w:val="00646485"/>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8370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BC73FB"/>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C78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8E24F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67128330">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0808604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21407964">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92A7BC-8EEC-437D-A76D-7A8EE54B4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71</TotalTime>
  <Pages>2</Pages>
  <Words>287</Words>
  <Characters>1481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15</cp:revision>
  <cp:lastPrinted>2019-03-26T11:11:00Z</cp:lastPrinted>
  <dcterms:created xsi:type="dcterms:W3CDTF">2021-09-13T07:38:00Z</dcterms:created>
  <dcterms:modified xsi:type="dcterms:W3CDTF">2023-10-25T08:59:00Z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11fba84135299a1c1a33db9379f6469c79b40ebf8d2dc209a77f63dc8bcea0a8</vt:lpwstr>
  </property>
</Properties>
</file>