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182DD4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20396">
                              <w:rPr>
                                <w:rFonts w:ascii="Verdana" w:hAnsi="Verdana"/>
                                <w:b/>
                                <w:sz w:val="22"/>
                                <w:szCs w:val="22"/>
                              </w:rPr>
                              <w:t>24-L-002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182DD4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20396">
                        <w:rPr>
                          <w:rFonts w:ascii="Verdana" w:hAnsi="Verdana"/>
                          <w:b/>
                          <w:sz w:val="22"/>
                          <w:szCs w:val="22"/>
                        </w:rPr>
                        <w:t>24-L-002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37F5902" w14:textId="77777777" w:rsidR="00E20396" w:rsidRDefault="00E20396" w:rsidP="00DC0D5A">
      <w:pPr>
        <w:spacing w:before="280"/>
        <w:rPr>
          <w:rFonts w:ascii="Verdana" w:hAnsi="Verdana"/>
          <w:b/>
          <w:sz w:val="22"/>
        </w:rPr>
      </w:pPr>
    </w:p>
    <w:p w14:paraId="635CAE49" w14:textId="171D6B64" w:rsidR="00DC0D5A" w:rsidRDefault="00B2639E" w:rsidP="00B2639E">
      <w:pPr>
        <w:spacing w:before="280"/>
        <w:rPr>
          <w:rFonts w:ascii="Verdana" w:hAnsi="Verdana"/>
          <w:b/>
          <w:sz w:val="22"/>
        </w:rPr>
      </w:pPr>
      <w:r>
        <w:rPr>
          <w:rFonts w:ascii="Verdana" w:hAnsi="Verdana"/>
          <w:b/>
          <w:sz w:val="22"/>
        </w:rPr>
        <w:br/>
      </w:r>
      <w:r w:rsidR="00A10460" w:rsidRPr="00A10460">
        <w:rPr>
          <w:rFonts w:ascii="Verdana" w:hAnsi="Verdana"/>
          <w:b/>
          <w:sz w:val="22"/>
        </w:rPr>
        <w:t>You asked:</w:t>
      </w:r>
    </w:p>
    <w:p w14:paraId="6BA40951" w14:textId="77777777" w:rsidR="00E20396" w:rsidRPr="00E20396" w:rsidRDefault="00E20396" w:rsidP="00E20396">
      <w:pPr>
        <w:rPr>
          <w:rFonts w:ascii="Verdana" w:hAnsi="Verdana"/>
          <w:b/>
          <w:bCs/>
          <w:sz w:val="22"/>
          <w:szCs w:val="22"/>
        </w:rPr>
      </w:pPr>
      <w:r w:rsidRPr="00E20396">
        <w:rPr>
          <w:rFonts w:ascii="Verdana" w:hAnsi="Verdana"/>
          <w:b/>
          <w:bCs/>
          <w:sz w:val="22"/>
          <w:szCs w:val="22"/>
        </w:rPr>
        <w:t>I am writing to request data on the total number of patients who have waited 48-hours and the total number of patients who waited 24-hours or more from arrival to treatment start time in your Emergency Departments in September 2024 until the most recent date that you hold the data for.</w:t>
      </w:r>
    </w:p>
    <w:p w14:paraId="58B2F4E3" w14:textId="2744CF31" w:rsidR="00286642" w:rsidRPr="00B2639E" w:rsidRDefault="00286642" w:rsidP="00B2639E">
      <w:pPr>
        <w:spacing w:before="280"/>
        <w:rPr>
          <w:rFonts w:ascii="Verdana" w:hAnsi="Verdana"/>
          <w:bCs/>
          <w:sz w:val="22"/>
        </w:rPr>
      </w:pPr>
      <w:r>
        <w:rPr>
          <w:rFonts w:ascii="Verdana" w:hAnsi="Verdana"/>
          <w:b/>
          <w:sz w:val="22"/>
        </w:rPr>
        <w:t>Our Response:</w:t>
      </w:r>
      <w:r w:rsidR="00B2639E">
        <w:rPr>
          <w:rFonts w:ascii="Verdana" w:hAnsi="Verdana"/>
          <w:b/>
          <w:sz w:val="22"/>
        </w:rPr>
        <w:br/>
      </w:r>
      <w:r w:rsidR="00B2639E">
        <w:rPr>
          <w:rFonts w:ascii="Verdana" w:hAnsi="Verdana"/>
          <w:b/>
          <w:sz w:val="22"/>
        </w:rPr>
        <w:br/>
      </w:r>
      <w:r w:rsidR="00B2639E" w:rsidRPr="00B2639E">
        <w:rPr>
          <w:rFonts w:ascii="Verdana" w:hAnsi="Verdana"/>
          <w:bCs/>
          <w:sz w:val="22"/>
        </w:rPr>
        <w:t>Although staff work hard to see patients as quickly as possible, Morriston Hospital Emergency Department can be exceptionally busy at times. We do ask the public not to attend unless absolutely unavoidable.</w:t>
      </w:r>
      <w:r w:rsidR="00B2639E">
        <w:rPr>
          <w:rFonts w:ascii="Verdana" w:hAnsi="Verdana"/>
          <w:bCs/>
          <w:sz w:val="22"/>
        </w:rPr>
        <w:br/>
      </w:r>
      <w:r w:rsidR="00B2639E" w:rsidRPr="00B2639E">
        <w:rPr>
          <w:rFonts w:ascii="Verdana" w:hAnsi="Verdana"/>
          <w:bCs/>
          <w:sz w:val="22"/>
        </w:rPr>
        <w:t>Alternatives include the Minor Injury Unit at Neath Port Talbot Hospital, which can treat adults and children over one with minor injuries to the body such as cuts, burns, sprains, strains, dislocations, and broken bones.</w:t>
      </w:r>
      <w:r w:rsidR="00B2639E">
        <w:rPr>
          <w:rFonts w:ascii="Verdana" w:hAnsi="Verdana"/>
          <w:bCs/>
          <w:sz w:val="22"/>
        </w:rPr>
        <w:br/>
      </w:r>
      <w:r w:rsidR="00B2639E" w:rsidRPr="00B2639E">
        <w:rPr>
          <w:rFonts w:ascii="Verdana" w:hAnsi="Verdana"/>
          <w:bCs/>
          <w:sz w:val="22"/>
        </w:rPr>
        <w:t>However, it cannot deal with illnesses, suspected heart attacks, chest pain or stroke.</w:t>
      </w:r>
      <w:r w:rsidR="00B2639E">
        <w:rPr>
          <w:rFonts w:ascii="Verdana" w:hAnsi="Verdana"/>
          <w:bCs/>
          <w:sz w:val="22"/>
        </w:rPr>
        <w:br/>
      </w:r>
      <w:r w:rsidR="00B2639E" w:rsidRPr="00B2639E">
        <w:rPr>
          <w:rFonts w:ascii="Verdana" w:hAnsi="Verdana"/>
          <w:bCs/>
          <w:sz w:val="22"/>
        </w:rPr>
        <w:t>Local pharmacies are also a good source of advice and medication, while the NHS 111 Wales website provides advice on symptoms and next steps.</w:t>
      </w:r>
    </w:p>
    <w:p w14:paraId="56594E2F" w14:textId="0BA39950" w:rsidR="00E20396" w:rsidRPr="00E20396" w:rsidRDefault="00E20396" w:rsidP="00DC0D5A">
      <w:pPr>
        <w:spacing w:before="280"/>
        <w:rPr>
          <w:rFonts w:ascii="Verdana" w:hAnsi="Verdana"/>
          <w:bCs/>
          <w:sz w:val="22"/>
          <w:szCs w:val="22"/>
        </w:rPr>
      </w:pPr>
      <w:r w:rsidRPr="00E20396">
        <w:rPr>
          <w:rFonts w:ascii="Verdana" w:hAnsi="Verdana"/>
          <w:bCs/>
          <w:sz w:val="22"/>
          <w:szCs w:val="22"/>
        </w:rPr>
        <w:t>Please see below the number of attendances at Morriston Emergency Department between 1</w:t>
      </w:r>
      <w:r w:rsidRPr="00E20396">
        <w:rPr>
          <w:rFonts w:ascii="Verdana" w:hAnsi="Verdana"/>
          <w:bCs/>
          <w:sz w:val="22"/>
          <w:szCs w:val="22"/>
          <w:vertAlign w:val="superscript"/>
        </w:rPr>
        <w:t>st</w:t>
      </w:r>
      <w:r w:rsidRPr="00E20396">
        <w:rPr>
          <w:rFonts w:ascii="Verdana" w:hAnsi="Verdana"/>
          <w:bCs/>
          <w:sz w:val="22"/>
          <w:szCs w:val="22"/>
        </w:rPr>
        <w:t xml:space="preserve"> September 2024 and 30</w:t>
      </w:r>
      <w:r w:rsidRPr="00E20396">
        <w:rPr>
          <w:rFonts w:ascii="Verdana" w:hAnsi="Verdana"/>
          <w:bCs/>
          <w:sz w:val="22"/>
          <w:szCs w:val="22"/>
          <w:vertAlign w:val="superscript"/>
        </w:rPr>
        <w:t>th</w:t>
      </w:r>
      <w:r w:rsidRPr="00E20396">
        <w:rPr>
          <w:rFonts w:ascii="Verdana" w:hAnsi="Verdana"/>
          <w:bCs/>
          <w:sz w:val="22"/>
          <w:szCs w:val="22"/>
        </w:rPr>
        <w:t xml:space="preserve"> November 2024 inclusive. </w:t>
      </w:r>
    </w:p>
    <w:tbl>
      <w:tblPr>
        <w:tblW w:w="2923" w:type="dxa"/>
        <w:tblInd w:w="3295" w:type="dxa"/>
        <w:tblLook w:val="04A0" w:firstRow="1" w:lastRow="0" w:firstColumn="1" w:lastColumn="0" w:noHBand="0" w:noVBand="1"/>
      </w:tblPr>
      <w:tblGrid>
        <w:gridCol w:w="2240"/>
        <w:gridCol w:w="842"/>
      </w:tblGrid>
      <w:tr w:rsidR="00E20396" w:rsidRPr="00E20396" w14:paraId="1D0C1AA7" w14:textId="77777777" w:rsidTr="00E20396">
        <w:trPr>
          <w:trHeight w:val="290"/>
        </w:trPr>
        <w:tc>
          <w:tcPr>
            <w:tcW w:w="2240" w:type="dxa"/>
            <w:tcBorders>
              <w:top w:val="single" w:sz="4" w:space="0" w:color="4F81BD"/>
              <w:left w:val="single" w:sz="4" w:space="0" w:color="4F81BD"/>
              <w:bottom w:val="single" w:sz="4" w:space="0" w:color="4F81BD"/>
              <w:right w:val="single" w:sz="4" w:space="0" w:color="4F81BD"/>
            </w:tcBorders>
            <w:shd w:val="clear" w:color="DCE6F1" w:fill="DCE6F1"/>
            <w:noWrap/>
            <w:vAlign w:val="bottom"/>
            <w:hideMark/>
          </w:tcPr>
          <w:p w14:paraId="0F39CF20" w14:textId="77777777" w:rsidR="00E20396" w:rsidRPr="00E20396" w:rsidRDefault="00E20396" w:rsidP="00E20396">
            <w:pPr>
              <w:spacing w:before="0" w:after="0" w:line="240" w:lineRule="auto"/>
              <w:ind w:left="0" w:right="0"/>
              <w:rPr>
                <w:rFonts w:ascii="Verdana" w:eastAsia="Times New Roman" w:hAnsi="Verdana" w:cs="Calibri"/>
                <w:b/>
                <w:bCs/>
                <w:color w:val="000000"/>
                <w:sz w:val="22"/>
                <w:szCs w:val="22"/>
              </w:rPr>
            </w:pPr>
            <w:r w:rsidRPr="00E20396">
              <w:rPr>
                <w:rFonts w:ascii="Verdana" w:eastAsia="Times New Roman" w:hAnsi="Verdana" w:cs="Calibri"/>
                <w:b/>
                <w:bCs/>
                <w:color w:val="000000"/>
                <w:sz w:val="22"/>
                <w:szCs w:val="22"/>
              </w:rPr>
              <w:t xml:space="preserve">Wait </w:t>
            </w:r>
          </w:p>
        </w:tc>
        <w:tc>
          <w:tcPr>
            <w:tcW w:w="683" w:type="dxa"/>
            <w:tcBorders>
              <w:top w:val="single" w:sz="4" w:space="0" w:color="4F81BD"/>
              <w:left w:val="nil"/>
              <w:bottom w:val="single" w:sz="4" w:space="0" w:color="4F81BD"/>
              <w:right w:val="single" w:sz="4" w:space="0" w:color="4F81BD"/>
            </w:tcBorders>
            <w:shd w:val="clear" w:color="DCE6F1" w:fill="DCE6F1"/>
            <w:noWrap/>
            <w:vAlign w:val="bottom"/>
            <w:hideMark/>
          </w:tcPr>
          <w:p w14:paraId="37CBB5D9" w14:textId="77777777" w:rsidR="00E20396" w:rsidRPr="00E20396" w:rsidRDefault="00E20396" w:rsidP="00E20396">
            <w:pPr>
              <w:spacing w:before="0" w:after="0" w:line="240" w:lineRule="auto"/>
              <w:ind w:left="0" w:right="0"/>
              <w:jc w:val="center"/>
              <w:rPr>
                <w:rFonts w:ascii="Verdana" w:eastAsia="Times New Roman" w:hAnsi="Verdana" w:cs="Calibri"/>
                <w:b/>
                <w:bCs/>
                <w:color w:val="000000"/>
                <w:sz w:val="22"/>
                <w:szCs w:val="22"/>
              </w:rPr>
            </w:pPr>
            <w:r w:rsidRPr="00E20396">
              <w:rPr>
                <w:rFonts w:ascii="Verdana" w:eastAsia="Times New Roman" w:hAnsi="Verdana" w:cs="Calibri"/>
                <w:b/>
                <w:bCs/>
                <w:color w:val="000000"/>
                <w:sz w:val="22"/>
                <w:szCs w:val="22"/>
              </w:rPr>
              <w:t>Total</w:t>
            </w:r>
          </w:p>
        </w:tc>
      </w:tr>
      <w:tr w:rsidR="00E20396" w:rsidRPr="00E20396" w14:paraId="2DF33C87" w14:textId="77777777" w:rsidTr="00E20396">
        <w:trPr>
          <w:trHeight w:val="290"/>
        </w:trPr>
        <w:tc>
          <w:tcPr>
            <w:tcW w:w="2240" w:type="dxa"/>
            <w:tcBorders>
              <w:top w:val="nil"/>
              <w:left w:val="single" w:sz="4" w:space="0" w:color="4F81BD"/>
              <w:bottom w:val="single" w:sz="4" w:space="0" w:color="A6A6A6"/>
              <w:right w:val="single" w:sz="4" w:space="0" w:color="4F81BD"/>
            </w:tcBorders>
            <w:shd w:val="clear" w:color="000000" w:fill="FFFFFF"/>
            <w:noWrap/>
            <w:vAlign w:val="bottom"/>
            <w:hideMark/>
          </w:tcPr>
          <w:p w14:paraId="746743D1" w14:textId="77777777" w:rsidR="00E20396" w:rsidRPr="00E20396" w:rsidRDefault="00E20396" w:rsidP="00E20396">
            <w:pPr>
              <w:spacing w:before="0" w:after="0" w:line="240" w:lineRule="auto"/>
              <w:ind w:left="0" w:right="0"/>
              <w:rPr>
                <w:rFonts w:ascii="Verdana" w:eastAsia="Times New Roman" w:hAnsi="Verdana" w:cs="Calibri"/>
                <w:color w:val="000000"/>
                <w:sz w:val="22"/>
                <w:szCs w:val="22"/>
              </w:rPr>
            </w:pPr>
            <w:r w:rsidRPr="00E20396">
              <w:rPr>
                <w:rFonts w:ascii="Verdana" w:eastAsia="Times New Roman" w:hAnsi="Verdana" w:cs="Calibri"/>
                <w:color w:val="000000"/>
                <w:sz w:val="22"/>
                <w:szCs w:val="22"/>
              </w:rPr>
              <w:t>24 to 47 hour waits</w:t>
            </w:r>
          </w:p>
        </w:tc>
        <w:tc>
          <w:tcPr>
            <w:tcW w:w="683" w:type="dxa"/>
            <w:tcBorders>
              <w:top w:val="nil"/>
              <w:left w:val="nil"/>
              <w:bottom w:val="nil"/>
              <w:right w:val="single" w:sz="4" w:space="0" w:color="4F81BD"/>
            </w:tcBorders>
            <w:shd w:val="clear" w:color="000000" w:fill="FFFFFF"/>
            <w:noWrap/>
            <w:vAlign w:val="bottom"/>
            <w:hideMark/>
          </w:tcPr>
          <w:p w14:paraId="38A1B03F" w14:textId="77777777" w:rsidR="00E20396" w:rsidRPr="00E20396" w:rsidRDefault="00E20396" w:rsidP="00E20396">
            <w:pPr>
              <w:spacing w:before="0" w:after="0" w:line="240" w:lineRule="auto"/>
              <w:ind w:left="0" w:right="0"/>
              <w:jc w:val="right"/>
              <w:rPr>
                <w:rFonts w:ascii="Verdana" w:eastAsia="Times New Roman" w:hAnsi="Verdana" w:cs="Calibri"/>
                <w:color w:val="000000"/>
                <w:sz w:val="22"/>
                <w:szCs w:val="22"/>
              </w:rPr>
            </w:pPr>
            <w:r w:rsidRPr="00E20396">
              <w:rPr>
                <w:rFonts w:ascii="Verdana" w:eastAsia="Times New Roman" w:hAnsi="Verdana" w:cs="Calibri"/>
                <w:color w:val="000000"/>
                <w:sz w:val="22"/>
                <w:szCs w:val="22"/>
              </w:rPr>
              <w:t>776</w:t>
            </w:r>
          </w:p>
        </w:tc>
      </w:tr>
      <w:tr w:rsidR="00E20396" w:rsidRPr="00E20396" w14:paraId="3044361A" w14:textId="77777777" w:rsidTr="00E20396">
        <w:trPr>
          <w:trHeight w:val="290"/>
        </w:trPr>
        <w:tc>
          <w:tcPr>
            <w:tcW w:w="2240" w:type="dxa"/>
            <w:tcBorders>
              <w:top w:val="nil"/>
              <w:left w:val="single" w:sz="4" w:space="0" w:color="4F81BD"/>
              <w:bottom w:val="single" w:sz="4" w:space="0" w:color="4F81BD"/>
              <w:right w:val="single" w:sz="4" w:space="0" w:color="4F81BD"/>
            </w:tcBorders>
            <w:shd w:val="clear" w:color="000000" w:fill="FFFFFF"/>
            <w:noWrap/>
            <w:vAlign w:val="bottom"/>
            <w:hideMark/>
          </w:tcPr>
          <w:p w14:paraId="6765C023" w14:textId="77777777" w:rsidR="00E20396" w:rsidRPr="00E20396" w:rsidRDefault="00E20396" w:rsidP="00E20396">
            <w:pPr>
              <w:spacing w:before="0" w:after="0" w:line="240" w:lineRule="auto"/>
              <w:ind w:left="0" w:right="0"/>
              <w:rPr>
                <w:rFonts w:ascii="Verdana" w:eastAsia="Times New Roman" w:hAnsi="Verdana" w:cs="Calibri"/>
                <w:color w:val="000000"/>
                <w:sz w:val="22"/>
                <w:szCs w:val="22"/>
              </w:rPr>
            </w:pPr>
            <w:r w:rsidRPr="00E20396">
              <w:rPr>
                <w:rFonts w:ascii="Verdana" w:eastAsia="Times New Roman" w:hAnsi="Verdana" w:cs="Calibri"/>
                <w:color w:val="000000"/>
                <w:sz w:val="22"/>
                <w:szCs w:val="22"/>
              </w:rPr>
              <w:t xml:space="preserve">48 </w:t>
            </w:r>
            <w:proofErr w:type="gramStart"/>
            <w:r w:rsidRPr="00E20396">
              <w:rPr>
                <w:rFonts w:ascii="Verdana" w:eastAsia="Times New Roman" w:hAnsi="Verdana" w:cs="Calibri"/>
                <w:color w:val="000000"/>
                <w:sz w:val="22"/>
                <w:szCs w:val="22"/>
              </w:rPr>
              <w:t>hour</w:t>
            </w:r>
            <w:proofErr w:type="gramEnd"/>
            <w:r w:rsidRPr="00E20396">
              <w:rPr>
                <w:rFonts w:ascii="Verdana" w:eastAsia="Times New Roman" w:hAnsi="Verdana" w:cs="Calibri"/>
                <w:color w:val="000000"/>
                <w:sz w:val="22"/>
                <w:szCs w:val="22"/>
              </w:rPr>
              <w:t xml:space="preserve"> + waits</w:t>
            </w:r>
          </w:p>
        </w:tc>
        <w:tc>
          <w:tcPr>
            <w:tcW w:w="683" w:type="dxa"/>
            <w:tcBorders>
              <w:top w:val="nil"/>
              <w:left w:val="nil"/>
              <w:bottom w:val="single" w:sz="4" w:space="0" w:color="4F81BD"/>
              <w:right w:val="single" w:sz="4" w:space="0" w:color="4F81BD"/>
            </w:tcBorders>
            <w:shd w:val="clear" w:color="000000" w:fill="FFFFFF"/>
            <w:noWrap/>
            <w:vAlign w:val="bottom"/>
            <w:hideMark/>
          </w:tcPr>
          <w:p w14:paraId="4588E84A" w14:textId="77777777" w:rsidR="00E20396" w:rsidRPr="00E20396" w:rsidRDefault="00E20396" w:rsidP="00E20396">
            <w:pPr>
              <w:spacing w:before="0" w:after="0" w:line="240" w:lineRule="auto"/>
              <w:ind w:left="0" w:right="0"/>
              <w:jc w:val="right"/>
              <w:rPr>
                <w:rFonts w:ascii="Verdana" w:eastAsia="Times New Roman" w:hAnsi="Verdana" w:cs="Calibri"/>
                <w:color w:val="000000"/>
                <w:sz w:val="22"/>
                <w:szCs w:val="22"/>
              </w:rPr>
            </w:pPr>
            <w:r w:rsidRPr="00E20396">
              <w:rPr>
                <w:rFonts w:ascii="Verdana" w:eastAsia="Times New Roman" w:hAnsi="Verdana" w:cs="Calibri"/>
                <w:color w:val="000000"/>
                <w:sz w:val="22"/>
                <w:szCs w:val="22"/>
              </w:rPr>
              <w:t>719</w:t>
            </w:r>
          </w:p>
        </w:tc>
      </w:tr>
      <w:tr w:rsidR="00E20396" w:rsidRPr="00E20396" w14:paraId="0CDEE81F" w14:textId="77777777" w:rsidTr="00E20396">
        <w:trPr>
          <w:trHeight w:val="290"/>
        </w:trPr>
        <w:tc>
          <w:tcPr>
            <w:tcW w:w="2240" w:type="dxa"/>
            <w:tcBorders>
              <w:top w:val="nil"/>
              <w:left w:val="single" w:sz="4" w:space="0" w:color="4F81BD"/>
              <w:bottom w:val="single" w:sz="4" w:space="0" w:color="4F81BD"/>
              <w:right w:val="single" w:sz="4" w:space="0" w:color="4F81BD"/>
            </w:tcBorders>
            <w:shd w:val="clear" w:color="DCE6F1" w:fill="DCE6F1"/>
            <w:noWrap/>
            <w:vAlign w:val="bottom"/>
            <w:hideMark/>
          </w:tcPr>
          <w:p w14:paraId="43DC4768" w14:textId="77777777" w:rsidR="00E20396" w:rsidRPr="00E20396" w:rsidRDefault="00E20396" w:rsidP="00E20396">
            <w:pPr>
              <w:spacing w:before="0" w:after="0" w:line="240" w:lineRule="auto"/>
              <w:ind w:left="0" w:right="0"/>
              <w:rPr>
                <w:rFonts w:ascii="Verdana" w:eastAsia="Times New Roman" w:hAnsi="Verdana" w:cs="Calibri"/>
                <w:b/>
                <w:bCs/>
                <w:color w:val="000000"/>
                <w:sz w:val="22"/>
                <w:szCs w:val="22"/>
              </w:rPr>
            </w:pPr>
            <w:r w:rsidRPr="00E20396">
              <w:rPr>
                <w:rFonts w:ascii="Verdana" w:eastAsia="Times New Roman" w:hAnsi="Verdana" w:cs="Calibri"/>
                <w:b/>
                <w:bCs/>
                <w:color w:val="000000"/>
                <w:sz w:val="22"/>
                <w:szCs w:val="22"/>
              </w:rPr>
              <w:t>Total</w:t>
            </w:r>
          </w:p>
        </w:tc>
        <w:tc>
          <w:tcPr>
            <w:tcW w:w="683" w:type="dxa"/>
            <w:tcBorders>
              <w:top w:val="nil"/>
              <w:left w:val="nil"/>
              <w:bottom w:val="single" w:sz="4" w:space="0" w:color="4F81BD"/>
              <w:right w:val="single" w:sz="4" w:space="0" w:color="4F81BD"/>
            </w:tcBorders>
            <w:shd w:val="clear" w:color="DCE6F1" w:fill="DCE6F1"/>
            <w:noWrap/>
            <w:vAlign w:val="bottom"/>
            <w:hideMark/>
          </w:tcPr>
          <w:p w14:paraId="74AC30F4" w14:textId="77777777" w:rsidR="00E20396" w:rsidRPr="00E20396" w:rsidRDefault="00E20396" w:rsidP="00E20396">
            <w:pPr>
              <w:spacing w:before="0" w:after="0" w:line="240" w:lineRule="auto"/>
              <w:ind w:left="0" w:right="0"/>
              <w:jc w:val="center"/>
              <w:rPr>
                <w:rFonts w:ascii="Verdana" w:eastAsia="Times New Roman" w:hAnsi="Verdana" w:cs="Calibri"/>
                <w:b/>
                <w:bCs/>
                <w:color w:val="000000"/>
                <w:sz w:val="22"/>
                <w:szCs w:val="22"/>
              </w:rPr>
            </w:pPr>
            <w:r w:rsidRPr="00E20396">
              <w:rPr>
                <w:rFonts w:ascii="Verdana" w:eastAsia="Times New Roman" w:hAnsi="Verdana" w:cs="Calibri"/>
                <w:b/>
                <w:bCs/>
                <w:color w:val="000000"/>
                <w:sz w:val="22"/>
                <w:szCs w:val="22"/>
              </w:rPr>
              <w:t>1495</w:t>
            </w:r>
          </w:p>
        </w:tc>
      </w:tr>
    </w:tbl>
    <w:p w14:paraId="00A62D4C" w14:textId="77777777" w:rsidR="000A33C4" w:rsidRPr="000A33C4" w:rsidRDefault="00E20396" w:rsidP="000A33C4">
      <w:pPr>
        <w:rPr>
          <w:rFonts w:ascii="Verdana" w:hAnsi="Verdana"/>
          <w:noProof/>
          <w:sz w:val="22"/>
          <w:szCs w:val="22"/>
        </w:rPr>
      </w:pPr>
      <w:r w:rsidRPr="00E20396">
        <w:rPr>
          <w:rFonts w:ascii="Verdana" w:hAnsi="Verdana"/>
          <w:noProof/>
          <w:sz w:val="22"/>
          <w:szCs w:val="22"/>
        </w:rPr>
        <w:t xml:space="preserve">Please note this information is for Morriston Emergency Department only. Neath Port Talbot MIU is not included as this is a minor injury unit. </w:t>
      </w:r>
      <w:r w:rsidR="000A33C4">
        <w:rPr>
          <w:rFonts w:ascii="Verdana" w:hAnsi="Verdana"/>
          <w:noProof/>
          <w:sz w:val="22"/>
          <w:szCs w:val="22"/>
        </w:rPr>
        <w:br/>
      </w:r>
      <w:r w:rsidR="000A33C4">
        <w:rPr>
          <w:rFonts w:ascii="Verdana" w:hAnsi="Verdana"/>
          <w:noProof/>
          <w:sz w:val="22"/>
          <w:szCs w:val="22"/>
        </w:rPr>
        <w:br/>
      </w:r>
      <w:r w:rsidR="000A33C4" w:rsidRPr="000A33C4">
        <w:rPr>
          <w:rFonts w:ascii="Verdana" w:hAnsi="Verdana"/>
          <w:noProof/>
          <w:sz w:val="22"/>
          <w:szCs w:val="22"/>
        </w:rPr>
        <w:t>The pressures on the Emergency Department are not unique to Morriston Hospital or Wales, for that matter. However, this is not the service we want to be delivering. Significant work is ongoing to maximise admission avoidance support through our services in the community, to see and treat patients in the correct place if they are admitted and then to discharge them home as soon as appropriate, again with the support of community services and our partner organisations, the local authorities and the third sector.</w:t>
      </w:r>
    </w:p>
    <w:p w14:paraId="02247988" w14:textId="77777777" w:rsidR="000A33C4" w:rsidRPr="000A33C4" w:rsidRDefault="000A33C4" w:rsidP="000A33C4">
      <w:pPr>
        <w:rPr>
          <w:rFonts w:ascii="Verdana" w:hAnsi="Verdana"/>
          <w:noProof/>
          <w:sz w:val="22"/>
          <w:szCs w:val="22"/>
        </w:rPr>
      </w:pPr>
      <w:r w:rsidRPr="000A33C4">
        <w:rPr>
          <w:rFonts w:ascii="Verdana" w:hAnsi="Verdana"/>
          <w:noProof/>
          <w:sz w:val="22"/>
          <w:szCs w:val="22"/>
        </w:rPr>
        <w:t xml:space="preserve">We have already made significant changes to the delivery of our urgent and emergency care services within Morriston Hospital, such as the opening of an Older </w:t>
      </w:r>
      <w:r w:rsidRPr="000A33C4">
        <w:rPr>
          <w:rFonts w:ascii="Verdana" w:hAnsi="Verdana"/>
          <w:noProof/>
          <w:sz w:val="22"/>
          <w:szCs w:val="22"/>
        </w:rPr>
        <w:lastRenderedPageBreak/>
        <w:t>Persons Assessment Unit and Acute Medical Unit, with a significant focus on improving patient flow in order to ease pressure on our ED.</w:t>
      </w:r>
    </w:p>
    <w:p w14:paraId="75970B72" w14:textId="4C56FD5F" w:rsidR="00A10460" w:rsidRPr="00E20396" w:rsidRDefault="000A33C4" w:rsidP="000A33C4">
      <w:pPr>
        <w:rPr>
          <w:rFonts w:ascii="Verdana" w:hAnsi="Verdana"/>
          <w:b/>
          <w:bCs/>
          <w:noProof/>
          <w:sz w:val="22"/>
          <w:szCs w:val="22"/>
        </w:rPr>
      </w:pPr>
      <w:r w:rsidRPr="000A33C4">
        <w:rPr>
          <w:rFonts w:ascii="Verdana" w:hAnsi="Verdana"/>
          <w:noProof/>
          <w:sz w:val="22"/>
          <w:szCs w:val="22"/>
        </w:rPr>
        <w:t>However, we continue to face significant challenges with extremely high demand.</w:t>
      </w:r>
      <w:r w:rsidR="00421E7F" w:rsidRPr="00E20396">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33C4"/>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2639E"/>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0396"/>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54223049">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29765216">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00446824">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79</TotalTime>
  <Pages>2</Pages>
  <Words>344</Words>
  <Characters>1965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2025-01-03T13:05:00Z</dcterms:modified>
</cp:coreProperties>
</file>