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310D9" w:rsidRPr="001310D9">
                              <w:rPr>
                                <w:rFonts w:ascii="Verdana" w:hAnsi="Verdana"/>
                                <w:b/>
                                <w:sz w:val="22"/>
                                <w:szCs w:val="22"/>
                              </w:rPr>
                              <w:t>24-A-047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310D9" w:rsidRPr="001310D9">
                        <w:rPr>
                          <w:rFonts w:ascii="Verdana" w:hAnsi="Verdana"/>
                          <w:b/>
                          <w:sz w:val="22"/>
                          <w:szCs w:val="22"/>
                        </w:rPr>
                        <w:t>24-A-047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1310D9" w:rsidRPr="001310D9" w:rsidRDefault="001310D9" w:rsidP="001310D9">
      <w:pPr>
        <w:pStyle w:val="PlainText"/>
        <w:ind w:left="505"/>
        <w:rPr>
          <w:rFonts w:ascii="Verdana" w:hAnsi="Verdana"/>
          <w:b/>
        </w:rPr>
      </w:pPr>
      <w:r w:rsidRPr="001310D9">
        <w:rPr>
          <w:rFonts w:ascii="Verdana" w:hAnsi="Verdana"/>
          <w:b/>
        </w:rPr>
        <w:t>Please provide your total spend on communications and public relations for the last three financial year's (20/21,21/22,22/23). For each year I would like a breakdown containing the following information:</w:t>
      </w:r>
    </w:p>
    <w:p w:rsidR="001310D9" w:rsidRPr="001310D9" w:rsidRDefault="001310D9" w:rsidP="001310D9">
      <w:pPr>
        <w:pStyle w:val="PlainText"/>
        <w:rPr>
          <w:rFonts w:ascii="Verdana" w:hAnsi="Verdana"/>
          <w:b/>
        </w:rPr>
      </w:pPr>
    </w:p>
    <w:p w:rsidR="001310D9" w:rsidRPr="001310D9" w:rsidRDefault="001310D9" w:rsidP="001310D9">
      <w:pPr>
        <w:pStyle w:val="PlainText"/>
        <w:ind w:firstLine="505"/>
        <w:rPr>
          <w:rFonts w:ascii="Verdana" w:hAnsi="Verdana"/>
          <w:b/>
        </w:rPr>
      </w:pPr>
      <w:r w:rsidRPr="001310D9">
        <w:rPr>
          <w:rFonts w:ascii="Verdana" w:hAnsi="Verdana"/>
          <w:b/>
        </w:rPr>
        <w:t>•       Spend on communications and public relations activities.</w:t>
      </w:r>
    </w:p>
    <w:p w:rsidR="001310D9" w:rsidRPr="001310D9" w:rsidRDefault="001310D9" w:rsidP="001310D9">
      <w:pPr>
        <w:pStyle w:val="PlainText"/>
        <w:ind w:firstLine="505"/>
        <w:rPr>
          <w:rFonts w:ascii="Verdana" w:hAnsi="Verdana"/>
          <w:b/>
        </w:rPr>
      </w:pPr>
      <w:r w:rsidRPr="001310D9">
        <w:rPr>
          <w:rFonts w:ascii="Verdana" w:hAnsi="Verdana"/>
          <w:b/>
        </w:rPr>
        <w:t>•       Total number of communications and public relations employees.</w:t>
      </w:r>
    </w:p>
    <w:p w:rsidR="001310D9" w:rsidRPr="001310D9" w:rsidRDefault="001310D9" w:rsidP="001310D9">
      <w:pPr>
        <w:pStyle w:val="PlainText"/>
        <w:ind w:firstLine="505"/>
        <w:rPr>
          <w:rFonts w:ascii="Verdana" w:hAnsi="Verdana"/>
          <w:b/>
        </w:rPr>
      </w:pPr>
      <w:r w:rsidRPr="001310D9">
        <w:rPr>
          <w:rFonts w:ascii="Verdana" w:hAnsi="Verdana"/>
          <w:b/>
        </w:rPr>
        <w:t>•       Total salary cost for all communications and public relations employees.</w:t>
      </w:r>
    </w:p>
    <w:p w:rsidR="001310D9" w:rsidRDefault="001310D9" w:rsidP="00421E7F">
      <w:pPr>
        <w:rPr>
          <w:rFonts w:ascii="Verdana" w:hAnsi="Verdana"/>
          <w:b/>
          <w:bCs/>
          <w:noProof/>
          <w:sz w:val="22"/>
          <w:szCs w:val="22"/>
        </w:rPr>
      </w:pPr>
    </w:p>
    <w:p w:rsidR="001310D9" w:rsidRDefault="00A10460" w:rsidP="00421E7F">
      <w:pPr>
        <w:rPr>
          <w:rFonts w:ascii="Verdana" w:hAnsi="Verdana"/>
          <w:b/>
          <w:bCs/>
          <w:noProof/>
          <w:sz w:val="22"/>
          <w:szCs w:val="22"/>
        </w:rPr>
      </w:pPr>
      <w:r w:rsidRPr="00A10460">
        <w:rPr>
          <w:rFonts w:ascii="Verdana" w:hAnsi="Verdana"/>
          <w:b/>
          <w:bCs/>
          <w:noProof/>
          <w:sz w:val="22"/>
          <w:szCs w:val="22"/>
        </w:rPr>
        <w:t>Our response:</w:t>
      </w:r>
    </w:p>
    <w:p w:rsidR="001310D9" w:rsidRPr="001310D9" w:rsidRDefault="001310D9" w:rsidP="001310D9">
      <w:pPr>
        <w:rPr>
          <w:rFonts w:ascii="Verdana" w:hAnsi="Verdana"/>
          <w:sz w:val="22"/>
          <w:szCs w:val="22"/>
        </w:rPr>
      </w:pPr>
      <w:r w:rsidRPr="001310D9">
        <w:rPr>
          <w:rFonts w:ascii="Verdana" w:hAnsi="Verdana"/>
          <w:sz w:val="22"/>
          <w:szCs w:val="22"/>
        </w:rPr>
        <w:t>Swansea Bay University Health Board is a large and complex organisation serving around 400,000 people.  It has a turnover of around £1.4bn and employs around 13,500 staff based at dozens of locations throughout Swansea, Neath Port Talbot and further afield.</w:t>
      </w:r>
    </w:p>
    <w:p w:rsidR="001310D9" w:rsidRPr="001310D9" w:rsidRDefault="001310D9" w:rsidP="001310D9">
      <w:pPr>
        <w:rPr>
          <w:rFonts w:ascii="Verdana" w:hAnsi="Verdana"/>
          <w:sz w:val="22"/>
          <w:szCs w:val="22"/>
        </w:rPr>
      </w:pPr>
      <w:r w:rsidRPr="001310D9">
        <w:rPr>
          <w:rFonts w:ascii="Verdana" w:hAnsi="Verdana"/>
          <w:sz w:val="22"/>
          <w:szCs w:val="22"/>
        </w:rPr>
        <w:t>The Swansea Bay UHB Communications team cover a variety of responsibilities and roles including:</w:t>
      </w:r>
    </w:p>
    <w:p w:rsidR="001310D9" w:rsidRPr="001310D9" w:rsidRDefault="001310D9" w:rsidP="001310D9">
      <w:pPr>
        <w:pStyle w:val="ListParagraph"/>
        <w:numPr>
          <w:ilvl w:val="0"/>
          <w:numId w:val="18"/>
        </w:numPr>
        <w:spacing w:before="0"/>
        <w:ind w:right="0"/>
        <w:rPr>
          <w:rFonts w:ascii="Verdana" w:hAnsi="Verdana"/>
          <w:sz w:val="22"/>
          <w:szCs w:val="22"/>
        </w:rPr>
      </w:pPr>
      <w:r w:rsidRPr="001310D9">
        <w:rPr>
          <w:rFonts w:ascii="Verdana" w:hAnsi="Verdana"/>
          <w:sz w:val="22"/>
          <w:szCs w:val="22"/>
        </w:rPr>
        <w:t xml:space="preserve">keeping patients, the community and staff informed of NHS service developments and programmes, </w:t>
      </w:r>
    </w:p>
    <w:p w:rsidR="001310D9" w:rsidRPr="001310D9" w:rsidRDefault="001310D9" w:rsidP="001310D9">
      <w:pPr>
        <w:pStyle w:val="ListParagraph"/>
        <w:numPr>
          <w:ilvl w:val="0"/>
          <w:numId w:val="18"/>
        </w:numPr>
        <w:spacing w:before="0"/>
        <w:ind w:right="0"/>
        <w:rPr>
          <w:rFonts w:ascii="Verdana" w:hAnsi="Verdana"/>
          <w:sz w:val="22"/>
          <w:szCs w:val="22"/>
        </w:rPr>
      </w:pPr>
      <w:r w:rsidRPr="001310D9">
        <w:rPr>
          <w:rFonts w:ascii="Verdana" w:hAnsi="Verdana"/>
          <w:sz w:val="22"/>
          <w:szCs w:val="22"/>
        </w:rPr>
        <w:t>promoting public health programmes</w:t>
      </w:r>
    </w:p>
    <w:p w:rsidR="001310D9" w:rsidRPr="001310D9" w:rsidRDefault="001310D9" w:rsidP="001310D9">
      <w:pPr>
        <w:pStyle w:val="ListParagraph"/>
        <w:numPr>
          <w:ilvl w:val="0"/>
          <w:numId w:val="18"/>
        </w:numPr>
        <w:spacing w:before="0"/>
        <w:ind w:right="0"/>
        <w:rPr>
          <w:rFonts w:ascii="Verdana" w:hAnsi="Verdana"/>
          <w:sz w:val="22"/>
          <w:szCs w:val="22"/>
        </w:rPr>
      </w:pPr>
      <w:r w:rsidRPr="001310D9">
        <w:rPr>
          <w:rFonts w:ascii="Verdana" w:hAnsi="Verdana"/>
          <w:sz w:val="22"/>
          <w:szCs w:val="22"/>
        </w:rPr>
        <w:t>supporting recruitment and retention</w:t>
      </w:r>
    </w:p>
    <w:p w:rsidR="001310D9" w:rsidRPr="001310D9" w:rsidRDefault="001310D9" w:rsidP="001310D9">
      <w:pPr>
        <w:pStyle w:val="ListParagraph"/>
        <w:numPr>
          <w:ilvl w:val="0"/>
          <w:numId w:val="18"/>
        </w:numPr>
        <w:spacing w:before="0"/>
        <w:ind w:right="0"/>
        <w:rPr>
          <w:rFonts w:ascii="Verdana" w:hAnsi="Verdana"/>
          <w:sz w:val="22"/>
          <w:szCs w:val="22"/>
        </w:rPr>
      </w:pPr>
      <w:r w:rsidRPr="001310D9">
        <w:rPr>
          <w:rFonts w:ascii="Verdana" w:hAnsi="Verdana"/>
          <w:sz w:val="22"/>
          <w:szCs w:val="22"/>
        </w:rPr>
        <w:t>responding to media enquiries</w:t>
      </w:r>
    </w:p>
    <w:p w:rsidR="001310D9" w:rsidRPr="001310D9" w:rsidRDefault="001310D9" w:rsidP="001310D9">
      <w:pPr>
        <w:pStyle w:val="ListParagraph"/>
        <w:numPr>
          <w:ilvl w:val="0"/>
          <w:numId w:val="18"/>
        </w:numPr>
        <w:spacing w:before="0"/>
        <w:ind w:right="0"/>
        <w:rPr>
          <w:rFonts w:ascii="Verdana" w:hAnsi="Verdana"/>
          <w:sz w:val="22"/>
          <w:szCs w:val="22"/>
        </w:rPr>
      </w:pPr>
      <w:r w:rsidRPr="001310D9">
        <w:rPr>
          <w:rFonts w:ascii="Verdana" w:hAnsi="Verdana"/>
          <w:sz w:val="22"/>
          <w:szCs w:val="22"/>
        </w:rPr>
        <w:t xml:space="preserve">developing and manage the Health Board’s web site and social media platforms, </w:t>
      </w:r>
    </w:p>
    <w:p w:rsidR="001310D9" w:rsidRPr="001310D9" w:rsidRDefault="001310D9" w:rsidP="001310D9">
      <w:pPr>
        <w:pStyle w:val="ListParagraph"/>
        <w:numPr>
          <w:ilvl w:val="0"/>
          <w:numId w:val="18"/>
        </w:numPr>
        <w:spacing w:before="0"/>
        <w:ind w:right="0"/>
        <w:rPr>
          <w:rFonts w:ascii="Verdana" w:hAnsi="Verdana"/>
          <w:sz w:val="22"/>
          <w:szCs w:val="22"/>
        </w:rPr>
      </w:pPr>
      <w:r w:rsidRPr="001310D9">
        <w:rPr>
          <w:rFonts w:ascii="Verdana" w:hAnsi="Verdana"/>
          <w:sz w:val="22"/>
          <w:szCs w:val="22"/>
        </w:rPr>
        <w:t xml:space="preserve">supporting Health Board major incident responses and </w:t>
      </w:r>
    </w:p>
    <w:p w:rsidR="001310D9" w:rsidRPr="001310D9" w:rsidRDefault="001310D9" w:rsidP="001310D9">
      <w:pPr>
        <w:pStyle w:val="ListParagraph"/>
        <w:numPr>
          <w:ilvl w:val="0"/>
          <w:numId w:val="18"/>
        </w:numPr>
        <w:spacing w:before="0"/>
        <w:ind w:right="0"/>
        <w:rPr>
          <w:rFonts w:ascii="Verdana" w:hAnsi="Verdana"/>
          <w:sz w:val="22"/>
          <w:szCs w:val="22"/>
        </w:rPr>
      </w:pPr>
      <w:r w:rsidRPr="001310D9">
        <w:rPr>
          <w:rFonts w:ascii="Verdana" w:hAnsi="Verdana"/>
          <w:sz w:val="22"/>
          <w:szCs w:val="22"/>
        </w:rPr>
        <w:t>ensuring the Health Board meets its Welsh language duties.</w:t>
      </w:r>
    </w:p>
    <w:p w:rsidR="001310D9" w:rsidRPr="001310D9" w:rsidRDefault="001310D9" w:rsidP="001310D9">
      <w:pPr>
        <w:rPr>
          <w:rFonts w:ascii="Verdana" w:hAnsi="Verdana"/>
          <w:sz w:val="22"/>
          <w:szCs w:val="22"/>
        </w:rPr>
      </w:pPr>
      <w:r w:rsidRPr="001310D9">
        <w:rPr>
          <w:rFonts w:ascii="Verdana" w:hAnsi="Verdana"/>
          <w:sz w:val="22"/>
          <w:szCs w:val="22"/>
        </w:rPr>
        <w:t>Internal communications make up a large part of this portfolio, keeping staff up to date with what is happening across the Health Board, ensuring that they are all aware of the latest developments, priorities and approaches.</w:t>
      </w:r>
    </w:p>
    <w:p w:rsidR="001310D9" w:rsidRPr="001310D9" w:rsidRDefault="001310D9" w:rsidP="001310D9">
      <w:pPr>
        <w:rPr>
          <w:rFonts w:ascii="Verdana" w:hAnsi="Verdana"/>
          <w:sz w:val="22"/>
          <w:szCs w:val="22"/>
        </w:rPr>
      </w:pPr>
      <w:r w:rsidRPr="001310D9">
        <w:rPr>
          <w:rFonts w:ascii="Verdana" w:hAnsi="Verdana"/>
          <w:sz w:val="22"/>
          <w:szCs w:val="22"/>
        </w:rPr>
        <w:t>The information you were looking for is as follows:</w:t>
      </w:r>
    </w:p>
    <w:tbl>
      <w:tblPr>
        <w:tblStyle w:val="TableGrid1"/>
        <w:tblW w:w="0" w:type="auto"/>
        <w:tblInd w:w="1613" w:type="dxa"/>
        <w:tblLook w:val="04A0" w:firstRow="1" w:lastRow="0" w:firstColumn="1" w:lastColumn="0" w:noHBand="0" w:noVBand="1"/>
      </w:tblPr>
      <w:tblGrid>
        <w:gridCol w:w="562"/>
        <w:gridCol w:w="2442"/>
        <w:gridCol w:w="1503"/>
        <w:gridCol w:w="1503"/>
        <w:gridCol w:w="1215"/>
      </w:tblGrid>
      <w:tr w:rsidR="001310D9" w:rsidRPr="001310D9" w:rsidTr="001310D9">
        <w:tc>
          <w:tcPr>
            <w:tcW w:w="562" w:type="dxa"/>
          </w:tcPr>
          <w:p w:rsidR="001310D9" w:rsidRPr="001310D9" w:rsidRDefault="001310D9" w:rsidP="001310D9">
            <w:pPr>
              <w:spacing w:before="0" w:after="0" w:line="240" w:lineRule="auto"/>
              <w:ind w:left="0" w:right="0"/>
              <w:rPr>
                <w:sz w:val="22"/>
                <w:szCs w:val="22"/>
              </w:rPr>
            </w:pPr>
          </w:p>
        </w:tc>
        <w:tc>
          <w:tcPr>
            <w:tcW w:w="2442" w:type="dxa"/>
          </w:tcPr>
          <w:p w:rsidR="001310D9" w:rsidRPr="001310D9" w:rsidRDefault="001310D9" w:rsidP="001310D9">
            <w:pPr>
              <w:spacing w:before="0" w:after="0" w:line="240" w:lineRule="auto"/>
              <w:ind w:left="0" w:right="0"/>
              <w:rPr>
                <w:sz w:val="22"/>
                <w:szCs w:val="22"/>
              </w:rPr>
            </w:pPr>
            <w:r w:rsidRPr="001310D9">
              <w:rPr>
                <w:sz w:val="22"/>
                <w:szCs w:val="22"/>
              </w:rPr>
              <w:t>Category</w:t>
            </w:r>
          </w:p>
        </w:tc>
        <w:tc>
          <w:tcPr>
            <w:tcW w:w="1503" w:type="dxa"/>
          </w:tcPr>
          <w:p w:rsidR="001310D9" w:rsidRPr="001310D9" w:rsidRDefault="001310D9" w:rsidP="001310D9">
            <w:pPr>
              <w:spacing w:before="0" w:after="0" w:line="240" w:lineRule="auto"/>
              <w:ind w:left="0" w:right="0"/>
              <w:rPr>
                <w:sz w:val="22"/>
                <w:szCs w:val="22"/>
              </w:rPr>
            </w:pPr>
            <w:r w:rsidRPr="001310D9">
              <w:rPr>
                <w:sz w:val="22"/>
                <w:szCs w:val="22"/>
              </w:rPr>
              <w:t>2020/21</w:t>
            </w:r>
          </w:p>
        </w:tc>
        <w:tc>
          <w:tcPr>
            <w:tcW w:w="1503" w:type="dxa"/>
          </w:tcPr>
          <w:p w:rsidR="001310D9" w:rsidRPr="001310D9" w:rsidRDefault="001310D9" w:rsidP="001310D9">
            <w:pPr>
              <w:spacing w:before="0" w:after="0" w:line="240" w:lineRule="auto"/>
              <w:ind w:left="0" w:right="0"/>
              <w:rPr>
                <w:sz w:val="22"/>
                <w:szCs w:val="22"/>
              </w:rPr>
            </w:pPr>
            <w:r w:rsidRPr="001310D9">
              <w:rPr>
                <w:sz w:val="22"/>
                <w:szCs w:val="22"/>
              </w:rPr>
              <w:t>2021/22</w:t>
            </w:r>
          </w:p>
        </w:tc>
        <w:tc>
          <w:tcPr>
            <w:tcW w:w="1215" w:type="dxa"/>
          </w:tcPr>
          <w:p w:rsidR="001310D9" w:rsidRPr="001310D9" w:rsidRDefault="001310D9" w:rsidP="001310D9">
            <w:pPr>
              <w:spacing w:before="0" w:after="0" w:line="240" w:lineRule="auto"/>
              <w:ind w:left="0" w:right="0"/>
              <w:rPr>
                <w:sz w:val="22"/>
                <w:szCs w:val="22"/>
              </w:rPr>
            </w:pPr>
            <w:r w:rsidRPr="001310D9">
              <w:rPr>
                <w:sz w:val="22"/>
                <w:szCs w:val="22"/>
              </w:rPr>
              <w:t>2022/23</w:t>
            </w:r>
          </w:p>
        </w:tc>
      </w:tr>
      <w:tr w:rsidR="001310D9" w:rsidRPr="001310D9" w:rsidTr="001310D9">
        <w:tc>
          <w:tcPr>
            <w:tcW w:w="562" w:type="dxa"/>
          </w:tcPr>
          <w:p w:rsidR="001310D9" w:rsidRPr="001310D9" w:rsidRDefault="001310D9" w:rsidP="001310D9">
            <w:pPr>
              <w:spacing w:before="0" w:after="0" w:line="240" w:lineRule="auto"/>
              <w:ind w:left="0" w:right="0"/>
              <w:rPr>
                <w:sz w:val="22"/>
                <w:szCs w:val="22"/>
              </w:rPr>
            </w:pPr>
            <w:r w:rsidRPr="001310D9">
              <w:rPr>
                <w:sz w:val="22"/>
                <w:szCs w:val="22"/>
              </w:rPr>
              <w:t>1</w:t>
            </w:r>
          </w:p>
        </w:tc>
        <w:tc>
          <w:tcPr>
            <w:tcW w:w="2442" w:type="dxa"/>
          </w:tcPr>
          <w:p w:rsidR="001310D9" w:rsidRPr="001310D9" w:rsidRDefault="001310D9" w:rsidP="001310D9">
            <w:pPr>
              <w:spacing w:before="0" w:after="0" w:line="240" w:lineRule="auto"/>
              <w:ind w:left="0" w:right="0"/>
              <w:rPr>
                <w:sz w:val="22"/>
                <w:szCs w:val="22"/>
              </w:rPr>
            </w:pPr>
            <w:r w:rsidRPr="001310D9">
              <w:rPr>
                <w:sz w:val="22"/>
                <w:szCs w:val="22"/>
              </w:rPr>
              <w:t>Spend on comms and public relations activities</w:t>
            </w:r>
          </w:p>
        </w:tc>
        <w:tc>
          <w:tcPr>
            <w:tcW w:w="1503" w:type="dxa"/>
          </w:tcPr>
          <w:p w:rsidR="001310D9" w:rsidRPr="001310D9" w:rsidRDefault="001310D9" w:rsidP="001310D9">
            <w:pPr>
              <w:spacing w:before="0" w:after="0" w:line="240" w:lineRule="auto"/>
              <w:ind w:left="0" w:right="0"/>
              <w:rPr>
                <w:sz w:val="22"/>
                <w:szCs w:val="22"/>
              </w:rPr>
            </w:pPr>
            <w:r w:rsidRPr="001310D9">
              <w:rPr>
                <w:sz w:val="22"/>
                <w:szCs w:val="22"/>
              </w:rPr>
              <w:t>£277,166</w:t>
            </w:r>
          </w:p>
        </w:tc>
        <w:tc>
          <w:tcPr>
            <w:tcW w:w="1503" w:type="dxa"/>
          </w:tcPr>
          <w:p w:rsidR="001310D9" w:rsidRPr="001310D9" w:rsidRDefault="001310D9" w:rsidP="001310D9">
            <w:pPr>
              <w:spacing w:before="0" w:after="0" w:line="240" w:lineRule="auto"/>
              <w:ind w:left="0" w:right="0"/>
              <w:rPr>
                <w:sz w:val="22"/>
                <w:szCs w:val="22"/>
              </w:rPr>
            </w:pPr>
            <w:r w:rsidRPr="001310D9">
              <w:rPr>
                <w:sz w:val="22"/>
                <w:szCs w:val="22"/>
              </w:rPr>
              <w:t>£325,222</w:t>
            </w:r>
          </w:p>
        </w:tc>
        <w:tc>
          <w:tcPr>
            <w:tcW w:w="1215" w:type="dxa"/>
          </w:tcPr>
          <w:p w:rsidR="001310D9" w:rsidRPr="001310D9" w:rsidRDefault="001310D9" w:rsidP="001310D9">
            <w:pPr>
              <w:spacing w:before="0" w:after="0" w:line="240" w:lineRule="auto"/>
              <w:ind w:left="0" w:right="0"/>
              <w:rPr>
                <w:sz w:val="22"/>
                <w:szCs w:val="22"/>
              </w:rPr>
            </w:pPr>
            <w:r w:rsidRPr="001310D9">
              <w:rPr>
                <w:sz w:val="22"/>
                <w:szCs w:val="22"/>
              </w:rPr>
              <w:t>£423,650</w:t>
            </w:r>
          </w:p>
        </w:tc>
      </w:tr>
      <w:tr w:rsidR="001310D9" w:rsidRPr="001310D9" w:rsidTr="001310D9">
        <w:tc>
          <w:tcPr>
            <w:tcW w:w="562" w:type="dxa"/>
          </w:tcPr>
          <w:p w:rsidR="001310D9" w:rsidRPr="001310D9" w:rsidRDefault="001310D9" w:rsidP="001310D9">
            <w:pPr>
              <w:spacing w:before="0" w:after="0" w:line="240" w:lineRule="auto"/>
              <w:ind w:left="0" w:right="0"/>
              <w:rPr>
                <w:sz w:val="22"/>
                <w:szCs w:val="22"/>
              </w:rPr>
            </w:pPr>
            <w:r w:rsidRPr="001310D9">
              <w:rPr>
                <w:sz w:val="22"/>
                <w:szCs w:val="22"/>
              </w:rPr>
              <w:t>2</w:t>
            </w:r>
          </w:p>
        </w:tc>
        <w:tc>
          <w:tcPr>
            <w:tcW w:w="2442" w:type="dxa"/>
          </w:tcPr>
          <w:p w:rsidR="001310D9" w:rsidRPr="001310D9" w:rsidRDefault="001310D9" w:rsidP="001310D9">
            <w:pPr>
              <w:spacing w:before="0" w:after="0" w:line="240" w:lineRule="auto"/>
              <w:ind w:left="0" w:right="0"/>
              <w:rPr>
                <w:sz w:val="22"/>
                <w:szCs w:val="22"/>
              </w:rPr>
            </w:pPr>
            <w:r w:rsidRPr="001310D9">
              <w:rPr>
                <w:sz w:val="22"/>
                <w:szCs w:val="22"/>
              </w:rPr>
              <w:t>Total number of comms and public relations employees (whole time equivalent)</w:t>
            </w:r>
          </w:p>
        </w:tc>
        <w:tc>
          <w:tcPr>
            <w:tcW w:w="1503" w:type="dxa"/>
          </w:tcPr>
          <w:p w:rsidR="001310D9" w:rsidRPr="001310D9" w:rsidRDefault="001310D9" w:rsidP="001310D9">
            <w:pPr>
              <w:spacing w:before="0" w:after="0" w:line="240" w:lineRule="auto"/>
              <w:ind w:left="0" w:right="0"/>
              <w:rPr>
                <w:sz w:val="22"/>
                <w:szCs w:val="22"/>
              </w:rPr>
            </w:pPr>
            <w:r w:rsidRPr="001310D9">
              <w:rPr>
                <w:sz w:val="22"/>
                <w:szCs w:val="22"/>
              </w:rPr>
              <w:t>7</w:t>
            </w:r>
          </w:p>
        </w:tc>
        <w:tc>
          <w:tcPr>
            <w:tcW w:w="1503" w:type="dxa"/>
          </w:tcPr>
          <w:p w:rsidR="001310D9" w:rsidRPr="001310D9" w:rsidRDefault="001310D9" w:rsidP="001310D9">
            <w:pPr>
              <w:spacing w:before="0" w:after="0" w:line="240" w:lineRule="auto"/>
              <w:ind w:left="0" w:right="0"/>
              <w:rPr>
                <w:sz w:val="22"/>
                <w:szCs w:val="22"/>
              </w:rPr>
            </w:pPr>
            <w:r w:rsidRPr="001310D9">
              <w:rPr>
                <w:sz w:val="22"/>
                <w:szCs w:val="22"/>
              </w:rPr>
              <w:t>8</w:t>
            </w:r>
          </w:p>
        </w:tc>
        <w:tc>
          <w:tcPr>
            <w:tcW w:w="1215" w:type="dxa"/>
          </w:tcPr>
          <w:p w:rsidR="001310D9" w:rsidRPr="001310D9" w:rsidRDefault="001310D9" w:rsidP="001310D9">
            <w:pPr>
              <w:spacing w:before="0" w:after="0" w:line="240" w:lineRule="auto"/>
              <w:ind w:left="0" w:right="0"/>
              <w:rPr>
                <w:sz w:val="22"/>
                <w:szCs w:val="22"/>
              </w:rPr>
            </w:pPr>
            <w:r w:rsidRPr="001310D9">
              <w:rPr>
                <w:sz w:val="22"/>
                <w:szCs w:val="22"/>
              </w:rPr>
              <w:t>10.4</w:t>
            </w:r>
          </w:p>
        </w:tc>
      </w:tr>
      <w:tr w:rsidR="001310D9" w:rsidRPr="001310D9" w:rsidTr="001310D9">
        <w:tc>
          <w:tcPr>
            <w:tcW w:w="562" w:type="dxa"/>
          </w:tcPr>
          <w:p w:rsidR="001310D9" w:rsidRPr="001310D9" w:rsidRDefault="001310D9" w:rsidP="001310D9">
            <w:pPr>
              <w:spacing w:before="0" w:after="0" w:line="240" w:lineRule="auto"/>
              <w:ind w:left="0" w:right="0"/>
              <w:rPr>
                <w:sz w:val="22"/>
                <w:szCs w:val="22"/>
              </w:rPr>
            </w:pPr>
            <w:r w:rsidRPr="001310D9">
              <w:rPr>
                <w:sz w:val="22"/>
                <w:szCs w:val="22"/>
              </w:rPr>
              <w:t>3</w:t>
            </w:r>
          </w:p>
        </w:tc>
        <w:tc>
          <w:tcPr>
            <w:tcW w:w="2442" w:type="dxa"/>
          </w:tcPr>
          <w:p w:rsidR="001310D9" w:rsidRPr="001310D9" w:rsidRDefault="001310D9" w:rsidP="001310D9">
            <w:pPr>
              <w:spacing w:before="0" w:after="0" w:line="240" w:lineRule="auto"/>
              <w:ind w:left="0" w:right="0"/>
              <w:rPr>
                <w:sz w:val="22"/>
                <w:szCs w:val="22"/>
              </w:rPr>
            </w:pPr>
            <w:r w:rsidRPr="001310D9">
              <w:rPr>
                <w:sz w:val="22"/>
                <w:szCs w:val="22"/>
              </w:rPr>
              <w:t>Total salary cost for all above employees</w:t>
            </w:r>
          </w:p>
        </w:tc>
        <w:tc>
          <w:tcPr>
            <w:tcW w:w="1503" w:type="dxa"/>
          </w:tcPr>
          <w:p w:rsidR="001310D9" w:rsidRPr="001310D9" w:rsidRDefault="00A45FCC" w:rsidP="001310D9">
            <w:pPr>
              <w:spacing w:before="0" w:after="0" w:line="240" w:lineRule="auto"/>
              <w:ind w:left="0" w:right="0"/>
              <w:rPr>
                <w:sz w:val="22"/>
                <w:szCs w:val="22"/>
              </w:rPr>
            </w:pPr>
            <w:r>
              <w:rPr>
                <w:sz w:val="22"/>
                <w:szCs w:val="22"/>
              </w:rPr>
              <w:t>£</w:t>
            </w:r>
            <w:r w:rsidR="001310D9" w:rsidRPr="001310D9">
              <w:rPr>
                <w:sz w:val="22"/>
                <w:szCs w:val="22"/>
              </w:rPr>
              <w:t>277,116</w:t>
            </w:r>
          </w:p>
        </w:tc>
        <w:tc>
          <w:tcPr>
            <w:tcW w:w="1503" w:type="dxa"/>
          </w:tcPr>
          <w:p w:rsidR="001310D9" w:rsidRPr="001310D9" w:rsidRDefault="00A45FCC" w:rsidP="001310D9">
            <w:pPr>
              <w:spacing w:before="0" w:after="0" w:line="240" w:lineRule="auto"/>
              <w:ind w:left="0" w:right="0"/>
              <w:rPr>
                <w:sz w:val="22"/>
                <w:szCs w:val="22"/>
              </w:rPr>
            </w:pPr>
            <w:r>
              <w:rPr>
                <w:sz w:val="22"/>
                <w:szCs w:val="22"/>
              </w:rPr>
              <w:t>£</w:t>
            </w:r>
            <w:r w:rsidR="001310D9" w:rsidRPr="001310D9">
              <w:rPr>
                <w:sz w:val="22"/>
                <w:szCs w:val="22"/>
              </w:rPr>
              <w:t>325,222</w:t>
            </w:r>
          </w:p>
        </w:tc>
        <w:tc>
          <w:tcPr>
            <w:tcW w:w="1215" w:type="dxa"/>
          </w:tcPr>
          <w:p w:rsidR="001310D9" w:rsidRPr="001310D9" w:rsidRDefault="00A45FCC" w:rsidP="001310D9">
            <w:pPr>
              <w:spacing w:before="0" w:after="0" w:line="240" w:lineRule="auto"/>
              <w:ind w:left="0" w:right="0"/>
              <w:rPr>
                <w:sz w:val="22"/>
                <w:szCs w:val="22"/>
              </w:rPr>
            </w:pPr>
            <w:r>
              <w:rPr>
                <w:sz w:val="22"/>
                <w:szCs w:val="22"/>
              </w:rPr>
              <w:t>£</w:t>
            </w:r>
            <w:bookmarkStart w:id="0" w:name="_GoBack"/>
            <w:bookmarkEnd w:id="0"/>
            <w:r w:rsidR="001310D9" w:rsidRPr="001310D9">
              <w:rPr>
                <w:sz w:val="22"/>
                <w:szCs w:val="22"/>
              </w:rPr>
              <w:t>418,373</w:t>
            </w:r>
          </w:p>
        </w:tc>
      </w:tr>
    </w:tbl>
    <w:p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45FCC">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3.25pt;height:383.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E4D38D3"/>
    <w:multiLevelType w:val="hybridMultilevel"/>
    <w:tmpl w:val="8A22A0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3"/>
  </w:num>
  <w:num w:numId="6">
    <w:abstractNumId w:val="2"/>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310D9"/>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45FCC"/>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11F2D"/>
    <w:rsid w:val="00E26720"/>
    <w:rsid w:val="00E545D8"/>
    <w:rsid w:val="00E817B3"/>
    <w:rsid w:val="00E90BC7"/>
    <w:rsid w:val="00EB2259"/>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DBF69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1310D9"/>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1310D9"/>
    <w:rPr>
      <w:rFonts w:ascii="Calibri" w:eastAsiaTheme="minorHAnsi" w:hAnsi="Calibri" w:cstheme="minorBidi"/>
      <w:sz w:val="22"/>
      <w:szCs w:val="21"/>
      <w:lang w:eastAsia="en-US"/>
    </w:rPr>
  </w:style>
  <w:style w:type="table" w:customStyle="1" w:styleId="TableGrid1">
    <w:name w:val="Table Grid1"/>
    <w:basedOn w:val="TableNormal"/>
    <w:next w:val="TableGrid"/>
    <w:uiPriority w:val="39"/>
    <w:rsid w:val="001310D9"/>
    <w:rPr>
      <w:rFonts w:ascii="Calibri" w:hAnsi="Calibri"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48018340">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024FDF-8C5F-41A7-8510-C66CC1779B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TotalTime>
  <Pages>2</Pages>
  <Words>311</Words>
  <Characters>1778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12</cp:revision>
  <cp:lastPrinted>2019-03-26T11:11:00Z</cp:lastPrinted>
  <dcterms:created xsi:type="dcterms:W3CDTF">2021-09-13T07:38:00Z</dcterms:created>
  <dcterms:modified xsi:type="dcterms:W3CDTF">2024-03-12T16:00:00Z</dcterms:modified>
</cp:coreProperties>
</file>